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Immatics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(euro)0.01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N44445109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N44445109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9,135,029.00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9,135,029.00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9,135,029.00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N44445109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8,091,288.00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8,091,288.00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8,091,288.00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N44445109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COWEN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9,135,029.00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9,135,029.00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9,135,029.00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Immatics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979"/>
        <w:spacing w:after="0"/>
        <w:rPr>
          <w:sz w:val="20"/>
          <w:szCs w:val="20"/>
          <w:color w:val="auto"/>
        </w:rPr>
      </w:pPr>
      <w:r>
        <w:rPr>
          <w:rFonts w:ascii="Times New Roman" w:cs="Times New Roman" w:eastAsia="Times New Roman" w:hAnsi="Times New Roman"/>
          <w:sz w:val="22"/>
          <w:szCs w:val="22"/>
          <w:color w:val="auto"/>
        </w:rPr>
        <w:t>Paul Ehrlich-strasse 15, 72076 Tubingen, Federal Republic of Germany</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40"/>
        <w:spacing w:after="0" w:line="280" w:lineRule="auto"/>
        <w:rPr>
          <w:sz w:val="20"/>
          <w:szCs w:val="20"/>
          <w:color w:val="auto"/>
        </w:rPr>
      </w:pPr>
      <w:r>
        <w:rPr>
          <w:rFonts w:ascii="Times New Roman" w:cs="Times New Roman" w:eastAsia="Times New Roman" w:hAnsi="Times New Roman"/>
          <w:sz w:val="22"/>
          <w:szCs w:val="22"/>
          <w:color w:val="auto"/>
        </w:rPr>
        <w:t>Suvretta Capital Management, LLC Averill Master Fund, Ltd. Aaron Cowen Address or principal business office or, if none, residence:</w:t>
      </w:r>
    </w:p>
    <w:p>
      <w:pPr>
        <w:spacing w:after="0" w:line="169" w:lineRule="exact"/>
        <w:rPr>
          <w:sz w:val="20"/>
          <w:szCs w:val="20"/>
          <w:color w:val="auto"/>
        </w:rPr>
      </w:pPr>
    </w:p>
    <w:p>
      <w:pPr>
        <w:ind w:left="9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Suvretta Capital Management, LLC 540 Madison Avenue, 7th Floor New York, New York 10022 United States of America Averill Master Fund, Ltd. c/o Maples Corporate Services Limited P.O. Box 309 Ugland House Grand Cayman KY1-1104 Cayman Islands Aaron Cowen c/o Suvretta Capital Management, LLC 540 Madison Avenue, 7th Floor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20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Suvretta Capital Management, LLC - Delaware Averill Master Fund, Ltd. - Cayman Islands Aaron Cowen - United States</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(euro)0.01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N44445109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- 9,135,029 Averill Master Fund, Ltd. - 8,091,288 Aaron Cowen - 9,135,029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- 7.5% Averill Master Fund, Ltd. - 6.7% Aaron Cowen - 7.5%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- 9,135,029 Averill Master Fund, Ltd. - 8,091,288 Aaron Cowen - 9,135,029</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- 9,135,029 Averill Master Fund, Ltd. - 8,091,288 Aaron Cowen - 9,135,029</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060"/>
          </w:cols>
          <w:pgMar w:left="360" w:top="112" w:right="47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1 are directly owned by advisory clients of Suvretta Capital Management, LLC. None of those advisory clients, other than Averill Master Fund, Ltd., may be deemed to beneficially own more than 5% of the ordinary shares, nominal value (euro)0.01 per share.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Andrew Nathanson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Nathanson / General Counsel and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05/02/2025</w:t>
      </w:r>
    </w:p>
    <w:p>
      <w:pPr>
        <w:spacing w:after="0" w:line="1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152"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Andrew Nathanson</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Andrew Nathanson / Authorized Signatory</w:t>
      </w:r>
    </w:p>
    <w:p>
      <w:pPr>
        <w:spacing w:after="0" w:line="44"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05/02/2025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AARON COWEN</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Cowen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Aaron Cowen</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05/02/2025</w:t>
      </w:r>
    </w:p>
    <w:p>
      <w:pPr>
        <w:spacing w:after="0" w:line="108"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to be Filed as Exhibit: [Exhibit A - Joint Filing Agreement] [Exhibit B - Control Person Identification]</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May 2, 2025 relating to the ordinary shares, nominal value (euro)0.01 per share, of Immatics N.V.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SUVRETTA CAPITAL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Andrew Nathanson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AVERILL MASTER FUND, LTD.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Andrew Nathanson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AARON COWEN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Suvretta Capital Management, LLC is the relevant entity for which Aaron Cowen is the control person.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2025-05-02T16:47:13Z</dcterms:created>
  <dcterms:modified xsi:type="dcterms:W3CDTF">2025-05-02T16:47:13Z</dcterms:modified>
</cp:coreProperties>
</file>