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July 31, 2020</w:t>
      </w:r>
    </w:p>
    <w:p>
      <w:pPr>
        <w:spacing w:after="0" w:line="4" w:lineRule="exact"/>
        <w:rPr>
          <w:sz w:val="24"/>
          <w:szCs w:val="24"/>
          <w:color w:val="auto"/>
        </w:rPr>
      </w:pPr>
    </w:p>
    <w:p>
      <w:pPr>
        <w:ind w:left="940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113665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F-1</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108585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7" w:lineRule="exact"/>
        <w:rPr>
          <w:sz w:val="24"/>
          <w:szCs w:val="24"/>
          <w:color w:val="auto"/>
        </w:rPr>
      </w:pPr>
    </w:p>
    <w:p>
      <w:pPr>
        <w:jc w:val="center"/>
        <w:ind w:right="-99"/>
        <w:spacing w:after="0"/>
        <w:rPr>
          <w:sz w:val="20"/>
          <w:szCs w:val="20"/>
          <w:color w:val="auto"/>
        </w:rPr>
      </w:pPr>
      <w:r>
        <w:rPr>
          <w:rFonts w:ascii="Arial" w:cs="Arial" w:eastAsia="Arial" w:hAnsi="Arial"/>
          <w:sz w:val="34"/>
          <w:szCs w:val="34"/>
          <w:b w:val="1"/>
          <w:bCs w:val="1"/>
          <w:color w:val="auto"/>
        </w:rPr>
        <w:t>Immatics N.V.</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15" w:lineRule="exact"/>
        <w:rPr>
          <w:sz w:val="24"/>
          <w:szCs w:val="24"/>
          <w:color w:val="auto"/>
        </w:rPr>
      </w:pPr>
    </w:p>
    <w:p>
      <w:pPr>
        <w:ind w:left="1480"/>
        <w:spacing w:after="0"/>
        <w:rPr>
          <w:sz w:val="20"/>
          <w:szCs w:val="20"/>
          <w:color w:val="auto"/>
        </w:rPr>
      </w:pPr>
      <w:r>
        <w:rPr>
          <w:rFonts w:ascii="Arial" w:cs="Arial" w:eastAsia="Arial" w:hAnsi="Arial"/>
          <w:sz w:val="14"/>
          <w:szCs w:val="14"/>
          <w:b w:val="1"/>
          <w:bCs w:val="1"/>
          <w:color w:val="auto"/>
        </w:rPr>
        <w:t>The Netherlands</w:t>
      </w:r>
    </w:p>
    <w:p>
      <w:pPr>
        <w:spacing w:after="0" w:line="3" w:lineRule="exact"/>
        <w:rPr>
          <w:sz w:val="24"/>
          <w:szCs w:val="24"/>
          <w:color w:val="auto"/>
        </w:rPr>
      </w:pPr>
    </w:p>
    <w:p>
      <w:pPr>
        <w:ind w:left="1080"/>
        <w:spacing w:after="0"/>
        <w:rPr>
          <w:sz w:val="20"/>
          <w:szCs w:val="20"/>
          <w:color w:val="auto"/>
        </w:rPr>
      </w:pPr>
      <w:r>
        <w:rPr>
          <w:rFonts w:ascii="Arial" w:cs="Arial" w:eastAsia="Arial" w:hAnsi="Arial"/>
          <w:sz w:val="13"/>
          <w:szCs w:val="13"/>
          <w:b w:val="1"/>
          <w:bCs w:val="1"/>
          <w:color w:val="auto"/>
        </w:rPr>
        <w:t>(State or other jurisdiction of</w:t>
      </w:r>
    </w:p>
    <w:p>
      <w:pPr>
        <w:ind w:left="1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ind w:left="1420"/>
        <w:spacing w:after="0"/>
        <w:rPr>
          <w:sz w:val="20"/>
          <w:szCs w:val="20"/>
          <w:color w:val="auto"/>
        </w:rPr>
      </w:pPr>
      <w:r>
        <w:rPr>
          <w:rFonts w:ascii="Arial" w:cs="Arial" w:eastAsia="Arial" w:hAnsi="Arial"/>
          <w:sz w:val="14"/>
          <w:szCs w:val="14"/>
          <w:b w:val="1"/>
          <w:bCs w:val="1"/>
          <w:color w:val="auto"/>
        </w:rPr>
        <w:t>2836</w:t>
      </w:r>
    </w:p>
    <w:p>
      <w:pPr>
        <w:ind w:left="640"/>
        <w:spacing w:after="0" w:line="226" w:lineRule="auto"/>
        <w:rPr>
          <w:sz w:val="20"/>
          <w:szCs w:val="20"/>
          <w:color w:val="auto"/>
        </w:rPr>
      </w:pPr>
      <w:r>
        <w:rPr>
          <w:rFonts w:ascii="Arial" w:cs="Arial" w:eastAsia="Arial" w:hAnsi="Arial"/>
          <w:sz w:val="14"/>
          <w:szCs w:val="14"/>
          <w:b w:val="1"/>
          <w:bCs w:val="1"/>
          <w:color w:val="auto"/>
        </w:rPr>
        <w:t>(Primary Standard Industrial</w:t>
      </w:r>
    </w:p>
    <w:p>
      <w:pPr>
        <w:ind w:left="660"/>
        <w:spacing w:after="0" w:line="221" w:lineRule="auto"/>
        <w:rPr>
          <w:sz w:val="20"/>
          <w:szCs w:val="20"/>
          <w:color w:val="auto"/>
        </w:rPr>
      </w:pPr>
      <w:r>
        <w:rPr>
          <w:rFonts w:ascii="Arial" w:cs="Arial" w:eastAsia="Arial" w:hAnsi="Arial"/>
          <w:sz w:val="14"/>
          <w:szCs w:val="14"/>
          <w:b w:val="1"/>
          <w:bCs w:val="1"/>
          <w:color w:val="auto"/>
        </w:rPr>
        <w:t>Classification Code Number)</w:t>
      </w:r>
    </w:p>
    <w:p>
      <w:pPr>
        <w:ind w:left="740"/>
        <w:spacing w:after="0" w:line="222" w:lineRule="auto"/>
        <w:rPr>
          <w:sz w:val="20"/>
          <w:szCs w:val="20"/>
          <w:color w:val="auto"/>
        </w:rPr>
      </w:pPr>
      <w:r>
        <w:rPr>
          <w:rFonts w:ascii="Arial" w:cs="Arial" w:eastAsia="Arial" w:hAnsi="Arial"/>
          <w:sz w:val="14"/>
          <w:szCs w:val="14"/>
          <w:b w:val="1"/>
          <w:bCs w:val="1"/>
          <w:color w:val="auto"/>
        </w:rPr>
        <w:t>Paul-Ehrlich-Straße 15</w:t>
      </w:r>
    </w:p>
    <w:p>
      <w:pPr>
        <w:spacing w:after="0"/>
        <w:rPr>
          <w:sz w:val="20"/>
          <w:szCs w:val="20"/>
          <w:color w:val="auto"/>
        </w:rPr>
      </w:pPr>
      <w:r>
        <w:rPr>
          <w:rFonts w:ascii="Arial" w:cs="Arial" w:eastAsia="Arial" w:hAnsi="Arial"/>
          <w:sz w:val="13"/>
          <w:szCs w:val="13"/>
          <w:b w:val="1"/>
          <w:bCs w:val="1"/>
          <w:color w:val="auto"/>
        </w:rPr>
        <w:t>72076 Tübingen, Federal Republic of Germany</w:t>
      </w:r>
    </w:p>
    <w:p>
      <w:pPr>
        <w:ind w:left="760"/>
        <w:spacing w:after="0"/>
        <w:rPr>
          <w:sz w:val="20"/>
          <w:szCs w:val="20"/>
          <w:color w:val="auto"/>
        </w:rPr>
      </w:pPr>
      <w:r>
        <w:rPr>
          <w:rFonts w:ascii="Arial" w:cs="Arial" w:eastAsia="Arial" w:hAnsi="Arial"/>
          <w:sz w:val="14"/>
          <w:szCs w:val="14"/>
          <w:b w:val="1"/>
          <w:bCs w:val="1"/>
          <w:color w:val="auto"/>
        </w:rPr>
        <w:t>Tel: +49 (7071) 5397-0</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color w:val="auto"/>
        </w:rPr>
        <w:t>Not Applicable</w:t>
      </w:r>
    </w:p>
    <w:p>
      <w:pPr>
        <w:jc w:val="center"/>
        <w:ind w:right="1060"/>
        <w:spacing w:after="0" w:line="226" w:lineRule="auto"/>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r>
        <w:rPr>
          <w:rFonts w:ascii="Arial" w:cs="Arial" w:eastAsia="Arial" w:hAnsi="Arial"/>
          <w:sz w:val="13"/>
          <w:szCs w:val="13"/>
          <w:i w:val="1"/>
          <w:iCs w:val="1"/>
          <w:color w:val="auto"/>
        </w:rPr>
        <w:t>)</w:t>
      </w:r>
    </w:p>
    <w:p>
      <w:pPr>
        <w:spacing w:after="0" w:line="457" w:lineRule="exact"/>
        <w:rPr>
          <w:sz w:val="24"/>
          <w:szCs w:val="24"/>
          <w:color w:val="auto"/>
        </w:rPr>
      </w:pPr>
    </w:p>
    <w:p>
      <w:pPr>
        <w:sectPr>
          <w:pgSz w:w="11900" w:h="16838" w:orient="portrait"/>
          <w:cols w:equalWidth="0" w:num="3">
            <w:col w:w="3460" w:space="720"/>
            <w:col w:w="3760" w:space="720"/>
            <w:col w:w="2480"/>
          </w:cols>
          <w:pgMar w:left="320" w:top="230" w:right="439" w:bottom="1440" w:gutter="0" w:footer="0" w:header="0"/>
          <w:type w:val="continuous"/>
        </w:sectPr>
      </w:pPr>
    </w:p>
    <w:p>
      <w:pPr>
        <w:jc w:val="center"/>
        <w:ind w:right="-119"/>
        <w:spacing w:after="0" w:line="235"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Edward A. Sturchio</w:t>
      </w:r>
    </w:p>
    <w:p>
      <w:pPr>
        <w:jc w:val="center"/>
        <w:ind w:right="-119"/>
        <w:spacing w:after="0" w:line="226" w:lineRule="auto"/>
        <w:rPr>
          <w:sz w:val="20"/>
          <w:szCs w:val="20"/>
          <w:color w:val="auto"/>
        </w:rPr>
      </w:pPr>
      <w:r>
        <w:rPr>
          <w:rFonts w:ascii="Arial" w:cs="Arial" w:eastAsia="Arial" w:hAnsi="Arial"/>
          <w:sz w:val="14"/>
          <w:szCs w:val="14"/>
          <w:b w:val="1"/>
          <w:bCs w:val="1"/>
          <w:color w:val="auto"/>
        </w:rPr>
        <w:t>Immatics US, Inc.</w:t>
      </w:r>
    </w:p>
    <w:p>
      <w:pPr>
        <w:jc w:val="center"/>
        <w:ind w:right="-119"/>
        <w:spacing w:after="0" w:line="221" w:lineRule="auto"/>
        <w:rPr>
          <w:sz w:val="20"/>
          <w:szCs w:val="20"/>
          <w:color w:val="auto"/>
        </w:rPr>
      </w:pPr>
      <w:r>
        <w:rPr>
          <w:rFonts w:ascii="Arial" w:cs="Arial" w:eastAsia="Arial" w:hAnsi="Arial"/>
          <w:sz w:val="14"/>
          <w:szCs w:val="14"/>
          <w:b w:val="1"/>
          <w:bCs w:val="1"/>
          <w:color w:val="auto"/>
        </w:rPr>
        <w:t>2130 W. Holcombe Blvd., Suite 900</w:t>
      </w:r>
    </w:p>
    <w:p>
      <w:pPr>
        <w:jc w:val="center"/>
        <w:ind w:right="-119"/>
        <w:spacing w:after="0" w:line="222" w:lineRule="auto"/>
        <w:rPr>
          <w:sz w:val="20"/>
          <w:szCs w:val="20"/>
          <w:color w:val="auto"/>
        </w:rPr>
      </w:pPr>
      <w:r>
        <w:rPr>
          <w:rFonts w:ascii="Arial" w:cs="Arial" w:eastAsia="Arial" w:hAnsi="Arial"/>
          <w:sz w:val="14"/>
          <w:szCs w:val="14"/>
          <w:b w:val="1"/>
          <w:bCs w:val="1"/>
          <w:color w:val="auto"/>
        </w:rPr>
        <w:t>Houston, Texas 77030</w:t>
      </w:r>
    </w:p>
    <w:p>
      <w:pPr>
        <w:jc w:val="center"/>
        <w:ind w:right="-119"/>
        <w:spacing w:after="0" w:line="221" w:lineRule="auto"/>
        <w:rPr>
          <w:sz w:val="20"/>
          <w:szCs w:val="20"/>
          <w:color w:val="auto"/>
        </w:rPr>
      </w:pPr>
      <w:r>
        <w:rPr>
          <w:rFonts w:ascii="Arial" w:cs="Arial" w:eastAsia="Arial" w:hAnsi="Arial"/>
          <w:sz w:val="14"/>
          <w:szCs w:val="14"/>
          <w:b w:val="1"/>
          <w:bCs w:val="1"/>
          <w:color w:val="auto"/>
        </w:rPr>
        <w:t>(281) 810-7545</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Copies to:</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Mitchell S. Bloom, Esq.</w:t>
      </w:r>
    </w:p>
    <w:p>
      <w:pPr>
        <w:jc w:val="center"/>
        <w:ind w:right="-119"/>
        <w:spacing w:after="0" w:line="226" w:lineRule="auto"/>
        <w:rPr>
          <w:sz w:val="20"/>
          <w:szCs w:val="20"/>
          <w:color w:val="auto"/>
        </w:rPr>
      </w:pPr>
      <w:r>
        <w:rPr>
          <w:rFonts w:ascii="Arial" w:cs="Arial" w:eastAsia="Arial" w:hAnsi="Arial"/>
          <w:sz w:val="14"/>
          <w:szCs w:val="14"/>
          <w:b w:val="1"/>
          <w:bCs w:val="1"/>
          <w:color w:val="auto"/>
        </w:rPr>
        <w:t>Edwin M. O’Connor, Esq.</w:t>
      </w:r>
    </w:p>
    <w:p>
      <w:pPr>
        <w:jc w:val="center"/>
        <w:ind w:right="-119"/>
        <w:spacing w:after="0" w:line="221" w:lineRule="auto"/>
        <w:rPr>
          <w:sz w:val="20"/>
          <w:szCs w:val="20"/>
          <w:color w:val="auto"/>
        </w:rPr>
      </w:pPr>
      <w:r>
        <w:rPr>
          <w:rFonts w:ascii="Arial" w:cs="Arial" w:eastAsia="Arial" w:hAnsi="Arial"/>
          <w:sz w:val="14"/>
          <w:szCs w:val="14"/>
          <w:b w:val="1"/>
          <w:bCs w:val="1"/>
          <w:color w:val="auto"/>
        </w:rPr>
        <w:t>Goodwin Procter LLP</w:t>
      </w:r>
    </w:p>
    <w:p>
      <w:pPr>
        <w:jc w:val="center"/>
        <w:ind w:right="-119"/>
        <w:spacing w:after="0" w:line="222" w:lineRule="auto"/>
        <w:rPr>
          <w:sz w:val="20"/>
          <w:szCs w:val="20"/>
          <w:color w:val="auto"/>
        </w:rPr>
      </w:pPr>
      <w:r>
        <w:rPr>
          <w:rFonts w:ascii="Arial" w:cs="Arial" w:eastAsia="Arial" w:hAnsi="Arial"/>
          <w:sz w:val="14"/>
          <w:szCs w:val="14"/>
          <w:b w:val="1"/>
          <w:bCs w:val="1"/>
          <w:color w:val="auto"/>
        </w:rPr>
        <w:t>100 Northern Avenue</w:t>
      </w:r>
    </w:p>
    <w:p>
      <w:pPr>
        <w:jc w:val="center"/>
        <w:ind w:right="-119"/>
        <w:spacing w:after="0" w:line="221" w:lineRule="auto"/>
        <w:rPr>
          <w:sz w:val="20"/>
          <w:szCs w:val="20"/>
          <w:color w:val="auto"/>
        </w:rPr>
      </w:pPr>
      <w:r>
        <w:rPr>
          <w:rFonts w:ascii="Arial" w:cs="Arial" w:eastAsia="Arial" w:hAnsi="Arial"/>
          <w:sz w:val="14"/>
          <w:szCs w:val="14"/>
          <w:b w:val="1"/>
          <w:bCs w:val="1"/>
          <w:color w:val="auto"/>
        </w:rPr>
        <w:t>Boston, Massachusetts 02210</w:t>
      </w:r>
    </w:p>
    <w:p>
      <w:pPr>
        <w:jc w:val="center"/>
        <w:ind w:right="-119"/>
        <w:spacing w:after="0"/>
        <w:rPr>
          <w:sz w:val="20"/>
          <w:szCs w:val="20"/>
          <w:color w:val="auto"/>
        </w:rPr>
      </w:pPr>
      <w:r>
        <w:rPr>
          <w:rFonts w:ascii="Arial" w:cs="Arial" w:eastAsia="Arial" w:hAnsi="Arial"/>
          <w:sz w:val="14"/>
          <w:szCs w:val="14"/>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8" w:lineRule="exact"/>
        <w:rPr>
          <w:sz w:val="24"/>
          <w:szCs w:val="24"/>
          <w:color w:val="auto"/>
        </w:rPr>
      </w:pPr>
    </w:p>
    <w:p>
      <w:pPr>
        <w:ind w:left="12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21"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3" w:lineRule="exact"/>
        <w:rPr>
          <w:sz w:val="24"/>
          <w:szCs w:val="24"/>
          <w:color w:val="auto"/>
        </w:rPr>
      </w:pPr>
    </w:p>
    <w:p>
      <w:pPr>
        <w:ind w:left="120" w:right="1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6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5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21"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48" w:lineRule="exact"/>
        <w:rPr>
          <w:sz w:val="24"/>
          <w:szCs w:val="24"/>
          <w:color w:val="auto"/>
        </w:rPr>
      </w:pPr>
    </w:p>
    <w:p>
      <w:pPr>
        <w:ind w:left="120" w:right="28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260" w:hanging="4"/>
        <w:spacing w:after="0" w:line="253" w:lineRule="auto"/>
        <w:tabs>
          <w:tab w:leader="none" w:pos="228"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79375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4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4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6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44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to be</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Security</w:t>
            </w:r>
            <w:r>
              <w:rPr>
                <w:rFonts w:ascii="Arial" w:cs="Arial" w:eastAsia="Arial" w:hAnsi="Arial"/>
                <w:sz w:val="12"/>
                <w:szCs w:val="12"/>
                <w:b w:val="1"/>
                <w:bCs w:val="1"/>
                <w:color w:val="auto"/>
                <w:w w:val="93"/>
              </w:rPr>
              <w:t>(2)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(2)</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Ordinary shares, nominal value of €0.01 per share</w:t>
            </w:r>
          </w:p>
        </w:tc>
        <w:tc>
          <w:tcPr>
            <w:tcW w:w="1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39,332,281</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$10.29</w:t>
            </w:r>
          </w:p>
        </w:tc>
        <w:tc>
          <w:tcPr>
            <w:tcW w:w="1640" w:type="dxa"/>
            <w:vAlign w:val="bottom"/>
            <w:tcBorders>
              <w:bottom w:val="single" w:sz="8" w:color="auto"/>
              <w:right w:val="single" w:sz="8" w:color="auto"/>
            </w:tcBorders>
          </w:tcPr>
          <w:p>
            <w:pPr>
              <w:jc w:val="center"/>
              <w:ind w:left="10"/>
              <w:spacing w:after="0" w:line="142" w:lineRule="exact"/>
              <w:rPr>
                <w:sz w:val="20"/>
                <w:szCs w:val="20"/>
                <w:color w:val="auto"/>
              </w:rPr>
            </w:pPr>
            <w:r>
              <w:rPr>
                <w:rFonts w:ascii="Arial" w:cs="Arial" w:eastAsia="Arial" w:hAnsi="Arial"/>
                <w:sz w:val="14"/>
                <w:szCs w:val="14"/>
                <w:color w:val="auto"/>
                <w:w w:val="91"/>
              </w:rPr>
              <w:t>$404,532,510.09</w:t>
            </w:r>
          </w:p>
        </w:tc>
        <w:tc>
          <w:tcPr>
            <w:tcW w:w="16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1"/>
              </w:rPr>
              <w:t>$52,508.32</w:t>
            </w:r>
          </w:p>
        </w:tc>
        <w:tc>
          <w:tcPr>
            <w:tcW w:w="0" w:type="dxa"/>
            <w:vAlign w:val="bottom"/>
          </w:tcPr>
          <w:p>
            <w:pPr>
              <w:spacing w:after="0"/>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40" w:hanging="424"/>
        <w:spacing w:after="0" w:line="224" w:lineRule="auto"/>
        <w:tabs>
          <w:tab w:leader="none" w:pos="540" w:val="left"/>
        </w:tabs>
        <w:numPr>
          <w:ilvl w:val="0"/>
          <w:numId w:val="2"/>
        </w:numPr>
        <w:rPr>
          <w:rFonts w:ascii="Arial" w:cs="Arial" w:eastAsia="Arial" w:hAnsi="Arial"/>
          <w:sz w:val="12"/>
          <w:szCs w:val="12"/>
          <w:color w:val="auto"/>
        </w:rPr>
      </w:pPr>
      <w:r>
        <w:rPr>
          <w:rFonts w:ascii="Arial" w:cs="Arial" w:eastAsia="Arial" w:hAnsi="Arial"/>
          <w:sz w:val="14"/>
          <w:szCs w:val="14"/>
          <w:color w:val="auto"/>
        </w:rPr>
        <w:t>Represents ordinary shares offered by the selling securityholders identified in this prospectus. Includes an indeterminable number of additional ordinary shares that, pursuant to Rule 416 under the Securities Act of 1933, as amended, may be issued to prevent dilution from stock splits, stock dividends or similar transactions that could affect the ordinary shares to be offered by the selling securityholders.</w:t>
      </w:r>
    </w:p>
    <w:p>
      <w:pPr>
        <w:spacing w:after="0" w:line="1" w:lineRule="exact"/>
        <w:rPr>
          <w:rFonts w:ascii="Arial" w:cs="Arial" w:eastAsia="Arial" w:hAnsi="Arial"/>
          <w:sz w:val="12"/>
          <w:szCs w:val="12"/>
          <w:color w:val="auto"/>
        </w:rPr>
      </w:pPr>
    </w:p>
    <w:p>
      <w:pPr>
        <w:ind w:left="540" w:right="220" w:hanging="424"/>
        <w:spacing w:after="0" w:line="237" w:lineRule="auto"/>
        <w:tabs>
          <w:tab w:leader="none" w:pos="540" w:val="left"/>
        </w:tabs>
        <w:numPr>
          <w:ilvl w:val="0"/>
          <w:numId w:val="2"/>
        </w:numPr>
        <w:rPr>
          <w:rFonts w:ascii="Arial" w:cs="Arial" w:eastAsia="Arial" w:hAnsi="Arial"/>
          <w:sz w:val="12"/>
          <w:szCs w:val="12"/>
          <w:color w:val="auto"/>
        </w:rPr>
      </w:pPr>
      <w:r>
        <w:rPr>
          <w:rFonts w:ascii="Arial" w:cs="Arial" w:eastAsia="Arial" w:hAnsi="Arial"/>
          <w:sz w:val="14"/>
          <w:szCs w:val="14"/>
          <w:color w:val="auto"/>
        </w:rPr>
        <w:t>Pursuant to Rule 457(c) under the Securities Act of 1933, as amended, and solely for the purpose of calculating the registration fee, the proposed maximum offering price is $10.29, which is the average of the high and low prices of the registrant’s ordinary shares on July 27, 2020 on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85090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6" w:lineRule="exact"/>
        <w:rPr>
          <w:sz w:val="24"/>
          <w:szCs w:val="24"/>
          <w:color w:val="auto"/>
        </w:rPr>
      </w:pPr>
    </w:p>
    <w:p>
      <w:pPr>
        <w:jc w:val="both"/>
        <w:ind w:left="120" w:right="280"/>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300"/>
        <w:spacing w:after="0" w:line="314" w:lineRule="auto"/>
        <w:rPr>
          <w:sz w:val="20"/>
          <w:szCs w:val="20"/>
          <w:color w:val="auto"/>
        </w:rPr>
      </w:pPr>
      <w:r>
        <w:rPr>
          <w:rFonts w:ascii="Arial" w:cs="Arial" w:eastAsia="Arial" w:hAnsi="Arial"/>
          <w:sz w:val="16"/>
          <w:szCs w:val="16"/>
          <w:b w:val="1"/>
          <w:bCs w:val="1"/>
          <w:color w:val="EB0029"/>
        </w:rPr>
        <w:t>The information in this prospectus is not complete and may be changed. Neither we nor the selling securityholders may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EB0029"/>
        </w:rPr>
        <w:t>Subject to completion, dated July 31, 2020</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40"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Immatics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1764030</wp:posOffset>
            </wp:positionV>
            <wp:extent cx="6995160" cy="2520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39,332,281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140335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This prospectus relates to the offer and sale from time to time by the selling securityholders or their permitted transferees (collectively, the “selling securityholders”) of up to 39,332,281 of our ordinary shares, €0.01 nominal value per share. This prospectus also covers any additional securities that may become issuable by reason of share splits, share dividends or other similar transactions.</w:t>
      </w:r>
    </w:p>
    <w:p>
      <w:pPr>
        <w:spacing w:after="0" w:line="22"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The shares covered by this prospectus include (i) 28,917,281 ordinary shares issued to certain selling securityholders in connection with the closing of the business combination (the “Business Combination”) between us, ARYA Sciences Acquisition Corp., a Cayman Islands exempted company, Immatics Biotechnologies GmbH, a German limited liability company, Immatics Merger Sub 1, a Cayman Islands exempted company, and Immatics</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Merger Sub 2, a Cayman Islands exempted company, and (ii) 10,415,000 ordinary shares issued to certain securityholders in connection with the closing of a private placement offering at a price per share of $10.00, for gross proceeds of approximately $104.2 million, both of which closed on July 1, 2020.</w:t>
      </w:r>
    </w:p>
    <w:p>
      <w:pPr>
        <w:spacing w:after="0" w:line="28"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We are registering the offer and sale of the securities described above to satisfy certain registration rights we have granted. We are registering these securities for resale by the selling securityholders named in this prospectus, or their transferees, pledgees, donees or assignees or other successors-in-interest that receive any of the shares as a gift, distribution, or other non-sale related transfer. The selling securityholders may offer all or part of the securities for resale from time to time through public or private transactions, at either prevailing market prices or at privately negotiated prices. These securities are being registered to permit the selling securityholders to sell securities from time to time, in amounts, at prices and on terms determined at the time of offering. The selling securityholders may sell these securities through ordinary brokerage transactions, directly to market makers of our shares or through any other means described in the section titled “</w:t>
      </w:r>
      <w:r>
        <w:rPr>
          <w:rFonts w:ascii="Arial" w:cs="Arial" w:eastAsia="Arial" w:hAnsi="Arial"/>
          <w:sz w:val="16"/>
          <w:szCs w:val="16"/>
          <w:i w:val="1"/>
          <w:iCs w:val="1"/>
          <w:color w:val="auto"/>
        </w:rPr>
        <w:t>Plan of Distribution</w:t>
      </w:r>
      <w:r>
        <w:rPr>
          <w:rFonts w:ascii="Arial" w:cs="Arial" w:eastAsia="Arial" w:hAnsi="Arial"/>
          <w:sz w:val="16"/>
          <w:szCs w:val="16"/>
          <w:color w:val="auto"/>
        </w:rPr>
        <w:t>”. In connection with any sales of ordinary shares offered hereunder, the selling securityholders, any underwriters, agents, brokers or dealers participating in such sales may be deemed to be “underwriters” within the meaning of the Securities Act of 1933, as amended (the “Securities Act”).</w:t>
      </w:r>
    </w:p>
    <w:p>
      <w:pPr>
        <w:sectPr>
          <w:pgSz w:w="11900" w:h="16913" w:orient="portrait"/>
          <w:cols w:equalWidth="0" w:num="1">
            <w:col w:w="11040"/>
          </w:cols>
          <w:pgMar w:left="320" w:top="459" w:right="539" w:bottom="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All of the ordinary shares offered by the selling securityholders pursuant to this prospectus will be sold by the selling securityholders for their respective accounts. We will not receive any of the proceeds from such sales.</w:t>
      </w:r>
    </w:p>
    <w:p>
      <w:pPr>
        <w:spacing w:after="0" w:line="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will pay certain expenses associated with the registration of the securities covered by this prospectus, as described in the section titled “</w:t>
      </w:r>
      <w:r>
        <w:rPr>
          <w:rFonts w:ascii="Arial" w:cs="Arial" w:eastAsia="Arial" w:hAnsi="Arial"/>
          <w:sz w:val="18"/>
          <w:szCs w:val="18"/>
          <w:i w:val="1"/>
          <w:iCs w:val="1"/>
          <w:color w:val="auto"/>
        </w:rPr>
        <w:t>Plan of</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w:t>
      </w:r>
      <w:r>
        <w:rPr>
          <w:rFonts w:ascii="Arial" w:cs="Arial" w:eastAsia="Arial" w:hAnsi="Arial"/>
          <w:sz w:val="18"/>
          <w:szCs w:val="18"/>
          <w:color w:val="auto"/>
        </w:rPr>
        <w:t>”.</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ordinary shares are listed on The Nasdaq Stock Market LLC (“Nasdaq”) under the symbol “IMTX”. On July 30, 2020, the last reported sale price of our ordinary shares as reported on Nasdaq was $11.10 per share.</w:t>
      </w:r>
    </w:p>
    <w:p>
      <w:pPr>
        <w:spacing w:after="0" w:line="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an “emerging growth company” as that term is defined in the Jumpstart Our Business Startups Act of 2012 and, as such, are subject to reduced public company reporting requirements.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Paul-Ehrlich-Straße 15, 72076 Tübingen, 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126365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9" w:lineRule="exact"/>
        <w:rPr>
          <w:sz w:val="20"/>
          <w:szCs w:val="20"/>
          <w:color w:val="auto"/>
        </w:rPr>
      </w:pPr>
    </w:p>
    <w:p>
      <w:pPr>
        <w:jc w:val="both"/>
        <w:ind w:right="360"/>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a high degree of risk. Before buying any securities, you should carefully read the discussion of material risks of investing in our securities in “</w:t>
      </w:r>
      <w:hyperlink w:anchor="page20">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14 of this prospectus.</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1" w:lineRule="exact"/>
        <w:rPr>
          <w:sz w:val="20"/>
          <w:szCs w:val="20"/>
          <w:color w:val="auto"/>
        </w:rPr>
      </w:pPr>
    </w:p>
    <w:tbl>
      <w:tblPr>
        <w:tblLayout w:type="fixed"/>
        <w:tblInd w:w="424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ectPr>
          <w:pgSz w:w="11900" w:h="16838" w:orient="portrait"/>
          <w:cols w:equalWidth="0" w:num="1">
            <w:col w:w="10980"/>
          </w:cols>
          <w:pgMar w:left="440" w:top="125" w:right="47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1160" w:type="dxa"/>
            <w:vAlign w:val="bottom"/>
          </w:tcPr>
          <w:p>
            <w:pPr>
              <w:spacing w:after="0"/>
              <w:rPr>
                <w:sz w:val="20"/>
                <w:szCs w:val="20"/>
                <w:color w:val="auto"/>
              </w:rPr>
            </w:pPr>
          </w:p>
        </w:tc>
      </w:tr>
      <w:tr>
        <w:trPr>
          <w:trHeight w:val="513"/>
        </w:trPr>
        <w:tc>
          <w:tcPr>
            <w:tcW w:w="99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4"/>
                <w:szCs w:val="24"/>
                <w:color w:val="auto"/>
              </w:rPr>
            </w:pPr>
          </w:p>
        </w:tc>
      </w:tr>
      <w:tr>
        <w:trPr>
          <w:trHeight w:val="445"/>
        </w:trPr>
        <w:tc>
          <w:tcPr>
            <w:tcW w:w="992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SUMMARY</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THE OFFERING</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SELECTED CONSOLIDATED HISTORICAL AND OTHER FINANCIAL INFORMATION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SELECTED UNAUDITED PRO FORMA CONDENSED FINANCIAL INFORMATION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CAUTIONARY NOTE REGARDING FORWARD-LOOKING STATEMENTS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USE OF PROCEEDS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DIVIDEND POLICY</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CAPITALIZATION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UNAUDITED PRO FORMA CONDENSED COMBINED FINANCIAL INFORMATION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BUSINESS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MANAGEMENT’S DISCUSSION AND ANALYSIS OF FINANCIAL CONDITION AND RESULTS OF OPERATIONS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MANAGEMENT</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EXECUTIVE COMPENSATION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DESCRIPTION OF SECURITIES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CERTAIN RELATIONSHIPS AND RELATED PERSON TRANSACTIONS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PRINCIPAL SECURITYHOLDERS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SELLING SECURITYHOLDERS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TAXATION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248">
              <w:r>
                <w:rPr>
                  <w:rFonts w:ascii="Arial" w:cs="Arial" w:eastAsia="Arial" w:hAnsi="Arial"/>
                  <w:sz w:val="18"/>
                  <w:szCs w:val="18"/>
                  <w:u w:val="single" w:color="auto"/>
                  <w:color w:val="0000EE"/>
                </w:rPr>
                <w:t>PLAN OF DISTRIBUTION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253">
              <w:r>
                <w:rPr>
                  <w:rFonts w:ascii="Arial" w:cs="Arial" w:eastAsia="Arial" w:hAnsi="Arial"/>
                  <w:sz w:val="18"/>
                  <w:szCs w:val="18"/>
                  <w:u w:val="single" w:color="auto"/>
                  <w:color w:val="0000EE"/>
                </w:rPr>
                <w:t>SHARES ELIGIBLE FOR FUTURE SALE</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257">
              <w:r>
                <w:rPr>
                  <w:rFonts w:ascii="Arial" w:cs="Arial" w:eastAsia="Arial" w:hAnsi="Arial"/>
                  <w:sz w:val="18"/>
                  <w:szCs w:val="18"/>
                  <w:u w:val="single" w:color="auto"/>
                  <w:color w:val="0000EE"/>
                </w:rPr>
                <w:t>LEGAL MATTERS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257">
              <w:r>
                <w:rPr>
                  <w:rFonts w:ascii="Arial" w:cs="Arial" w:eastAsia="Arial" w:hAnsi="Arial"/>
                  <w:sz w:val="18"/>
                  <w:szCs w:val="18"/>
                  <w:u w:val="single" w:color="auto"/>
                  <w:color w:val="0000EE"/>
                </w:rPr>
                <w:t>EXPERTS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9920" w:type="dxa"/>
            <w:vAlign w:val="bottom"/>
          </w:tcPr>
          <w:p>
            <w:pPr>
              <w:ind w:left="120"/>
              <w:spacing w:after="0"/>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WHERE YOU CAN FIND MORE INFORMATION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9920" w:type="dxa"/>
            <w:vAlign w:val="bottom"/>
          </w:tcPr>
          <w:p>
            <w:pPr>
              <w:ind w:left="120"/>
              <w:spacing w:after="0"/>
              <w:rPr>
                <w:rFonts w:ascii="Arial" w:cs="Arial" w:eastAsia="Arial" w:hAnsi="Arial"/>
                <w:sz w:val="18"/>
                <w:szCs w:val="18"/>
                <w:u w:val="single" w:color="auto"/>
                <w:color w:val="0000EE"/>
              </w:rPr>
            </w:pPr>
            <w:hyperlink w:anchor="page259">
              <w:r>
                <w:rPr>
                  <w:rFonts w:ascii="Arial" w:cs="Arial" w:eastAsia="Arial" w:hAnsi="Arial"/>
                  <w:sz w:val="18"/>
                  <w:szCs w:val="18"/>
                  <w:u w:val="single" w:color="auto"/>
                  <w:color w:val="0000EE"/>
                </w:rPr>
                <w:t>INDEX TO FINANCIAL STATEMENTS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98"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b w:val="1"/>
          <w:bCs w:val="1"/>
          <w:color w:val="auto"/>
        </w:rPr>
        <w:t>You should rely only on the information contained in this prospectus, any amendment or supplement to this prospectus or any free writing prospectus prepared by us or on our behalf. 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selling securityholders are not making an offer to sell these securities in any jurisdiction where the offer or sale is not permitted. The information contained in this prospectus is accurate only as of the date of this prospectus or such other date stated in this prospectus, and our business, financial condition, results of operations and/or prospects may have changed since those dates.</w:t>
      </w:r>
    </w:p>
    <w:p>
      <w:pPr>
        <w:spacing w:after="0" w:line="17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INFORMATION ABOUT IFRS AND NON-IFRS FINANCIAL MEASURES</w:t>
      </w:r>
    </w:p>
    <w:p>
      <w:pPr>
        <w:spacing w:after="0" w:line="22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audited financial statements of Immatics Biotechnologies GmbH are prepared in accordance with International Financial Reporting Standards as issued by the International Accounting Standards Board (“IFRS”).</w:t>
      </w:r>
    </w:p>
    <w:p>
      <w:pPr>
        <w:spacing w:after="0" w:line="38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prospectus, unless otherwise specified or the context otherwise requires:</w:t>
      </w:r>
    </w:p>
    <w:p>
      <w:pPr>
        <w:spacing w:after="0" w:line="131"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“USD” and “U.S. dollar” each refer to the United States dollar;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“EUR” and “Euro” each refer to the Euro.</w:t>
      </w:r>
    </w:p>
    <w:p>
      <w:pPr>
        <w:spacing w:after="0" w:line="22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exchange rate used for conversion between U.S. dollars and Euros is based on the ECB euro reference exchange rate published by the European Central Bank.</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Immatics 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1566545</wp:posOffset>
            </wp:positionV>
            <wp:extent cx="6995160" cy="2820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2820035"/>
                    </a:xfrm>
                    <a:prstGeom prst="rect">
                      <a:avLst/>
                    </a:prstGeom>
                    <a:noFill/>
                  </pic:spPr>
                </pic:pic>
              </a:graphicData>
            </a:graphic>
          </wp:anchor>
        </w:drawing>
      </w:r>
    </w:p>
    <w:p>
      <w:pPr>
        <w:sectPr>
          <w:pgSz w:w="11900" w:h="16838" w:orient="portrait"/>
          <w:cols w:equalWidth="0" w:num="1">
            <w:col w:w="11120"/>
          </w:cols>
          <w:pgMar w:left="320" w:top="459" w:right="4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hanging="4"/>
        <w:spacing w:after="0" w:line="254"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Immatics</w:t>
      </w:r>
      <w:r>
        <w:rPr>
          <w:rFonts w:ascii="Arial" w:cs="Arial" w:eastAsia="Arial" w:hAnsi="Arial"/>
          <w:sz w:val="15"/>
          <w:szCs w:val="15"/>
          <w:color w:val="auto"/>
        </w:rPr>
        <w:t>®</w:t>
      </w:r>
      <w:r>
        <w:rPr>
          <w:rFonts w:ascii="Arial" w:cs="Arial" w:eastAsia="Arial" w:hAnsi="Arial"/>
          <w:sz w:val="18"/>
          <w:szCs w:val="18"/>
          <w:color w:val="auto"/>
        </w:rPr>
        <w:t>, XPRESIDENT</w:t>
      </w:r>
      <w:r>
        <w:rPr>
          <w:rFonts w:ascii="Arial" w:cs="Arial" w:eastAsia="Arial" w:hAnsi="Arial"/>
          <w:sz w:val="15"/>
          <w:szCs w:val="15"/>
          <w:color w:val="auto"/>
        </w:rPr>
        <w:t>®</w:t>
      </w:r>
      <w:r>
        <w:rPr>
          <w:rFonts w:ascii="Arial" w:cs="Arial" w:eastAsia="Arial" w:hAnsi="Arial"/>
          <w:sz w:val="18"/>
          <w:szCs w:val="18"/>
          <w:color w:val="auto"/>
        </w:rPr>
        <w:t>, ACTengine</w:t>
      </w:r>
      <w:r>
        <w:rPr>
          <w:rFonts w:ascii="Arial" w:cs="Arial" w:eastAsia="Arial" w:hAnsi="Arial"/>
          <w:sz w:val="15"/>
          <w:szCs w:val="15"/>
          <w:color w:val="auto"/>
        </w:rPr>
        <w:t>®</w:t>
      </w:r>
      <w:r>
        <w:rPr>
          <w:rFonts w:ascii="Arial" w:cs="Arial" w:eastAsia="Arial" w:hAnsi="Arial"/>
          <w:sz w:val="18"/>
          <w:szCs w:val="18"/>
          <w:color w:val="auto"/>
        </w:rPr>
        <w:t>, ACTallo</w:t>
      </w:r>
      <w:r>
        <w:rPr>
          <w:rFonts w:ascii="Arial" w:cs="Arial" w:eastAsia="Arial" w:hAnsi="Arial"/>
          <w:sz w:val="15"/>
          <w:szCs w:val="15"/>
          <w:color w:val="auto"/>
        </w:rPr>
        <w:t>®</w:t>
      </w:r>
      <w:r>
        <w:rPr>
          <w:rFonts w:ascii="Arial" w:cs="Arial" w:eastAsia="Arial" w:hAnsi="Arial"/>
          <w:sz w:val="18"/>
          <w:szCs w:val="18"/>
          <w:color w:val="auto"/>
        </w:rPr>
        <w:t>, ACTolog</w:t>
      </w:r>
      <w:r>
        <w:rPr>
          <w:rFonts w:ascii="Arial" w:cs="Arial" w:eastAsia="Arial" w:hAnsi="Arial"/>
          <w:sz w:val="15"/>
          <w:szCs w:val="15"/>
          <w:color w:val="auto"/>
        </w:rPr>
        <w:t>®</w:t>
      </w:r>
      <w:r>
        <w:rPr>
          <w:rFonts w:ascii="Arial" w:cs="Arial" w:eastAsia="Arial" w:hAnsi="Arial"/>
          <w:sz w:val="18"/>
          <w:szCs w:val="18"/>
          <w:color w:val="auto"/>
        </w:rPr>
        <w:t>, XCEPTOR</w:t>
      </w:r>
      <w:r>
        <w:rPr>
          <w:rFonts w:ascii="Arial" w:cs="Arial" w:eastAsia="Arial" w:hAnsi="Arial"/>
          <w:sz w:val="15"/>
          <w:szCs w:val="15"/>
          <w:color w:val="auto"/>
        </w:rPr>
        <w:t>™</w:t>
      </w:r>
      <w:r>
        <w:rPr>
          <w:rFonts w:ascii="Arial" w:cs="Arial" w:eastAsia="Arial" w:hAnsi="Arial"/>
          <w:sz w:val="18"/>
          <w:szCs w:val="18"/>
          <w:color w:val="auto"/>
        </w:rPr>
        <w:t>, TCER</w:t>
      </w:r>
      <w:r>
        <w:rPr>
          <w:rFonts w:ascii="Arial" w:cs="Arial" w:eastAsia="Arial" w:hAnsi="Arial"/>
          <w:sz w:val="15"/>
          <w:szCs w:val="15"/>
          <w:color w:val="auto"/>
        </w:rPr>
        <w:t>™</w:t>
      </w:r>
      <w:r>
        <w:rPr>
          <w:rFonts w:ascii="Arial" w:cs="Arial" w:eastAsia="Arial" w:hAnsi="Arial"/>
          <w:sz w:val="18"/>
          <w:szCs w:val="18"/>
          <w:color w:val="auto"/>
        </w:rPr>
        <w:t>, AbsQuant</w:t>
      </w:r>
      <w:r>
        <w:rPr>
          <w:rFonts w:ascii="Arial" w:cs="Arial" w:eastAsia="Arial" w:hAnsi="Arial"/>
          <w:sz w:val="15"/>
          <w:szCs w:val="15"/>
          <w:color w:val="auto"/>
        </w:rPr>
        <w:t>™</w:t>
      </w:r>
      <w:r>
        <w:rPr>
          <w:rFonts w:ascii="Arial" w:cs="Arial" w:eastAsia="Arial" w:hAnsi="Arial"/>
          <w:sz w:val="18"/>
          <w:szCs w:val="18"/>
          <w:color w:val="auto"/>
        </w:rPr>
        <w:t>, IMADetect</w:t>
      </w:r>
      <w:r>
        <w:rPr>
          <w:rFonts w:ascii="Arial" w:cs="Arial" w:eastAsia="Arial" w:hAnsi="Arial"/>
          <w:sz w:val="15"/>
          <w:szCs w:val="15"/>
          <w:color w:val="auto"/>
        </w:rPr>
        <w:t>™</w:t>
      </w:r>
      <w:r>
        <w:rPr>
          <w:rFonts w:ascii="Arial" w:cs="Arial" w:eastAsia="Arial" w:hAnsi="Arial"/>
          <w:sz w:val="18"/>
          <w:szCs w:val="18"/>
          <w:color w:val="auto"/>
        </w:rPr>
        <w:t xml:space="preserve"> and other trademarks or service marks of Immatics appearing in this prospectus are the property of the company. Solely for convenience, some of the trademarks, service marks, logos and trade names referred to in this prospectus are presented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ectPr>
          <w:pgSz w:w="11900" w:h="16838" w:orient="portrait"/>
          <w:cols w:equalWidth="0" w:num="1">
            <w:col w:w="11120"/>
          </w:cols>
          <w:pgMar w:left="320" w:top="459" w:right="45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019"/>
          </w:cols>
          <w:pgMar w:left="1440" w:top="638"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
        <w:spacing w:after="0" w:line="255" w:lineRule="auto"/>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the our company and this offering, we encourage you to read and consider carefully the more detailed information in this prospectus, any related prospectus supplement and any related free writing prospectus, including the information set forth in the section titled “Risk Factors” in this prospectus, any related prospectus supplement and any related free writing prospectus in their entirety before making an investment decision.</w:t>
      </w:r>
    </w:p>
    <w:p>
      <w:pPr>
        <w:spacing w:after="0" w:line="192" w:lineRule="exact"/>
        <w:rPr>
          <w:sz w:val="20"/>
          <w:szCs w:val="20"/>
          <w:color w:val="auto"/>
        </w:rPr>
      </w:pPr>
    </w:p>
    <w:p>
      <w:pPr>
        <w:ind w:left="300" w:right="60"/>
        <w:spacing w:after="0" w:line="273" w:lineRule="auto"/>
        <w:rPr>
          <w:sz w:val="20"/>
          <w:szCs w:val="20"/>
          <w:color w:val="auto"/>
        </w:rPr>
      </w:pPr>
      <w:r>
        <w:rPr>
          <w:rFonts w:ascii="Arial" w:cs="Arial" w:eastAsia="Arial" w:hAnsi="Arial"/>
          <w:sz w:val="17"/>
          <w:szCs w:val="17"/>
          <w:i w:val="1"/>
          <w:iCs w:val="1"/>
          <w:color w:val="auto"/>
        </w:rPr>
        <w:t>Unless otherwise stated or the context otherwise indicates, (i) references to the “company”, “we”, “our” or “us” refer to Immatics N.V., together with its subsidiaries, including Immatics Biotechnologies GmbH; (ii) references to “Immatics” refer solely to Immatics N.V.; and (iii) references to “Immatics OpCo” refer solely to Immatics Biotechnologies GmbH. Immatics N.V. is a Dutch public limited liability company (naamloze vennootschap) incorporated on March 10, 2020 and the holding company of Immatics Biotechnologies GmbH, a German biopharmaceutical company incorporated in 2000 focused on the development of T cell receptor-based immunotherapies for the treatment of cancer. Immatics Biotechnologies GmbH holds all material assets and conducts all business activities and operations of Immatics N.V.</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We combine the discovery of true targets for cancer immunotherapies with the development of the right T cell receptors (“TCRs”) with the goal of enabling a robust and specific T cell response against these targets. This deep know-how is the foundation for our pipeline of Adoptive Cell Therapies and TCR Bispecifics, as well as for our collaborations with global leaders in the pharmaceutical industry. We are committed to delivering the power of T cells and to unlocking new avenues for patients in our fight against cancer.</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Pioneering Therapies</w:t>
      </w:r>
    </w:p>
    <w:p>
      <w:pPr>
        <w:spacing w:after="0" w:line="117" w:lineRule="exact"/>
        <w:rPr>
          <w:sz w:val="20"/>
          <w:szCs w:val="20"/>
          <w:color w:val="auto"/>
        </w:rPr>
      </w:pPr>
    </w:p>
    <w:p>
      <w:pPr>
        <w:ind w:left="300" w:right="40"/>
        <w:spacing w:after="0" w:line="287" w:lineRule="auto"/>
        <w:rPr>
          <w:sz w:val="20"/>
          <w:szCs w:val="20"/>
          <w:color w:val="auto"/>
        </w:rPr>
      </w:pPr>
      <w:r>
        <w:rPr>
          <w:rFonts w:ascii="Arial" w:cs="Arial" w:eastAsia="Arial" w:hAnsi="Arial"/>
          <w:sz w:val="16"/>
          <w:szCs w:val="16"/>
          <w:color w:val="auto"/>
        </w:rPr>
        <w:t>Our pipeline consists of two lead product classes, engineered Adoptive Cell Therapies (ACTengine) and antibody-like TCR Bispecifics (TCER). Each therapeutic modality has distinct attributes to produce the desired therapeutic effect for patients at different disease stages and with different types of tumors focusing on particularly hard-to-treat solid cancers. With this approach, we believe that we are well positioned to expand the potential therapeutic value for patients across a broad range of tumor types and stages. In addition, we are developing strategies designed to advance commercial viability, safety and clinical efficacy via process optimization for Adoptive Cell Therapy (ACT) programs and implementing next-generation ACT approaches including allogeneic cell therapies (ACTallo) and a novel ultra-personalized approach to immunotherapy. We are developing the following product candidates: ACTengine IMA201, IMA202, IMA203 programs are in Phase 1 clinical trials and IMA204 is in preclinical development. In addition, we are developing one preclinical stage ACTallo product candidate (IMA301). ACTolog, currently in a Phase 1 clinical trial, is our clinical pilot trial (IMA101) for multi-target ACT. ACTolog (IMA101) is a clinical pilot trial (not intended to be developed as a product candidate) delivering a proof-of-principle for our next-generation multi-TCR-T approach. Within its TCER modality, we are advancing two preclinical TCR Bispecifics candidates towards the IND stage of development and first-in-human clinical trials, IMA401 and IMA402.</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Competitive Advantage</w:t>
      </w:r>
    </w:p>
    <w:p>
      <w:pPr>
        <w:spacing w:after="0" w:line="117" w:lineRule="exact"/>
        <w:rPr>
          <w:sz w:val="20"/>
          <w:szCs w:val="20"/>
          <w:color w:val="auto"/>
        </w:rPr>
      </w:pPr>
    </w:p>
    <w:p>
      <w:pPr>
        <w:ind w:left="300" w:right="780"/>
        <w:spacing w:after="0" w:line="277" w:lineRule="auto"/>
        <w:rPr>
          <w:sz w:val="20"/>
          <w:szCs w:val="20"/>
          <w:color w:val="auto"/>
        </w:rPr>
      </w:pPr>
      <w:r>
        <w:rPr>
          <w:rFonts w:ascii="Arial" w:cs="Arial" w:eastAsia="Arial" w:hAnsi="Arial"/>
          <w:sz w:val="18"/>
          <w:szCs w:val="18"/>
          <w:color w:val="auto"/>
        </w:rPr>
        <w:t>We aim to cover all required areas key to developing effective TCR-based cancer immunotherapies in one company. Our two proprietary technology discovery platforms enabling identification of true targets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2" w:lineRule="auto"/>
        <w:rPr>
          <w:sz w:val="20"/>
          <w:szCs w:val="20"/>
          <w:color w:val="auto"/>
        </w:rPr>
      </w:pPr>
      <w:r>
        <w:rPr>
          <w:rFonts w:ascii="Arial" w:cs="Arial" w:eastAsia="Arial" w:hAnsi="Arial"/>
          <w:sz w:val="17"/>
          <w:szCs w:val="17"/>
          <w:color w:val="auto"/>
        </w:rPr>
        <w:t>development of right TCRs are a unique strength to this end. We believe that our systematic application of the XPRESIDENT platform over more than a decade has created the largest peptide-HLA (pHLA) target database known in the industry and enables identification of otherwise inaccessible and intracellular drug targets with very high sensitivity. From this large pool of targets, we have recently focused on a prioritized short-list of over 200 cancer targets and have developed an extensive intellectual property portfolio to protect our discoveries. The proprietary XCEPTOR technology platform is designed to facilitate the fast and efficient discovery, engineering and validation of TCRs with high affinity and high specificity and benefits from a unique interplay with the XPRESIDENT target database. We believe that our technology platforms, therapeutic modalities and scientific knowledge provide us with a significant competitive advantage.</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Intellectual Property Portfolio</w:t>
      </w:r>
    </w:p>
    <w:p>
      <w:pPr>
        <w:spacing w:after="0" w:line="117" w:lineRule="exact"/>
        <w:rPr>
          <w:sz w:val="20"/>
          <w:szCs w:val="20"/>
          <w:color w:val="auto"/>
        </w:rPr>
      </w:pPr>
    </w:p>
    <w:p>
      <w:pPr>
        <w:ind w:left="300" w:right="120"/>
        <w:spacing w:after="0" w:line="255" w:lineRule="auto"/>
        <w:rPr>
          <w:sz w:val="20"/>
          <w:szCs w:val="20"/>
          <w:color w:val="auto"/>
        </w:rPr>
      </w:pPr>
      <w:r>
        <w:rPr>
          <w:rFonts w:ascii="Arial" w:cs="Arial" w:eastAsia="Arial" w:hAnsi="Arial"/>
          <w:sz w:val="18"/>
          <w:szCs w:val="18"/>
          <w:color w:val="auto"/>
        </w:rPr>
        <w:t>We intend to continue building on our extensive intellectual property portfolio in the field of cancer targets, TCRs and technologies. Our portfolio currently includes over 3,000 worldwide active patent applications and more than 1,550 secured patents, of which over 230 are granted in the United States. We own patent applications directed to its IMA202 (MAGEA1) product candidate and patents and applications directed to its IMA201 (MAGE4/8), IMA203 (PRAME), IMA204 (COL6A3 exon 6), IMA301 (cancer testis antigen), and IMA401 (cancer testis antigen) product candidates. The protection of our assets is a key element of our ability to not only strengthen our product pipeline, but also to successfully defend and expand our position as a leader in the field of TCR therapies.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Collaborations with Global Leaders</w:t>
      </w:r>
    </w:p>
    <w:p>
      <w:pPr>
        <w:spacing w:after="0" w:line="117" w:lineRule="exact"/>
        <w:rPr>
          <w:sz w:val="20"/>
          <w:szCs w:val="20"/>
          <w:color w:val="auto"/>
        </w:rPr>
      </w:pPr>
    </w:p>
    <w:p>
      <w:pPr>
        <w:ind w:left="300" w:right="100"/>
        <w:spacing w:after="0" w:line="255" w:lineRule="auto"/>
        <w:rPr>
          <w:sz w:val="20"/>
          <w:szCs w:val="20"/>
          <w:color w:val="auto"/>
        </w:rPr>
      </w:pPr>
      <w:r>
        <w:rPr>
          <w:rFonts w:ascii="Arial" w:cs="Arial" w:eastAsia="Arial" w:hAnsi="Arial"/>
          <w:sz w:val="18"/>
          <w:szCs w:val="18"/>
          <w:color w:val="auto"/>
        </w:rPr>
        <w:t>The differentiated nature of our discovery programs has been validated by our recent collaborations, including with Amgen, Genmab, Bristol Myers Squibb and GlaxoSmithKline, which involve a total of 10 Immatics targets. We will seek to capitalize on the respective collaborator’s drug development and regulatory expertise and commercial capabilities to bring our collaboration product candidates to market. We do not rely or depend on any of the above-mentioned collaborations, however, and we do not consider them material for our proprietary pipeline. We established material collaborations and/or licenses with MD Anderson Cancer Center, UTHealth and Sanquin and consider them important for further development of our clinical pipeline.</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Highly Experienced Global Leadership Team</w:t>
      </w:r>
    </w:p>
    <w:p>
      <w:pPr>
        <w:spacing w:after="0" w:line="117" w:lineRule="exact"/>
        <w:rPr>
          <w:sz w:val="20"/>
          <w:szCs w:val="20"/>
          <w:color w:val="auto"/>
        </w:rPr>
      </w:pPr>
    </w:p>
    <w:p>
      <w:pPr>
        <w:ind w:left="300" w:right="40"/>
        <w:spacing w:after="0" w:line="254" w:lineRule="auto"/>
        <w:rPr>
          <w:sz w:val="20"/>
          <w:szCs w:val="20"/>
          <w:color w:val="auto"/>
        </w:rPr>
      </w:pPr>
      <w:r>
        <w:rPr>
          <w:rFonts w:ascii="Arial" w:cs="Arial" w:eastAsia="Arial" w:hAnsi="Arial"/>
          <w:sz w:val="18"/>
          <w:szCs w:val="18"/>
          <w:color w:val="auto"/>
        </w:rPr>
        <w:t>We have a highly experienced global leadership team that operates seamlessly between our locations in Germany and the United States. Our management consists of an interdisciplinary team that includes medical and scientific experts, as well as accomplished business leaders, and collectively has multiple decades of experience in the pharmaceutical and biotechnology industries. In addition, our management team includes the creators and developers of our core technologies, and benefits from their continued contributions. From its research and development origins in Tübingen, Germany, to its cell therapy research and development and manufacturing center in Houston, Texas, our global team is committed to developing and advancing the our therapeutic pipeline and supporting our collaboration programs to address significant unmet medical needs in oncology.</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Closing of the Business Combination</w:t>
      </w:r>
    </w:p>
    <w:p>
      <w:pPr>
        <w:spacing w:after="0" w:line="117" w:lineRule="exact"/>
        <w:rPr>
          <w:sz w:val="20"/>
          <w:szCs w:val="20"/>
          <w:color w:val="auto"/>
        </w:rPr>
      </w:pPr>
    </w:p>
    <w:p>
      <w:pPr>
        <w:ind w:left="300" w:right="100"/>
        <w:spacing w:after="0" w:line="257" w:lineRule="auto"/>
        <w:rPr>
          <w:sz w:val="20"/>
          <w:szCs w:val="20"/>
          <w:color w:val="auto"/>
        </w:rPr>
      </w:pPr>
      <w:r>
        <w:rPr>
          <w:rFonts w:ascii="Arial" w:cs="Arial" w:eastAsia="Arial" w:hAnsi="Arial"/>
          <w:sz w:val="18"/>
          <w:szCs w:val="18"/>
          <w:color w:val="auto"/>
        </w:rPr>
        <w:t>On July 1, 2020 (the “Closing Date”), we closed the previously announced business combination (the “Business Combination”) pursuant to the Business Combination Agreement, dated as of March 17, 2020, as amended by Amendment No. 1, dated June 7, 2020 (as amended, the “Business Combination Agreement”), by and among Immatics, Immatics OpCo, ARYA Sciences Acquisition Corp., a Cayman Islands exempted company (“ARYA”), Immatics Merger Sub 1, a Cayman Islands exempted company (“ARYA Merger Sub”), and Immatics Merger Sub 2, a Cayman Islands exempted company (“IB Merger Sub”).</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On the Closing Date, Immatics issued (i) 52,493,617 ordinary shares to securityholders of Immatics OpCo and ARYA in exchange for their securities in Immatics OpCo and ARYA, and (ii) 7,187,500 public warrants to certain warrant holders of ARYA in exchange for outstanding public warrants of ARYA.</w:t>
      </w:r>
    </w:p>
    <w:p>
      <w:pPr>
        <w:spacing w:after="0" w:line="184" w:lineRule="exact"/>
        <w:rPr>
          <w:sz w:val="20"/>
          <w:szCs w:val="20"/>
          <w:color w:val="auto"/>
        </w:rPr>
      </w:pPr>
    </w:p>
    <w:p>
      <w:pPr>
        <w:ind w:left="300" w:right="460"/>
        <w:spacing w:after="0" w:line="301" w:lineRule="auto"/>
        <w:rPr>
          <w:sz w:val="20"/>
          <w:szCs w:val="20"/>
          <w:color w:val="auto"/>
        </w:rPr>
      </w:pPr>
      <w:r>
        <w:rPr>
          <w:rFonts w:ascii="Arial" w:cs="Arial" w:eastAsia="Arial" w:hAnsi="Arial"/>
          <w:sz w:val="16"/>
          <w:szCs w:val="16"/>
          <w:color w:val="auto"/>
        </w:rPr>
        <w:t>Prior to the Business Combination, Immatics did not conduct any material activities other than those incident to its formation and the matters contemplated by the Business Combination Agreement, such as the making of certain required securities law filings, and the establishment of ARYA Merger Sub and IB Merger Sub. Upon the closing of the Business Combination, Immatics OpCo became the direct, wholly owned subsidiary of Immatics, and holds all material assets and conducts all business activities and operations of Immatics.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ordinary shares and public warrants began trading on Nasdaq under the symbols “IMTX” and “IMTXW”, respectively, on July 2, 2020.</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PIPE Financing</w:t>
      </w:r>
    </w:p>
    <w:p>
      <w:pPr>
        <w:spacing w:after="0" w:line="117"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On March 17, 2020, concurrently with the execution of the Business Combination Agreement, Immatics and ARYA entered into Subscription Agreements (the “Subscription Agreements”) with certain investors (the “PIPE Investors”), pursuant to which the PIPE Investors agreed to subscribe for and purchase, and the Company agreed to issue and sell to such PIPE Investors, an aggregate of 10,415,000 ordinary shares (the “PIPE Shares”) at a price of $10.00 per share, for gross proceeds of approximately $104.2 million (the “PIPE Financing”) on the Closing Date, $25.0 million of which was funded by an affiliate of ARYA Sciences Holdings, a Cayman Islands exempted company and an affiliate of ARYA (the “ARYA Sponsor”). The PIPE Financing closed concurrently with the Business Combination.</w:t>
      </w:r>
    </w:p>
    <w:p>
      <w:pPr>
        <w:spacing w:after="0" w:line="178" w:lineRule="exact"/>
        <w:rPr>
          <w:sz w:val="20"/>
          <w:szCs w:val="20"/>
          <w:color w:val="auto"/>
        </w:rPr>
      </w:pPr>
    </w:p>
    <w:p>
      <w:pPr>
        <w:jc w:val="both"/>
        <w:ind w:left="300" w:right="180"/>
        <w:spacing w:after="0" w:line="263" w:lineRule="auto"/>
        <w:rPr>
          <w:sz w:val="20"/>
          <w:szCs w:val="20"/>
          <w:color w:val="auto"/>
        </w:rPr>
      </w:pPr>
      <w:r>
        <w:rPr>
          <w:rFonts w:ascii="Arial" w:cs="Arial" w:eastAsia="Arial" w:hAnsi="Arial"/>
          <w:sz w:val="18"/>
          <w:szCs w:val="18"/>
          <w:color w:val="auto"/>
        </w:rPr>
        <w:t>The PIPE Shares were not registered under the Securities Act, in reliance upon the exemption provided in Section 4(a)(2) of the Securities Act of 1933, as amended (the “Securities Act”) and/or Regulation D or Regulation S promulgated thereunder without any form of general solicitation or general advertising.</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Coronavirus (COVID-19) Pandemic</w:t>
      </w:r>
    </w:p>
    <w:p>
      <w:pPr>
        <w:spacing w:after="0" w:line="117" w:lineRule="exact"/>
        <w:rPr>
          <w:sz w:val="20"/>
          <w:szCs w:val="20"/>
          <w:color w:val="auto"/>
        </w:rPr>
      </w:pPr>
    </w:p>
    <w:p>
      <w:pPr>
        <w:ind w:left="300" w:right="80"/>
        <w:spacing w:after="0" w:line="257" w:lineRule="auto"/>
        <w:rPr>
          <w:sz w:val="20"/>
          <w:szCs w:val="20"/>
          <w:color w:val="auto"/>
        </w:rPr>
      </w:pPr>
      <w:r>
        <w:rPr>
          <w:rFonts w:ascii="Arial" w:cs="Arial" w:eastAsia="Arial" w:hAnsi="Arial"/>
          <w:sz w:val="18"/>
          <w:szCs w:val="18"/>
          <w:color w:val="auto"/>
        </w:rPr>
        <w:t>On January 30, 2020, the World Health Organization declared the outbreak of coronavirus (“COVID-19”) to be a public health emergency of international concern. The COVID-19 outbreak has severely restricted the level of economic activity around the world. In response to this coronavirus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w:t>
      </w:r>
    </w:p>
    <w:p>
      <w:pPr>
        <w:spacing w:after="0" w:line="188" w:lineRule="exact"/>
        <w:rPr>
          <w:sz w:val="20"/>
          <w:szCs w:val="20"/>
          <w:color w:val="auto"/>
        </w:rPr>
      </w:pPr>
    </w:p>
    <w:p>
      <w:pPr>
        <w:ind w:left="300" w:right="60"/>
        <w:spacing w:after="0" w:line="253" w:lineRule="auto"/>
        <w:rPr>
          <w:sz w:val="20"/>
          <w:szCs w:val="20"/>
          <w:color w:val="auto"/>
        </w:rPr>
      </w:pPr>
      <w:r>
        <w:rPr>
          <w:rFonts w:ascii="Arial" w:cs="Arial" w:eastAsia="Arial" w:hAnsi="Arial"/>
          <w:sz w:val="18"/>
          <w:szCs w:val="18"/>
          <w:color w:val="auto"/>
        </w:rPr>
        <w:t>We are monitoring developments surrounding the COVID-19 pandemic and have taken steps to identify and mitigate the adverse effects and risks to the company as a result of the pandemic. As a result, we have modified our business practices, including implementing work from home arrangements for employees able to perform their duties remotely, restricting nonessential travel, and practicing safe social distancing in our laboratory operations. We expect to continue to take actions as may be required or recommended by government authorities or in the best interests of our employees and business partners. To date, the pandemic has resulted in a slowdown in activities related to our laboratory operations and at some of our suppliers. The ongoing spread of COVID-19 may also negatively impact our clinical trials in the future, including potential delays and restrictions on our ability to recruit and retain patients, principal investigators and healthcare employees. COVID-19 could also affect the operations of contract research organizations (“CROs”), or other contracted suppliers which may result in delays or disruptions in the supply of product candidates.</w:t>
      </w:r>
    </w:p>
    <w:p>
      <w:pPr>
        <w:spacing w:after="0" w:line="196" w:lineRule="exact"/>
        <w:rPr>
          <w:sz w:val="20"/>
          <w:szCs w:val="20"/>
          <w:color w:val="auto"/>
        </w:rPr>
      </w:pPr>
    </w:p>
    <w:p>
      <w:pPr>
        <w:ind w:left="300" w:right="420"/>
        <w:spacing w:after="0" w:line="277" w:lineRule="auto"/>
        <w:rPr>
          <w:sz w:val="20"/>
          <w:szCs w:val="20"/>
          <w:color w:val="auto"/>
        </w:rPr>
      </w:pPr>
      <w:r>
        <w:rPr>
          <w:rFonts w:ascii="Arial" w:cs="Arial" w:eastAsia="Arial" w:hAnsi="Arial"/>
          <w:sz w:val="18"/>
          <w:szCs w:val="18"/>
          <w:color w:val="auto"/>
        </w:rPr>
        <w:t>As a result of the COVID-19 pandemic, we have also experienced delays in research activities performed under our collaboration agreements. Consequently, we recognized less revenue under these agreements during the first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311" w:lineRule="auto"/>
        <w:rPr>
          <w:sz w:val="20"/>
          <w:szCs w:val="20"/>
          <w:color w:val="auto"/>
        </w:rPr>
      </w:pPr>
      <w:r>
        <w:rPr>
          <w:rFonts w:ascii="Arial" w:cs="Arial" w:eastAsia="Arial" w:hAnsi="Arial"/>
          <w:sz w:val="16"/>
          <w:szCs w:val="16"/>
          <w:color w:val="auto"/>
        </w:rPr>
        <w:t>quarter of 2020 than previously planned. We believe that declines in revenue associated with the delay in research activities are largely temporary, as revenue is primarily associated with non-refundable upfront payments recognized as this project plan is implemented and costs are incurred. The COVID-19 pandemic may continue to impact the timing and amount of revenue recognized under these agreements in the future.</w:t>
      </w:r>
    </w:p>
    <w:p>
      <w:pPr>
        <w:spacing w:after="0" w:line="149" w:lineRule="exact"/>
        <w:rPr>
          <w:sz w:val="20"/>
          <w:szCs w:val="20"/>
          <w:color w:val="auto"/>
        </w:rPr>
      </w:pPr>
    </w:p>
    <w:p>
      <w:pPr>
        <w:ind w:left="300" w:right="20"/>
        <w:spacing w:after="0" w:line="263" w:lineRule="auto"/>
        <w:rPr>
          <w:sz w:val="20"/>
          <w:szCs w:val="20"/>
          <w:color w:val="auto"/>
        </w:rPr>
      </w:pPr>
      <w:r>
        <w:rPr>
          <w:rFonts w:ascii="Arial" w:cs="Arial" w:eastAsia="Arial" w:hAnsi="Arial"/>
          <w:sz w:val="18"/>
          <w:szCs w:val="18"/>
          <w:color w:val="auto"/>
        </w:rPr>
        <w:t>The COVID-19 pandemic remains a rapidly evolving situation and we do not yet know the full extent of its potential impact on our business operations. We will continue to closely monitor the effects of the pandemic. For additional information on risks posed by the COVID-19 pandemic, refer to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included elsewhere in this prospectus.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21" w:lineRule="exact"/>
        <w:rPr>
          <w:sz w:val="20"/>
          <w:szCs w:val="20"/>
          <w:color w:val="auto"/>
        </w:rPr>
      </w:pPr>
    </w:p>
    <w:p>
      <w:pPr>
        <w:ind w:left="300" w:right="240"/>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(the “JOBS Act”). As an emerging growth company, we will take advantage of certain exemptions from specified disclosure and other requirements that are otherwise generally applicable to public companies. These exemptions include:</w:t>
      </w:r>
    </w:p>
    <w:p>
      <w:pPr>
        <w:spacing w:after="0" w:line="89" w:lineRule="exact"/>
        <w:rPr>
          <w:sz w:val="20"/>
          <w:szCs w:val="20"/>
          <w:color w:val="auto"/>
        </w:rPr>
      </w:pPr>
    </w:p>
    <w:p>
      <w:pPr>
        <w:ind w:left="1240" w:right="64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for the assessment of our internal control over financial reporting provided by Section 404 of the Sarbanes-Oxley Act of 2002;</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240" w:right="68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or seek shareholder approval of any golden parachute payments not previously approved.</w:t>
      </w:r>
    </w:p>
    <w:p>
      <w:pPr>
        <w:spacing w:after="0" w:line="170" w:lineRule="exact"/>
        <w:rPr>
          <w:sz w:val="20"/>
          <w:szCs w:val="20"/>
          <w:color w:val="auto"/>
        </w:rPr>
      </w:pPr>
    </w:p>
    <w:p>
      <w:pPr>
        <w:ind w:left="300" w:right="40"/>
        <w:spacing w:after="0" w:line="296" w:lineRule="auto"/>
        <w:rPr>
          <w:sz w:val="20"/>
          <w:szCs w:val="20"/>
          <w:color w:val="auto"/>
        </w:rPr>
      </w:pPr>
      <w:r>
        <w:rPr>
          <w:rFonts w:ascii="Arial" w:cs="Arial" w:eastAsia="Arial" w:hAnsi="Arial"/>
          <w:sz w:val="16"/>
          <w:szCs w:val="16"/>
          <w:color w:val="auto"/>
        </w:rPr>
        <w:t>We will take advantage of these provisions for up to five years or such earlier time that we are no longer an emerging growth company. We would cease to be an emerging growth company upon the earliest to occur of (i) the last day of the fiscal year in which we have more than $1.07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the date of the first sale of common equity securities pursuant to an effective registration statement.</w:t>
      </w:r>
    </w:p>
    <w:p>
      <w:pPr>
        <w:spacing w:after="0" w:line="161"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We are also considered a “foreign private issuer” subject to reporting requirements under the Securities Exchange Act of 1934, as amended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240" w:right="30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75" w:lineRule="exact"/>
        <w:rPr>
          <w:rFonts w:ascii="Arial" w:cs="Arial" w:eastAsia="Arial" w:hAnsi="Arial"/>
          <w:sz w:val="18"/>
          <w:szCs w:val="18"/>
          <w:color w:val="auto"/>
        </w:rPr>
      </w:pPr>
    </w:p>
    <w:p>
      <w:pPr>
        <w:ind w:left="1240" w:right="80" w:hanging="415"/>
        <w:spacing w:after="0" w:line="2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(the “SEC”) of quarterly reports on Form 10-Q containing unaudited financial and other specified information, or current reports on Form 8-K, upon the occurrence of specified significant events; and</w:t>
      </w:r>
    </w:p>
    <w:p>
      <w:pPr>
        <w:spacing w:after="0" w:line="89" w:lineRule="exact"/>
        <w:rPr>
          <w:rFonts w:ascii="Arial" w:cs="Arial" w:eastAsia="Arial" w:hAnsi="Arial"/>
          <w:sz w:val="18"/>
          <w:szCs w:val="18"/>
          <w:color w:val="auto"/>
        </w:rPr>
      </w:pPr>
    </w:p>
    <w:p>
      <w:pPr>
        <w:ind w:left="1240" w:right="18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 rules on disclosure of compensation on an individual basis unless individual disclosure is required in our home country (the Netherlands) and is not otherwise publicly disclosed by us.</w:t>
      </w:r>
    </w:p>
    <w:p>
      <w:pPr>
        <w:spacing w:after="0" w:line="170" w:lineRule="exact"/>
        <w:rPr>
          <w:sz w:val="20"/>
          <w:szCs w:val="20"/>
          <w:color w:val="auto"/>
        </w:rPr>
      </w:pPr>
    </w:p>
    <w:p>
      <w:pPr>
        <w:ind w:left="300" w:right="320"/>
        <w:spacing w:after="0" w:line="277"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would cease to be a foreign private issuer at such time as more than 50% of our outstanding voting securities are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342" w:lineRule="auto"/>
        <w:rPr>
          <w:sz w:val="20"/>
          <w:szCs w:val="20"/>
          <w:color w:val="auto"/>
        </w:rPr>
      </w:pPr>
      <w:r>
        <w:rPr>
          <w:rFonts w:ascii="Arial" w:cs="Arial" w:eastAsia="Arial" w:hAnsi="Arial"/>
          <w:sz w:val="16"/>
          <w:szCs w:val="16"/>
          <w:color w:val="auto"/>
        </w:rPr>
        <w:t>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24" w:lineRule="exact"/>
        <w:rPr>
          <w:sz w:val="20"/>
          <w:szCs w:val="20"/>
          <w:color w:val="auto"/>
        </w:rPr>
      </w:pPr>
    </w:p>
    <w:p>
      <w:pPr>
        <w:ind w:left="300" w:right="240"/>
        <w:spacing w:after="0" w:line="263" w:lineRule="auto"/>
        <w:rPr>
          <w:sz w:val="20"/>
          <w:szCs w:val="20"/>
          <w:color w:val="auto"/>
        </w:rPr>
      </w:pPr>
      <w:r>
        <w:rPr>
          <w:rFonts w:ascii="Arial" w:cs="Arial" w:eastAsia="Arial" w:hAnsi="Arial"/>
          <w:sz w:val="18"/>
          <w:szCs w:val="18"/>
          <w:color w:val="auto"/>
        </w:rPr>
        <w:t>We may choose to take advantage of some but not all of these reduced reporting requirements of which we have taken advantage of in this prospectus. Accordingly, the information contained herein may be different from the information you receive from our competitors that are U.S. domestic filers, or other U.S. domestic public companies in which you have made an investment.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60"/>
        <w:spacing w:after="0" w:line="277" w:lineRule="auto"/>
        <w:rPr>
          <w:sz w:val="20"/>
          <w:szCs w:val="20"/>
          <w:color w:val="auto"/>
        </w:rPr>
      </w:pPr>
      <w:r>
        <w:rPr>
          <w:rFonts w:ascii="Arial" w:cs="Arial" w:eastAsia="Arial" w:hAnsi="Arial"/>
          <w:sz w:val="18"/>
          <w:szCs w:val="18"/>
          <w:color w:val="auto"/>
        </w:rPr>
        <w:t>Investing in our securities entails a high degree of risk as more fully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beginning on page 14. These risks include, among others, the following:</w:t>
      </w:r>
    </w:p>
    <w:p>
      <w:pPr>
        <w:spacing w:after="0" w:line="76" w:lineRule="exact"/>
        <w:rPr>
          <w:sz w:val="20"/>
          <w:szCs w:val="20"/>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operating losses, expect to continue to incur losses and may never be profitable.</w:t>
      </w:r>
    </w:p>
    <w:p>
      <w:pPr>
        <w:spacing w:after="0" w:line="130" w:lineRule="exact"/>
        <w:rPr>
          <w:rFonts w:ascii="Arial" w:cs="Arial" w:eastAsia="Arial" w:hAnsi="Arial"/>
          <w:sz w:val="18"/>
          <w:szCs w:val="18"/>
          <w:color w:val="auto"/>
        </w:rPr>
      </w:pPr>
    </w:p>
    <w:p>
      <w:pPr>
        <w:ind w:left="1240" w:right="40" w:hanging="415"/>
        <w:spacing w:after="0" w:line="259"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shareholders, restrict our operations or require us to relinquish rights to our technologies or product candidates.</w:t>
      </w:r>
    </w:p>
    <w:p>
      <w:pPr>
        <w:spacing w:after="0" w:line="92"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limited experience in operating our current business, which makes it difficult to evaluate our business plan and our prospects.</w:t>
      </w:r>
    </w:p>
    <w:p>
      <w:pPr>
        <w:spacing w:after="0" w:line="153" w:lineRule="exact"/>
        <w:rPr>
          <w:rFonts w:ascii="Arial" w:cs="Arial" w:eastAsia="Arial" w:hAnsi="Arial"/>
          <w:sz w:val="16"/>
          <w:szCs w:val="16"/>
          <w:color w:val="auto"/>
        </w:rPr>
      </w:pPr>
    </w:p>
    <w:p>
      <w:pPr>
        <w:ind w:left="1240" w:right="480" w:hanging="415"/>
        <w:spacing w:after="0" w:line="308"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51" w:lineRule="exact"/>
        <w:rPr>
          <w:rFonts w:ascii="Arial" w:cs="Arial" w:eastAsia="Arial" w:hAnsi="Arial"/>
          <w:sz w:val="17"/>
          <w:szCs w:val="17"/>
          <w:color w:val="auto"/>
        </w:rPr>
      </w:pPr>
    </w:p>
    <w:p>
      <w:pPr>
        <w:ind w:left="1240" w:right="140" w:hanging="415"/>
        <w:spacing w:after="0" w:line="342"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subject to extensive regulation, and the regulatory approval processes in the U.S., Europe and other countries or regions are costly, lengthy and time-consuming. We may also experience significant delays in the regulatory approval of our product candidates.</w:t>
      </w:r>
    </w:p>
    <w:p>
      <w:pPr>
        <w:spacing w:after="0" w:line="29" w:lineRule="exact"/>
        <w:rPr>
          <w:rFonts w:ascii="Arial" w:cs="Arial" w:eastAsia="Arial" w:hAnsi="Arial"/>
          <w:sz w:val="16"/>
          <w:szCs w:val="16"/>
          <w:color w:val="auto"/>
        </w:rPr>
      </w:pPr>
    </w:p>
    <w:p>
      <w:pPr>
        <w:ind w:left="1240" w:right="4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trials are expensive, time-consuming and difficult to design and implement, and our clinical trial costs may be higher than for more conventional therapeutic technologies or drug products.</w:t>
      </w:r>
    </w:p>
    <w:p>
      <w:pPr>
        <w:spacing w:after="0" w:line="75" w:lineRule="exact"/>
        <w:rPr>
          <w:rFonts w:ascii="Arial" w:cs="Arial" w:eastAsia="Arial" w:hAnsi="Arial"/>
          <w:sz w:val="18"/>
          <w:szCs w:val="18"/>
          <w:color w:val="auto"/>
        </w:rPr>
      </w:pPr>
    </w:p>
    <w:p>
      <w:pPr>
        <w:ind w:left="1240" w:right="72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preclinical studies and early clinical trials of our product candidates with small patient populations may not be predictive of the results of later-stage clinical trials.</w:t>
      </w:r>
    </w:p>
    <w:p>
      <w:pPr>
        <w:spacing w:after="0" w:line="75" w:lineRule="exact"/>
        <w:rPr>
          <w:rFonts w:ascii="Arial" w:cs="Arial" w:eastAsia="Arial" w:hAnsi="Arial"/>
          <w:sz w:val="18"/>
          <w:szCs w:val="18"/>
          <w:color w:val="auto"/>
        </w:rPr>
      </w:pPr>
    </w:p>
    <w:p>
      <w:pPr>
        <w:jc w:val="both"/>
        <w:ind w:left="1240" w:right="6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our current products represent, and our other potential product candidates will represent novel approaches to the treatment of diseases, there are many uncertainties regarding the development, the market acceptance, third-party reimbursement coverage and the commercial potential of our product candidates.</w:t>
      </w:r>
    </w:p>
    <w:p>
      <w:pPr>
        <w:spacing w:after="0" w:line="89" w:lineRule="exact"/>
        <w:rPr>
          <w:rFonts w:ascii="Arial" w:cs="Arial" w:eastAsia="Arial" w:hAnsi="Arial"/>
          <w:sz w:val="18"/>
          <w:szCs w:val="18"/>
          <w:color w:val="auto"/>
        </w:rPr>
      </w:pPr>
    </w:p>
    <w:p>
      <w:pPr>
        <w:ind w:left="1240" w:right="64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limited experience in large-scale or commercial manufacturing, and there can be no assurance that we will be able to effectively manufacture clinical or commercial quantities of our products.</w:t>
      </w:r>
    </w:p>
    <w:p>
      <w:pPr>
        <w:spacing w:after="0" w:line="75"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existing therapeutic collaborations are important to our business, and future collaborations may also be important to our company. If we are unable to maintain any of these collaborations, or if these collaborations are not successful, our business could be adversely affected.</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third parties claim that our activities or products infringe upon their intellectual property, our operations could be adversely affected.</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59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2590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75"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organized and existing under the laws of the Netherlands, and, as such, the rights of our shareholders and the civil liability of our directors and executive officers will be governed in certain respects by the laws of the Netherlands.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do not anticipate paying dividends on our ordinary shares.</w:t>
      </w:r>
    </w:p>
    <w:p>
      <w:pPr>
        <w:spacing w:after="0" w:line="130" w:lineRule="exact"/>
        <w:rPr>
          <w:rFonts w:ascii="Arial" w:cs="Arial" w:eastAsia="Arial" w:hAnsi="Arial"/>
          <w:sz w:val="18"/>
          <w:szCs w:val="18"/>
          <w:color w:val="auto"/>
        </w:rPr>
      </w:pPr>
    </w:p>
    <w:p>
      <w:pPr>
        <w:jc w:val="both"/>
        <w:ind w:left="1240" w:right="24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an “emerging growth company”, and it cannot be certain if the reduced SEC reporting requirements applicable to emerging growth companies will make our ordinary shares less attractive to investors, which could have a material and adverse effect on us, including on our growth prospects.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COVID-19 may materially and adversely affect our business and financial results.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40"/>
        <w:spacing w:after="0" w:line="311" w:lineRule="auto"/>
        <w:rPr>
          <w:sz w:val="20"/>
          <w:szCs w:val="20"/>
          <w:color w:val="auto"/>
        </w:rPr>
      </w:pPr>
      <w:r>
        <w:rPr>
          <w:rFonts w:ascii="Arial" w:cs="Arial" w:eastAsia="Arial" w:hAnsi="Arial"/>
          <w:sz w:val="16"/>
          <w:szCs w:val="16"/>
          <w:color w:val="auto"/>
        </w:rPr>
        <w:t>We were incorporated as a Dutch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under the name Immatics B.V. on March 10, 2020 solely for the purpose of effectuating the Business Combination. Upon the closing of the Business Combination on July 1, 2020, we converted into a Dutch public limited liability company (</w:t>
      </w:r>
      <w:r>
        <w:rPr>
          <w:rFonts w:ascii="Arial" w:cs="Arial" w:eastAsia="Arial" w:hAnsi="Arial"/>
          <w:sz w:val="16"/>
          <w:szCs w:val="16"/>
          <w:i w:val="1"/>
          <w:iCs w:val="1"/>
          <w:color w:val="auto"/>
        </w:rPr>
        <w:t>naamloze vennootschap</w:t>
      </w:r>
      <w:r>
        <w:rPr>
          <w:rFonts w:ascii="Arial" w:cs="Arial" w:eastAsia="Arial" w:hAnsi="Arial"/>
          <w:sz w:val="16"/>
          <w:szCs w:val="16"/>
          <w:color w:val="auto"/>
        </w:rPr>
        <w:t>) and changed our name to Immatics N.V.</w:t>
      </w:r>
    </w:p>
    <w:p>
      <w:pPr>
        <w:spacing w:after="0" w:line="149" w:lineRule="exact"/>
        <w:rPr>
          <w:sz w:val="20"/>
          <w:szCs w:val="20"/>
          <w:color w:val="auto"/>
        </w:rPr>
      </w:pPr>
    </w:p>
    <w:p>
      <w:pPr>
        <w:ind w:left="300" w:right="20"/>
        <w:spacing w:after="0" w:line="259" w:lineRule="auto"/>
        <w:rPr>
          <w:sz w:val="20"/>
          <w:szCs w:val="20"/>
          <w:color w:val="auto"/>
        </w:rPr>
      </w:pPr>
      <w:r>
        <w:rPr>
          <w:rFonts w:ascii="Arial" w:cs="Arial" w:eastAsia="Arial" w:hAnsi="Arial"/>
          <w:sz w:val="18"/>
          <w:szCs w:val="18"/>
          <w:color w:val="auto"/>
        </w:rPr>
        <w:t>Prior to the Business Combination, we did not conduct any material activities other than those incident to our formation and certain matters related to the Business Combination, such as the making of certain required securities law filings and the establishment of subsidiaries to effect the Business Combination. Upon the closing of the Business Combination, Immatics OpCo became the direct, wholly owned subsidiary of Immatics, and holds all material assets and conducts all business activities and operations of Immatics.</w:t>
      </w:r>
    </w:p>
    <w:p>
      <w:pPr>
        <w:spacing w:after="0" w:line="187" w:lineRule="exact"/>
        <w:rPr>
          <w:sz w:val="20"/>
          <w:szCs w:val="20"/>
          <w:color w:val="auto"/>
        </w:rPr>
      </w:pPr>
    </w:p>
    <w:p>
      <w:pPr>
        <w:ind w:left="300"/>
        <w:spacing w:after="0" w:line="279" w:lineRule="auto"/>
        <w:rPr>
          <w:sz w:val="20"/>
          <w:szCs w:val="20"/>
          <w:color w:val="auto"/>
        </w:rPr>
      </w:pPr>
      <w:r>
        <w:rPr>
          <w:rFonts w:ascii="Arial" w:cs="Arial" w:eastAsia="Arial" w:hAnsi="Arial"/>
          <w:sz w:val="17"/>
          <w:szCs w:val="17"/>
          <w:color w:val="auto"/>
        </w:rPr>
        <w:t>We are registered in the Commercial Register of the Chamber of Commerce (</w:t>
      </w:r>
      <w:r>
        <w:rPr>
          <w:rFonts w:ascii="Arial" w:cs="Arial" w:eastAsia="Arial" w:hAnsi="Arial"/>
          <w:sz w:val="17"/>
          <w:szCs w:val="17"/>
          <w:i w:val="1"/>
          <w:iCs w:val="1"/>
          <w:color w:val="auto"/>
        </w:rPr>
        <w:t>Kamer van Koophandel</w:t>
      </w:r>
      <w:r>
        <w:rPr>
          <w:rFonts w:ascii="Arial" w:cs="Arial" w:eastAsia="Arial" w:hAnsi="Arial"/>
          <w:sz w:val="17"/>
          <w:szCs w:val="17"/>
          <w:color w:val="auto"/>
        </w:rPr>
        <w:t>) in the Netherlands under number 77595726. We have our corporate seat is in Amsterdam, the Netherlands and our registered office is at Paul-Ehrlich-Straße 15, 72076 Tübingen, Federal Republic of Germany and our telephone number is +49 (7071) 5397-0. Our executive office in the United States is located at Immatics US, Inc., 2130 W. Holcombe Boulevard, Houston, Texas 77030 and our telephone number is +1 (346) 204-5400.</w:t>
      </w:r>
    </w:p>
    <w:p>
      <w:pPr>
        <w:spacing w:after="0" w:line="171"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We maintain a website at www.immatics.com, where we regularly post copies of our press releases as well as additional information about us. Our filings with the SEC are available free of charge through the website as soon as reasonably practicable after being electronically filed with or furnished to the SEC. Information contained in our website is not a part of, nor incorporated by reference into, this prospectus or our other filings with the SEC, and should not be relied upon.</w:t>
      </w:r>
    </w:p>
    <w:p>
      <w:pPr>
        <w:spacing w:after="0" w:line="187"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320" w:top="45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080" w:type="dxa"/>
            <w:vAlign w:val="bottom"/>
            <w:tcBorders>
              <w:top w:val="single" w:sz="8" w:color="auto"/>
              <w:left w:val="single" w:sz="8" w:color="auto"/>
            </w:tcBorders>
          </w:tcPr>
          <w:p>
            <w:pPr>
              <w:spacing w:after="0"/>
              <w:rPr>
                <w:sz w:val="24"/>
                <w:szCs w:val="24"/>
                <w:color w:val="auto"/>
              </w:rPr>
            </w:pPr>
          </w:p>
        </w:tc>
        <w:tc>
          <w:tcPr>
            <w:tcW w:w="694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THE OFFERING</w:t>
            </w:r>
          </w:p>
        </w:tc>
      </w:tr>
      <w:tr>
        <w:trPr>
          <w:trHeight w:val="445"/>
        </w:trPr>
        <w:tc>
          <w:tcPr>
            <w:tcW w:w="40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i w:val="1"/>
                <w:iCs w:val="1"/>
                <w:color w:val="auto"/>
                <w:w w:val="89"/>
              </w:rPr>
              <w:t>Ordinary shares that may be offered and sold from</w:t>
            </w: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39,332,281 ordinary shares</w:t>
            </w:r>
          </w:p>
        </w:tc>
      </w:tr>
      <w:tr>
        <w:trPr>
          <w:trHeight w:val="230"/>
        </w:trPr>
        <w:tc>
          <w:tcPr>
            <w:tcW w:w="4080" w:type="dxa"/>
            <w:vAlign w:val="bottom"/>
            <w:tcBorders>
              <w:left w:val="single" w:sz="8" w:color="auto"/>
            </w:tcBorders>
          </w:tcPr>
          <w:p>
            <w:pPr>
              <w:ind w:left="260"/>
              <w:spacing w:after="0"/>
              <w:rPr>
                <w:sz w:val="20"/>
                <w:szCs w:val="20"/>
                <w:color w:val="auto"/>
              </w:rPr>
            </w:pPr>
            <w:r>
              <w:rPr>
                <w:rFonts w:ascii="Arial" w:cs="Arial" w:eastAsia="Arial" w:hAnsi="Arial"/>
                <w:sz w:val="18"/>
                <w:szCs w:val="18"/>
                <w:b w:val="1"/>
                <w:bCs w:val="1"/>
                <w:i w:val="1"/>
                <w:iCs w:val="1"/>
                <w:color w:val="auto"/>
              </w:rPr>
              <w:t>time to time by the selling securityholders</w:t>
            </w:r>
          </w:p>
        </w:tc>
        <w:tc>
          <w:tcPr>
            <w:tcW w:w="6940" w:type="dxa"/>
            <w:vAlign w:val="bottom"/>
            <w:tcBorders>
              <w:right w:val="single" w:sz="8" w:color="auto"/>
            </w:tcBorders>
          </w:tcPr>
          <w:p>
            <w:pPr>
              <w:spacing w:after="0"/>
              <w:rPr>
                <w:sz w:val="20"/>
                <w:szCs w:val="20"/>
                <w:color w:val="auto"/>
              </w:rPr>
            </w:pPr>
          </w:p>
        </w:tc>
      </w:tr>
      <w:tr>
        <w:trPr>
          <w:trHeight w:val="473"/>
        </w:trPr>
        <w:tc>
          <w:tcPr>
            <w:tcW w:w="40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i w:val="1"/>
                <w:iCs w:val="1"/>
                <w:color w:val="auto"/>
              </w:rPr>
              <w:t>Ordinary shares outstanding</w:t>
            </w: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62,908,617 ordinary shares</w:t>
            </w:r>
          </w:p>
        </w:tc>
      </w:tr>
      <w:tr>
        <w:trPr>
          <w:trHeight w:val="458"/>
        </w:trPr>
        <w:tc>
          <w:tcPr>
            <w:tcW w:w="40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i w:val="1"/>
                <w:iCs w:val="1"/>
                <w:color w:val="auto"/>
              </w:rPr>
              <w:t>Offering price</w:t>
            </w: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The ordinary shares offered by this prospectus may be offered and sold at prevailing</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market prices, privately negotiated prices or such other prices as the selling securityholders</w:t>
            </w:r>
          </w:p>
        </w:tc>
      </w:tr>
      <w:tr>
        <w:trPr>
          <w:trHeight w:val="230"/>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may determine. See the section 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tc>
      </w:tr>
      <w:tr>
        <w:trPr>
          <w:trHeight w:val="445"/>
        </w:trPr>
        <w:tc>
          <w:tcPr>
            <w:tcW w:w="40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i w:val="1"/>
                <w:iCs w:val="1"/>
                <w:color w:val="auto"/>
              </w:rPr>
              <w:t>Use of proceeds</w:t>
            </w: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All of the ordinary shares offered by the selling securityholders pursuant to this prospectus</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will be sold by the selling securityholders for their respective accounts. We will not receive</w:t>
            </w:r>
          </w:p>
        </w:tc>
      </w:tr>
      <w:tr>
        <w:trPr>
          <w:trHeight w:val="230"/>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any of the proceeds from such sales.</w:t>
            </w:r>
          </w:p>
        </w:tc>
      </w:tr>
      <w:tr>
        <w:trPr>
          <w:trHeight w:val="445"/>
        </w:trPr>
        <w:tc>
          <w:tcPr>
            <w:tcW w:w="40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i w:val="1"/>
                <w:iCs w:val="1"/>
                <w:color w:val="auto"/>
              </w:rPr>
              <w:t>Transfer restrictions</w:t>
            </w: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Pursuant to the Business Combination Agreement and related agreements, the selling</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securityholders who received ordinary shares in connection with the Business Combination</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agreed not to sell, transfer, pledge or otherwise dispose of such shares for 180 days from</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the closing of the Business Combination, subject to certain limited exceptions. See the</w:t>
            </w:r>
          </w:p>
        </w:tc>
      </w:tr>
      <w:tr>
        <w:trPr>
          <w:trHeight w:val="230"/>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section titled “</w:t>
            </w:r>
            <w:r>
              <w:rPr>
                <w:rFonts w:ascii="Arial" w:cs="Arial" w:eastAsia="Arial" w:hAnsi="Arial"/>
                <w:sz w:val="18"/>
                <w:szCs w:val="18"/>
                <w:i w:val="1"/>
                <w:iCs w:val="1"/>
                <w:color w:val="auto"/>
              </w:rPr>
              <w:t>Description of Securities — Transfer Restrictions</w:t>
            </w:r>
            <w:r>
              <w:rPr>
                <w:rFonts w:ascii="Arial" w:cs="Arial" w:eastAsia="Arial" w:hAnsi="Arial"/>
                <w:sz w:val="18"/>
                <w:szCs w:val="18"/>
                <w:color w:val="auto"/>
              </w:rPr>
              <w:t>”.</w:t>
            </w:r>
          </w:p>
        </w:tc>
      </w:tr>
      <w:tr>
        <w:trPr>
          <w:trHeight w:val="445"/>
        </w:trPr>
        <w:tc>
          <w:tcPr>
            <w:tcW w:w="40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i w:val="1"/>
                <w:iCs w:val="1"/>
                <w:color w:val="auto"/>
              </w:rPr>
              <w:t>Dividend policy</w:t>
            </w: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2"/>
              </w:rPr>
              <w:t>We have never declared or paid any cash dividends and have no plan to declare or pay any</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dividends on our ordinary shares in the foreseeable future. We currently intend to retain</w:t>
            </w:r>
          </w:p>
        </w:tc>
      </w:tr>
      <w:tr>
        <w:trPr>
          <w:trHeight w:val="230"/>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any earnings for future operations and expansion.</w:t>
            </w:r>
          </w:p>
        </w:tc>
      </w:tr>
      <w:tr>
        <w:trPr>
          <w:trHeight w:val="445"/>
        </w:trPr>
        <w:tc>
          <w:tcPr>
            <w:tcW w:w="4080" w:type="dxa"/>
            <w:vAlign w:val="bottom"/>
            <w:tcBorders>
              <w:left w:val="single" w:sz="8" w:color="auto"/>
            </w:tcBorders>
          </w:tcPr>
          <w:p>
            <w:pPr>
              <w:spacing w:after="0"/>
              <w:rPr>
                <w:sz w:val="24"/>
                <w:szCs w:val="24"/>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7"/>
              </w:rPr>
              <w:t>We will have the power to make distributions to shareholders only to the extent that our</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2"/>
              </w:rPr>
              <w:t>equity exceeds the aggregate amount of the issued share capital and the reserves that must</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 maintained pursuant to Dutch law or by our articles of association. Any future</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distributions will be at the discretion of our Management Board and Supervisory Board, as</w:t>
            </w:r>
          </w:p>
        </w:tc>
      </w:tr>
      <w:tr>
        <w:trPr>
          <w:trHeight w:val="230"/>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applicable. See the section titled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tc>
      </w:tr>
      <w:tr>
        <w:trPr>
          <w:trHeight w:val="459"/>
        </w:trPr>
        <w:tc>
          <w:tcPr>
            <w:tcW w:w="40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i w:val="1"/>
                <w:iCs w:val="1"/>
                <w:color w:val="auto"/>
              </w:rPr>
              <w:t>Market for our ordinary shares</w:t>
            </w: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Our ordinary shares are listed on Nasdaq under the symbol “IMTX”.</w:t>
            </w:r>
          </w:p>
        </w:tc>
      </w:tr>
      <w:tr>
        <w:trPr>
          <w:trHeight w:val="458"/>
        </w:trPr>
        <w:tc>
          <w:tcPr>
            <w:tcW w:w="40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i w:val="1"/>
                <w:iCs w:val="1"/>
                <w:color w:val="auto"/>
              </w:rPr>
              <w:t>Risk factors</w:t>
            </w: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Investing in our securities involves substantial risks. See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page 14 of this prospectus for a description of certain of the risks you should consider</w:t>
            </w:r>
          </w:p>
        </w:tc>
      </w:tr>
      <w:tr>
        <w:trPr>
          <w:trHeight w:val="230"/>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before investing in our ordinary shares or warrants.</w:t>
            </w:r>
          </w:p>
        </w:tc>
      </w:tr>
      <w:tr>
        <w:trPr>
          <w:trHeight w:val="240"/>
        </w:trPr>
        <w:tc>
          <w:tcPr>
            <w:tcW w:w="4080" w:type="dxa"/>
            <w:vAlign w:val="bottom"/>
            <w:tcBorders>
              <w:left w:val="single" w:sz="8" w:color="auto"/>
              <w:bottom w:val="single" w:sz="8" w:color="auto"/>
            </w:tcBorders>
          </w:tcPr>
          <w:p>
            <w:pPr>
              <w:spacing w:after="0"/>
              <w:rPr>
                <w:sz w:val="20"/>
                <w:szCs w:val="20"/>
                <w:color w:val="auto"/>
              </w:rPr>
            </w:pPr>
          </w:p>
        </w:tc>
        <w:tc>
          <w:tcPr>
            <w:tcW w:w="6940" w:type="dxa"/>
            <w:vAlign w:val="bottom"/>
            <w:tcBorders>
              <w:bottom w:val="single" w:sz="8" w:color="auto"/>
              <w:right w:val="single" w:sz="8" w:color="auto"/>
            </w:tcBorders>
          </w:tcPr>
          <w:p>
            <w:pPr>
              <w:spacing w:after="0"/>
              <w:rPr>
                <w:sz w:val="20"/>
                <w:szCs w:val="20"/>
                <w:color w:val="auto"/>
              </w:rPr>
            </w:pPr>
          </w:p>
        </w:tc>
      </w:tr>
      <w:tr>
        <w:trPr>
          <w:trHeight w:val="604"/>
        </w:trPr>
        <w:tc>
          <w:tcPr>
            <w:tcW w:w="4080" w:type="dxa"/>
            <w:vAlign w:val="bottom"/>
          </w:tcPr>
          <w:p>
            <w:pPr>
              <w:spacing w:after="0"/>
              <w:rPr>
                <w:sz w:val="24"/>
                <w:szCs w:val="24"/>
                <w:color w:val="auto"/>
              </w:rPr>
            </w:pPr>
          </w:p>
        </w:tc>
        <w:tc>
          <w:tcPr>
            <w:tcW w:w="6940" w:type="dxa"/>
            <w:vAlign w:val="bottom"/>
          </w:tcPr>
          <w:p>
            <w:pPr>
              <w:ind w:left="138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SELECTED CONSOLIDATED HISTORICAL AND OTHER FINANCIAL INFORMATION</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Selected Historical Financial Data of Immatics OpCo</w:t>
      </w:r>
    </w:p>
    <w:p>
      <w:pPr>
        <w:spacing w:after="0" w:line="229"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The following tables set forth selected historical financial information and operating data for Immatics OpCo as of and for the three months ended March 31, 2020 and 2019 as well as of and for the years ended December 31, 2019 and 2018. You should read the following selected historical financial information and operating data in conjunction with the section titled “</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Operations</w:t>
      </w:r>
      <w:r>
        <w:rPr>
          <w:rFonts w:ascii="Arial" w:cs="Arial" w:eastAsia="Arial" w:hAnsi="Arial"/>
          <w:sz w:val="16"/>
          <w:szCs w:val="16"/>
          <w:color w:val="auto"/>
        </w:rPr>
        <w:t>”, Immatics OpCo’s unaudited interim condensed consolidated financial statements and related notes thereto and Immatics</w:t>
      </w:r>
      <w:r>
        <w:rPr>
          <w:rFonts w:ascii="Arial" w:cs="Arial" w:eastAsia="Arial" w:hAnsi="Arial"/>
          <w:sz w:val="16"/>
          <w:szCs w:val="16"/>
          <w:i w:val="1"/>
          <w:iCs w:val="1"/>
          <w:color w:val="auto"/>
        </w:rPr>
        <w:t xml:space="preserve"> </w:t>
      </w:r>
      <w:r>
        <w:rPr>
          <w:rFonts w:ascii="Arial" w:cs="Arial" w:eastAsia="Arial" w:hAnsi="Arial"/>
          <w:sz w:val="16"/>
          <w:szCs w:val="16"/>
          <w:color w:val="auto"/>
        </w:rPr>
        <w:t>OpCo’s consolidated financial statements and related notes, all included elsewhere in this prospectus. The consolidated statement of operations data and consolidated cash flow data for the years ended December 31, 2019 and 2018 and the consolidated balance sheet data as of December 31, 2019 and 2018 have been derived from Immatics OpCo’s audited consolidated financial statements appearing elsewhere in this prospectus. The consolidated statement of operations data and cash flow data for the three months ended March 31, 2020 and 2019 and the consolidated balance sheet data as of March 31, 2020 have been derived from Immatics OpCo’s unaudited consolidated financial statements appearing elsewhere in this prospectus and have been prepared on the same basis as the audited consolidated financial statements. In the opinion of management, the unaudited data reflects all adjustments, consisting only of normal recurring adjustments, necessary for a fair statement of the financial information in those statements. Immatics OpCo’s historical results may not be indicative of the results that may be achieved in the future.</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 except share and per share data</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7"/>
              </w:rPr>
              <w:t>Three Months Ended March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(12,246)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(40,091)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(6,188)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income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385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(11,281)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(6,636)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(33,013)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Financial income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790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Financial result</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(8,580)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(5,881)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(32,487)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Taxes on income</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(8,580)</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(5,881)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(32,487)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Attributable to:</w:t>
            </w: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Equityholders of the parent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(31,571)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(916)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(8,580)</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(5,881)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(32,487)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r>
              <w:rPr>
                <w:rFonts w:ascii="Arial" w:cs="Arial" w:eastAsia="Arial" w:hAnsi="Arial"/>
                <w:sz w:val="15"/>
                <w:szCs w:val="15"/>
                <w:b w:val="1"/>
                <w:bCs w:val="1"/>
                <w:color w:val="auto"/>
              </w:rPr>
              <w:t>(1)</w:t>
            </w: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(7.14)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(4.89)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1,163,625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1,163,625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1,163,625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1,163,625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right="140" w:hanging="422"/>
        <w:spacing w:after="0" w:line="342" w:lineRule="auto"/>
        <w:tabs>
          <w:tab w:leader="none" w:pos="720" w:val="left"/>
        </w:tabs>
        <w:numPr>
          <w:ilvl w:val="0"/>
          <w:numId w:val="9"/>
        </w:numPr>
        <w:rPr>
          <w:rFonts w:ascii="Arial" w:cs="Arial" w:eastAsia="Arial" w:hAnsi="Arial"/>
          <w:sz w:val="13"/>
          <w:szCs w:val="13"/>
          <w:color w:val="auto"/>
        </w:rPr>
      </w:pPr>
      <w:r>
        <w:rPr>
          <w:rFonts w:ascii="Arial" w:cs="Arial" w:eastAsia="Arial" w:hAnsi="Arial"/>
          <w:sz w:val="16"/>
          <w:szCs w:val="16"/>
          <w:color w:val="auto"/>
        </w:rPr>
        <w:t>For more information on the calculation of basic and diluted net loss per share attributable to equityholders of the parent for the years ended December 31, 2019 and 2018, see Note 25 to Immatics OpCo’s consolidated financial statements included elsewhere in this prospectus.</w:t>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901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29013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Balance Sheet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6"/>
            <w:vMerge w:val="restart"/>
          </w:tcPr>
          <w:p>
            <w:pPr>
              <w:jc w:val="right"/>
              <w:ind w:right="230"/>
              <w:spacing w:after="0"/>
              <w:rPr>
                <w:sz w:val="20"/>
                <w:szCs w:val="20"/>
                <w:color w:val="auto"/>
              </w:rPr>
            </w:pPr>
            <w:r>
              <w:rPr>
                <w:rFonts w:ascii="Arial" w:cs="Arial" w:eastAsia="Arial" w:hAnsi="Arial"/>
                <w:sz w:val="14"/>
                <w:szCs w:val="14"/>
                <w:b w:val="1"/>
                <w:bCs w:val="1"/>
                <w:color w:val="auto"/>
                <w:w w:val="95"/>
              </w:rPr>
              <w:t>As of December 31,</w:t>
            </w:r>
          </w:p>
        </w:tc>
        <w:tc>
          <w:tcPr>
            <w:tcW w:w="116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5"/>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gridSpan w:val="6"/>
            <w:vMerge w:val="continue"/>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600" w:type="dxa"/>
            <w:vAlign w:val="bottom"/>
          </w:tcPr>
          <w:p>
            <w:pPr>
              <w:spacing w:after="0"/>
              <w:rPr>
                <w:sz w:val="4"/>
                <w:szCs w:val="4"/>
                <w:color w:val="auto"/>
              </w:rPr>
            </w:pPr>
          </w:p>
        </w:tc>
        <w:tc>
          <w:tcPr>
            <w:tcW w:w="42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Euros in thousands</w:t>
            </w:r>
          </w:p>
        </w:tc>
        <w:tc>
          <w:tcPr>
            <w:tcW w:w="1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5"/>
            <w:vMerge w:val="continue"/>
          </w:tcPr>
          <w:p>
            <w:pPr>
              <w:spacing w:after="0"/>
              <w:rPr>
                <w:sz w:val="4"/>
                <w:szCs w:val="4"/>
                <w:color w:val="auto"/>
              </w:rPr>
            </w:pPr>
          </w:p>
        </w:tc>
        <w:tc>
          <w:tcPr>
            <w:tcW w:w="820" w:type="dxa"/>
            <w:vAlign w:val="bottom"/>
            <w:gridSpan w:val="3"/>
            <w:vMerge w:val="restart"/>
          </w:tcPr>
          <w:p>
            <w:pPr>
              <w:jc w:val="right"/>
              <w:ind w:right="12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gridSpan w:val="3"/>
            <w:vMerge w:val="restart"/>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426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72,202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€103,353</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€39,367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109,737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124,000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55,288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12,032</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10,277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2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77,263</w:t>
            </w: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69,296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26,838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94,537</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105,816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43,651</w:t>
            </w:r>
          </w:p>
        </w:tc>
        <w:tc>
          <w:tcPr>
            <w:tcW w:w="12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gridSpan w:val="6"/>
          </w:tcPr>
          <w:p>
            <w:pPr>
              <w:jc w:val="right"/>
              <w:ind w:right="360"/>
              <w:spacing w:after="0"/>
              <w:rPr>
                <w:sz w:val="20"/>
                <w:szCs w:val="20"/>
                <w:color w:val="auto"/>
              </w:rPr>
            </w:pPr>
            <w:r>
              <w:rPr>
                <w:rFonts w:ascii="Arial" w:cs="Arial" w:eastAsia="Arial" w:hAnsi="Arial"/>
                <w:sz w:val="18"/>
                <w:szCs w:val="18"/>
                <w:color w:val="auto"/>
                <w:w w:val="99"/>
              </w:rPr>
              <w:t>€ (50,031)</w:t>
            </w:r>
          </w:p>
        </w:tc>
        <w:tc>
          <w:tcPr>
            <w:tcW w:w="1240" w:type="dxa"/>
            <w:vAlign w:val="bottom"/>
            <w:gridSpan w:val="5"/>
          </w:tcPr>
          <w:p>
            <w:pPr>
              <w:jc w:val="right"/>
              <w:ind w:right="360"/>
              <w:spacing w:after="0"/>
              <w:rPr>
                <w:sz w:val="20"/>
                <w:szCs w:val="20"/>
                <w:color w:val="auto"/>
              </w:rPr>
            </w:pPr>
            <w:r>
              <w:rPr>
                <w:rFonts w:ascii="Arial" w:cs="Arial" w:eastAsia="Arial" w:hAnsi="Arial"/>
                <w:sz w:val="18"/>
                <w:szCs w:val="18"/>
                <w:color w:val="auto"/>
              </w:rPr>
              <w:t>€ (40,835)</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 (9,171)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860" w:type="dxa"/>
            <w:vAlign w:val="bottom"/>
            <w:gridSpan w:val="3"/>
          </w:tcPr>
          <w:p>
            <w:pPr>
              <w:ind w:left="180"/>
              <w:spacing w:after="0"/>
              <w:rPr>
                <w:sz w:val="20"/>
                <w:szCs w:val="20"/>
                <w:color w:val="auto"/>
              </w:rPr>
            </w:pPr>
            <w:r>
              <w:rPr>
                <w:rFonts w:ascii="Arial" w:cs="Arial" w:eastAsia="Arial" w:hAnsi="Arial"/>
                <w:sz w:val="18"/>
                <w:szCs w:val="18"/>
                <w:b w:val="1"/>
                <w:bCs w:val="1"/>
                <w:color w:val="auto"/>
              </w:rPr>
              <w:t>Consolidated Cash Flow Data:</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10"/>
            <w:vMerge w:val="restart"/>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Euros in thousands</w:t>
            </w:r>
          </w:p>
        </w:tc>
        <w:tc>
          <w:tcPr>
            <w:tcW w:w="1200" w:type="dxa"/>
            <w:vAlign w:val="bottom"/>
          </w:tcPr>
          <w:p>
            <w:pPr>
              <w:spacing w:after="0"/>
              <w:rPr>
                <w:sz w:val="14"/>
                <w:szCs w:val="14"/>
                <w:color w:val="auto"/>
              </w:rPr>
            </w:pPr>
          </w:p>
        </w:tc>
        <w:tc>
          <w:tcPr>
            <w:tcW w:w="186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426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72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5"/>
          </w:tcPr>
          <w:p>
            <w:pPr>
              <w:jc w:val="right"/>
              <w:ind w:right="22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€(28,286)</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3"/>
              </w:rPr>
              <w:t>€ (248)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5"/>
              </w:rPr>
              <w:t>€  68,045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rPr>
              <w:t>€   7,583</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(333)</w:t>
            </w:r>
          </w:p>
        </w:tc>
        <w:tc>
          <w:tcPr>
            <w:tcW w:w="1240" w:type="dxa"/>
            <w:vAlign w:val="bottom"/>
            <w:gridSpan w:val="5"/>
          </w:tcPr>
          <w:p>
            <w:pPr>
              <w:jc w:val="right"/>
              <w:ind w:right="100"/>
              <w:spacing w:after="0"/>
              <w:rPr>
                <w:sz w:val="20"/>
                <w:szCs w:val="20"/>
                <w:color w:val="auto"/>
              </w:rPr>
            </w:pPr>
            <w:r>
              <w:rPr>
                <w:rFonts w:ascii="Arial" w:cs="Arial" w:eastAsia="Arial" w:hAnsi="Arial"/>
                <w:sz w:val="18"/>
                <w:szCs w:val="18"/>
                <w:color w:val="auto"/>
              </w:rPr>
              <w:t>(2,137)</w:t>
            </w:r>
          </w:p>
        </w:tc>
        <w:tc>
          <w:tcPr>
            <w:tcW w:w="1240" w:type="dxa"/>
            <w:vAlign w:val="bottom"/>
            <w:gridSpan w:val="6"/>
          </w:tcPr>
          <w:p>
            <w:pPr>
              <w:jc w:val="right"/>
              <w:ind w:right="60"/>
              <w:spacing w:after="0"/>
              <w:rPr>
                <w:sz w:val="20"/>
                <w:szCs w:val="20"/>
                <w:color w:val="auto"/>
              </w:rPr>
            </w:pPr>
            <w:r>
              <w:rPr>
                <w:rFonts w:ascii="Arial" w:cs="Arial" w:eastAsia="Arial" w:hAnsi="Arial"/>
                <w:sz w:val="18"/>
                <w:szCs w:val="18"/>
                <w:color w:val="auto"/>
              </w:rPr>
              <w:t>(413)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(446)</w:t>
            </w:r>
          </w:p>
        </w:tc>
        <w:tc>
          <w:tcPr>
            <w:tcW w:w="12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(1,862)</w:t>
            </w:r>
          </w:p>
        </w:tc>
        <w:tc>
          <w:tcPr>
            <w:tcW w:w="12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23,648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24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Selected Historical Financial Data of ARYA</w:t>
      </w:r>
    </w:p>
    <w:p>
      <w:pPr>
        <w:spacing w:after="0" w:line="229" w:lineRule="exact"/>
        <w:rPr>
          <w:sz w:val="20"/>
          <w:szCs w:val="20"/>
          <w:color w:val="auto"/>
        </w:rPr>
      </w:pPr>
    </w:p>
    <w:p>
      <w:pPr>
        <w:ind w:left="300" w:right="20"/>
        <w:spacing w:after="0" w:line="301" w:lineRule="auto"/>
        <w:rPr>
          <w:sz w:val="20"/>
          <w:szCs w:val="20"/>
          <w:color w:val="auto"/>
        </w:rPr>
      </w:pPr>
      <w:r>
        <w:rPr>
          <w:rFonts w:ascii="Arial" w:cs="Arial" w:eastAsia="Arial" w:hAnsi="Arial"/>
          <w:sz w:val="16"/>
          <w:szCs w:val="16"/>
          <w:color w:val="auto"/>
        </w:rPr>
        <w:t>The following tables contain summary historical financial data for ARYA. Such data as of December 31, 2019 and 2018, for the year ended December 31, 2019 and for the period from June 29, 2018 (inception) through December 31, 2018 has been derived from the audited financial statements of ARYA included elsewhere in this prospectus. The summary historical financial data for ARYA as of March 31, 2020 and for the three months ended March 31, 2020 and 2019 are derived from ARYA’s unaudited interim financial statements included in this statement prospectus.</w:t>
      </w:r>
    </w:p>
    <w:p>
      <w:pPr>
        <w:spacing w:after="0" w:line="157" w:lineRule="exact"/>
        <w:rPr>
          <w:sz w:val="20"/>
          <w:szCs w:val="20"/>
          <w:color w:val="auto"/>
        </w:rPr>
      </w:pPr>
    </w:p>
    <w:p>
      <w:pPr>
        <w:ind w:left="300" w:right="40"/>
        <w:spacing w:after="0" w:line="277" w:lineRule="auto"/>
        <w:rPr>
          <w:sz w:val="20"/>
          <w:szCs w:val="20"/>
          <w:color w:val="auto"/>
        </w:rPr>
      </w:pPr>
      <w:r>
        <w:rPr>
          <w:rFonts w:ascii="Arial" w:cs="Arial" w:eastAsia="Arial" w:hAnsi="Arial"/>
          <w:sz w:val="18"/>
          <w:szCs w:val="18"/>
          <w:color w:val="auto"/>
        </w:rPr>
        <w:t>The information below is only a summary and should be read in conjunction with ARYA’s financial statements, and the notes and schedules related thereto, which are included elsewhere in this prospectus.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from June 29,</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00" w:type="dxa"/>
            <w:vAlign w:val="bottom"/>
            <w:gridSpan w:val="6"/>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4"/>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6"/>
                <w:szCs w:val="6"/>
                <w:color w:val="auto"/>
              </w:rPr>
            </w:pPr>
          </w:p>
        </w:tc>
        <w:tc>
          <w:tcPr>
            <w:tcW w:w="100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(unaudited)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(audited)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General and administrative costs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4,127,299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153,570</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774,607</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111,684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(4,127,299)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(153,570)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(774,607)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income on Trust Account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857,447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872,335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3,353,229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(3,269,852)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718,765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2,578,622</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 average shares outstanding of Class A ordinary shares</w:t>
            </w:r>
            <w:r>
              <w:rPr>
                <w:rFonts w:ascii="Arial" w:cs="Arial" w:eastAsia="Arial" w:hAnsi="Arial"/>
                <w:sz w:val="15"/>
                <w:szCs w:val="15"/>
                <w:color w:val="auto"/>
                <w:w w:val="94"/>
              </w:rPr>
              <w:t>(1)</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14,375,000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14,375,000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14,375,000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14,375,000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8"/>
              </w:rPr>
              <w:t>Basic and diluted net income per share, Class A ordinary shares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w w:val="97"/>
              </w:rPr>
              <w:t>Weighted average shares outstanding of Class B ordinary shares</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3,593,750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3,593,750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3,593,750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3,593,750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Class B ordinary shares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20" w:right="40" w:hanging="422"/>
        <w:spacing w:after="0" w:line="277" w:lineRule="auto"/>
        <w:tabs>
          <w:tab w:leader="none" w:pos="7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Including 13,545,245, 13,686,244, 13,872,230 and 13,614,368 ARYA Class A ordinary shares subject to possible redemption as of March 31, 2020 and 2019 and December 31, 2019 and 2018, respectively.</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(unaudited)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(audited)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(audited)</w:t>
            </w: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Condensed Balance Sheet Data (At Period End):</w:t>
            </w:r>
          </w:p>
        </w:tc>
        <w:tc>
          <w:tcPr>
            <w:tcW w:w="1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(3,574,634)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552,665</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1,327,272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149,483,579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148,776,423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145,820,556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Total liabilities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9,031,128</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5,054,120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4,676,875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r>
              <w:rPr>
                <w:rFonts w:ascii="Arial" w:cs="Arial" w:eastAsia="Arial" w:hAnsi="Arial"/>
                <w:sz w:val="15"/>
                <w:szCs w:val="15"/>
                <w:color w:val="auto"/>
              </w:rPr>
              <w:t>(2)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135,452,450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138,722,300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136,143,680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5,000,001</w:t>
            </w:r>
          </w:p>
        </w:tc>
        <w:tc>
          <w:tcPr>
            <w:tcW w:w="18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720" w:hanging="422"/>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Working capital calculated as current assets less current liabilities.</w:t>
      </w:r>
    </w:p>
    <w:p>
      <w:pPr>
        <w:spacing w:after="0" w:line="23" w:lineRule="exact"/>
        <w:rPr>
          <w:rFonts w:ascii="Arial" w:cs="Arial" w:eastAsia="Arial" w:hAnsi="Arial"/>
          <w:sz w:val="15"/>
          <w:szCs w:val="15"/>
          <w:color w:val="auto"/>
        </w:rPr>
      </w:pPr>
    </w:p>
    <w:p>
      <w:pPr>
        <w:ind w:left="720" w:right="400" w:hanging="422"/>
        <w:spacing w:after="0" w:line="260" w:lineRule="auto"/>
        <w:tabs>
          <w:tab w:leader="none" w:pos="7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13,545,245, 13,872,230 and 13,614,368 ARYA Class A ordinary shares subject to possible redemption at redemption value at March 31, 2020,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130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1306830"/>
                    </a:xfrm>
                    <a:prstGeom prst="rect">
                      <a:avLst/>
                    </a:prstGeom>
                    <a:noFill/>
                  </pic:spPr>
                </pic:pic>
              </a:graphicData>
            </a:graphic>
          </wp:anchor>
        </w:drawing>
      </w:r>
    </w:p>
    <w:p>
      <w:pPr>
        <w:sectPr>
          <w:pgSz w:w="11900" w:h="16838" w:orient="portrait"/>
          <w:cols w:equalWidth="0" w:num="1">
            <w:col w:w="10900"/>
          </w:cols>
          <w:pgMar w:left="320" w:top="459" w:right="67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March 31,</w:t>
      </w:r>
    </w:p>
    <w:p>
      <w:pPr>
        <w:spacing w:after="0" w:line="5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74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02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Cash Flow Data:</w:t>
            </w:r>
          </w:p>
        </w:tc>
        <w:tc>
          <w:tcPr>
            <w:tcW w:w="100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(audited)</w:t>
            </w:r>
          </w:p>
        </w:tc>
        <w:tc>
          <w:tcPr>
            <w:tcW w:w="2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82"/>
        </w:trPr>
        <w:tc>
          <w:tcPr>
            <w:tcW w:w="398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060" w:type="dxa"/>
            <w:vAlign w:val="bottom"/>
            <w:gridSpan w:val="3"/>
          </w:tcPr>
          <w:p>
            <w:pPr>
              <w:jc w:val="right"/>
              <w:ind w:right="260"/>
              <w:spacing w:after="0"/>
              <w:rPr>
                <w:sz w:val="20"/>
                <w:szCs w:val="20"/>
                <w:color w:val="auto"/>
              </w:rPr>
            </w:pPr>
            <w:r>
              <w:rPr>
                <w:rFonts w:ascii="Arial" w:cs="Arial" w:eastAsia="Arial" w:hAnsi="Arial"/>
                <w:sz w:val="18"/>
                <w:szCs w:val="18"/>
                <w:color w:val="auto"/>
              </w:rPr>
              <w:t>$(172,676)</w:t>
            </w:r>
          </w:p>
        </w:tc>
        <w:tc>
          <w:tcPr>
            <w:tcW w:w="1080" w:type="dxa"/>
            <w:vAlign w:val="bottom"/>
            <w:gridSpan w:val="3"/>
          </w:tcPr>
          <w:p>
            <w:pPr>
              <w:ind w:left="260"/>
              <w:spacing w:after="0"/>
              <w:rPr>
                <w:sz w:val="20"/>
                <w:szCs w:val="20"/>
                <w:color w:val="auto"/>
              </w:rPr>
            </w:pPr>
            <w:r>
              <w:rPr>
                <w:rFonts w:ascii="Arial" w:cs="Arial" w:eastAsia="Arial" w:hAnsi="Arial"/>
                <w:sz w:val="18"/>
                <w:szCs w:val="18"/>
                <w:color w:val="auto"/>
                <w:w w:val="91"/>
              </w:rPr>
              <w:t>$(122,436)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8"/>
              </w:rPr>
              <w:t>Year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48"/>
        </w:trPr>
        <w:tc>
          <w:tcPr>
            <w:tcW w:w="174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 June 29,</w:t>
            </w:r>
          </w:p>
        </w:tc>
        <w:tc>
          <w:tcPr>
            <w:tcW w:w="0" w:type="dxa"/>
            <w:vAlign w:val="bottom"/>
          </w:tcPr>
          <w:p>
            <w:pPr>
              <w:spacing w:after="0"/>
              <w:rPr>
                <w:sz w:val="1"/>
                <w:szCs w:val="1"/>
                <w:color w:val="auto"/>
              </w:rPr>
            </w:pPr>
          </w:p>
        </w:tc>
      </w:tr>
      <w:tr>
        <w:trPr>
          <w:trHeight w:val="148"/>
        </w:trPr>
        <w:tc>
          <w:tcPr>
            <w:tcW w:w="17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Ended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2018 (inception) to</w:t>
            </w:r>
          </w:p>
        </w:tc>
        <w:tc>
          <w:tcPr>
            <w:tcW w:w="0" w:type="dxa"/>
            <w:vAlign w:val="bottom"/>
          </w:tcPr>
          <w:p>
            <w:pPr>
              <w:spacing w:after="0"/>
              <w:rPr>
                <w:sz w:val="1"/>
                <w:szCs w:val="1"/>
                <w:color w:val="auto"/>
              </w:rPr>
            </w:pPr>
          </w:p>
        </w:tc>
      </w:tr>
      <w:tr>
        <w:trPr>
          <w:trHeight w:val="148"/>
        </w:trPr>
        <w:tc>
          <w:tcPr>
            <w:tcW w:w="17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December 31, 2019</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(audited)</w:t>
            </w:r>
          </w:p>
        </w:tc>
        <w:tc>
          <w:tcPr>
            <w:tcW w:w="5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(audited)</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tabs>
          <w:tab w:leader="none" w:pos="480" w:val="left"/>
          <w:tab w:leader="none" w:pos="1720" w:val="left"/>
          <w:tab w:leader="none" w:pos="2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(323,980)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(238,298)</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(143,750,000)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145,186,604</w:t>
      </w:r>
    </w:p>
    <w:p>
      <w:pPr>
        <w:spacing w:after="0" w:line="209" w:lineRule="exact"/>
        <w:rPr>
          <w:sz w:val="20"/>
          <w:szCs w:val="20"/>
          <w:color w:val="auto"/>
        </w:rPr>
      </w:pPr>
    </w:p>
    <w:p>
      <w:pPr>
        <w:sectPr>
          <w:pgSz w:w="11900" w:h="16838" w:orient="portrait"/>
          <w:cols w:equalWidth="0" w:num="2">
            <w:col w:w="7420" w:space="520"/>
            <w:col w:w="2960"/>
          </w:cols>
          <w:pgMar w:left="320" w:top="459" w:right="67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00"/>
          </w:cols>
          <w:pgMar w:left="320" w:top="459" w:right="6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41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34417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SELECTED UNAUDITED PRO FORMA CONDENSED FINANCIAL INFORMATION</w:t>
      </w:r>
    </w:p>
    <w:p>
      <w:pPr>
        <w:spacing w:after="0" w:line="229" w:lineRule="exact"/>
        <w:rPr>
          <w:sz w:val="20"/>
          <w:szCs w:val="20"/>
          <w:color w:val="auto"/>
        </w:rPr>
      </w:pPr>
    </w:p>
    <w:p>
      <w:pPr>
        <w:ind w:left="300" w:right="200"/>
        <w:spacing w:after="0" w:line="257" w:lineRule="auto"/>
        <w:rPr>
          <w:sz w:val="20"/>
          <w:szCs w:val="20"/>
          <w:color w:val="auto"/>
        </w:rPr>
      </w:pPr>
      <w:r>
        <w:rPr>
          <w:rFonts w:ascii="Arial" w:cs="Arial" w:eastAsia="Arial" w:hAnsi="Arial"/>
          <w:sz w:val="18"/>
          <w:szCs w:val="18"/>
          <w:color w:val="auto"/>
        </w:rPr>
        <w:t>The following selected pro forma statement of financial positions as of March 31, 2020 and the combined statements of loss for the three months ended March 31, 2020 and the year ended December 31, 2019 are based on Immatics’ historical consolidated financial statements prepared in accordance with International Financial Reporting Standards as issued by the International Accounting Standards Board (“IFRS”) and ARYA’s historical financial statements and gives effect to all of the transactions contemplated by the Business Combination Agreement and the PIPE Financing (together, the “Transaction”).</w:t>
      </w:r>
    </w:p>
    <w:p>
      <w:pPr>
        <w:spacing w:after="0" w:line="188" w:lineRule="exact"/>
        <w:rPr>
          <w:sz w:val="20"/>
          <w:szCs w:val="20"/>
          <w:color w:val="auto"/>
        </w:rPr>
      </w:pPr>
    </w:p>
    <w:p>
      <w:pPr>
        <w:ind w:left="300" w:right="100"/>
        <w:spacing w:after="0" w:line="259" w:lineRule="auto"/>
        <w:rPr>
          <w:sz w:val="20"/>
          <w:szCs w:val="20"/>
          <w:color w:val="auto"/>
        </w:rPr>
      </w:pPr>
      <w:r>
        <w:rPr>
          <w:rFonts w:ascii="Arial" w:cs="Arial" w:eastAsia="Arial" w:hAnsi="Arial"/>
          <w:sz w:val="18"/>
          <w:szCs w:val="18"/>
          <w:color w:val="auto"/>
        </w:rPr>
        <w:t>The historical financial information has been adjusted to give effect to the events that are related and/or directly attributable to the Transaction, are factually supportable and are expected to have a continuing impact on the combined results. The adjustments presented in the selected unaudited pro forma condensed combined financial statements have been identified and presented to provide relevant information necessary for an understanding of the combined company upon consummation of the Transaction.</w:t>
      </w:r>
    </w:p>
    <w:p>
      <w:pPr>
        <w:spacing w:after="0" w:line="187" w:lineRule="exact"/>
        <w:rPr>
          <w:sz w:val="20"/>
          <w:szCs w:val="20"/>
          <w:color w:val="auto"/>
        </w:rPr>
      </w:pPr>
    </w:p>
    <w:p>
      <w:pPr>
        <w:jc w:val="both"/>
        <w:ind w:left="300" w:right="520"/>
        <w:spacing w:after="0" w:line="263" w:lineRule="auto"/>
        <w:rPr>
          <w:sz w:val="20"/>
          <w:szCs w:val="20"/>
          <w:color w:val="auto"/>
        </w:rPr>
      </w:pPr>
      <w:r>
        <w:rPr>
          <w:rFonts w:ascii="Arial" w:cs="Arial" w:eastAsia="Arial" w:hAnsi="Arial"/>
          <w:sz w:val="18"/>
          <w:szCs w:val="18"/>
          <w:color w:val="auto"/>
        </w:rPr>
        <w:t>This selected unaudited pro forma condensed combined financial information should be read together with Immatics’s and ARYA’s financial statements and related notes, “Management’s Discussion and Analysis of Financial Condition and Results of Operations” and other financial information included elsewhere in this prospectus.</w:t>
      </w:r>
    </w:p>
    <w:p>
      <w:pPr>
        <w:spacing w:after="0" w:line="184"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The selected unaudited pro forma condensed combined financial information is presented for illustrative purposes only. Such information is only a summary and should be read in conjunction with the section titled “Unaudited Pro Forma Condensed Combined Financial Statements.” The assumptions and estimates underlying the unaudited pro forma adjustments are described in the notes to the accompanying unaudited pro forma condensed combined financial information. The financial results may have been different if the companies always had been combined. As the unaudited pro forma condensed combined financial information has been prepared based on these preliminary estimates, the final amounts recorded may differ materially from the information presented.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531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Selected Unaudited Pro Forma Condensed Financial Information</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4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w:t>
            </w:r>
          </w:p>
        </w:tc>
        <w:tc>
          <w:tcPr>
            <w:tcW w:w="1220" w:type="dxa"/>
            <w:vAlign w:val="bottom"/>
          </w:tcPr>
          <w:p>
            <w:pPr>
              <w:spacing w:after="0"/>
              <w:rPr>
                <w:sz w:val="14"/>
                <w:szCs w:val="14"/>
                <w:color w:val="auto"/>
              </w:rPr>
            </w:pPr>
          </w:p>
        </w:tc>
        <w:tc>
          <w:tcPr>
            <w:tcW w:w="10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Immatics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ARYA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71"/>
        </w:trPr>
        <w:tc>
          <w:tcPr>
            <w:tcW w:w="61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Forma*</w:t>
            </w:r>
          </w:p>
        </w:tc>
        <w:tc>
          <w:tcPr>
            <w:tcW w:w="0" w:type="dxa"/>
            <w:vAlign w:val="bottom"/>
          </w:tcPr>
          <w:p>
            <w:pPr>
              <w:spacing w:after="0"/>
              <w:rPr>
                <w:sz w:val="1"/>
                <w:szCs w:val="1"/>
                <w:color w:val="auto"/>
              </w:rPr>
            </w:pP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Financial Position Data as of March 31, 2020</w:t>
            </w: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Cash and cash equivalents and term deposits</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72,202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640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303,628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121,769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136,440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352,760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Total equity</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(50,031)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4,564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146,887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171,800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205,874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Statement of Income Data Three Months Ended March 31, 2020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Operating result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(11,281)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(3,743)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(14,018)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(10,540))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 Year Ended December 31, 2019</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Revenue from collaboration agreements</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18,449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18,449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(40,380)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(32,487))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(36,859)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right="200" w:hanging="202"/>
        <w:spacing w:after="0" w:line="342"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pro forma column gives effect to the actual amount of redemptions by stockholders of ARYA at the closing of the Transaction. For details regarding all of the pro forma adjustments made, please see the section entitled “Unaudited Pro Forma Combined Financial Information.”</w:t>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i w:val="1"/>
          <w:iCs w:val="1"/>
          <w:color w:val="auto"/>
        </w:rPr>
        <w:t>Investing in our ordinary shares involves a high degree of risk. In addition to the other information set forth in this prospectus, you should carefully consider the risk factors discussed below when considering an investment in our ordinary shares and any risk factors that may be set forth in the applicable prospectus supplement, any related free writing prospectus, as well as the other information contained in this prospectus, any applicable prospectus supplement and any related free writing prospectus. If any of the following risks occur, our business, financial condition, results of operations and prospects could be materially and adversely affected. In that case, the market price of our ordinary shares could decline and you could lose some or all of your investment. Additional risks and uncertainties not presently known to us or that we currently deem immaterial also may impair our business operations.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may never be profitable.</w:t>
      </w:r>
    </w:p>
    <w:p>
      <w:pPr>
        <w:spacing w:after="0" w:line="117"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We are a clinical-stage biopharmaceutical company active in the development and discovery of potential T cell redirecting immunotherapies for the treatment of cancer. We do not have products approved for commercial sale and have not generated revenue from operations. We have incurred net losses in each year since 2000, including consolidated net losses of €32.5 million and €32.4 million for the years ended December 31, 2019 and 2018, respectively. As of December 31, 2019, we had accumulated consolidated losses of €233.2 million. We do not expect to generate any meaningful product sales or royalty revenues for the foreseeable future. We expect to incur significant additional operating losses in the future as we expand our development and clinical trial activities in support of demonstrating the effectiveness of our products.</w:t>
      </w:r>
    </w:p>
    <w:p>
      <w:pPr>
        <w:spacing w:after="0" w:line="17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292"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b w:val="1"/>
          <w:bCs w:val="1"/>
          <w:i w:val="1"/>
          <w:iCs w:val="1"/>
          <w:color w:val="auto"/>
        </w:rPr>
        <w:t>We will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shareholders, restrict our operations or require us to relinquish rights to our technologies or product candidates.</w:t>
      </w:r>
    </w:p>
    <w:p>
      <w:pPr>
        <w:spacing w:after="0" w:line="7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Our operations have consumed substantial amounts of cash since inception. Our research and development and our operating costs have also been substantial and are expected to increase. While we have been successful in the past in obtaining financing, we expect to continue to spend substantial amounts to continue the clinical development of our product candidates. As of December 31, 2019, we had $133 million in cash and cash equivalents.</w:t>
      </w:r>
    </w:p>
    <w:p>
      <w:pPr>
        <w:spacing w:after="0" w:line="14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Accordingly, we believe that our existing cash and cash equivalents will be sufficient to fund our operations until the third quarter of 2021. With this level of funding we plan to continue development of our clinical stage programs IMA201, IMA202, IMA203, and IMA101, the development of our preclinical stage programs IMA204, IMA401 and IMA402, and to perform further technology advancement and research activities that may lead to new product candidates. See the section titled “</w:t>
      </w:r>
      <w:r>
        <w:rPr>
          <w:rFonts w:ascii="Arial" w:cs="Arial" w:eastAsia="Arial" w:hAnsi="Arial"/>
          <w:sz w:val="17"/>
          <w:szCs w:val="17"/>
          <w:i w:val="1"/>
          <w:iCs w:val="1"/>
          <w:color w:val="auto"/>
        </w:rPr>
        <w:t>Business</w:t>
      </w:r>
      <w:r>
        <w:rPr>
          <w:rFonts w:ascii="Arial" w:cs="Arial" w:eastAsia="Arial" w:hAnsi="Arial"/>
          <w:sz w:val="17"/>
          <w:szCs w:val="17"/>
          <w:color w:val="auto"/>
        </w:rPr>
        <w:t>”. It is difficult to estimate how far into the development of the current product candidates we will reach with the current level of funding. However, in order to complete the development of our current product candidates, and in order to effectuate our business plan, we anticipate that we will have to spend more than the funds currently available to us. Additional funding will be required for all programs, including clinical and preclinical programs, prior to market approval and commercialization. Furthermore, changing circumstances may cause us to increase our spending significantly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76" w:lineRule="exact"/>
        <w:rPr>
          <w:sz w:val="20"/>
          <w:szCs w:val="20"/>
          <w:color w:val="auto"/>
        </w:rPr>
      </w:pPr>
    </w:p>
    <w:p>
      <w:pPr>
        <w:ind w:left="1080" w:right="4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Adoptive Cell Therapy (“ACT”) and bispecific T cell engaging receptor (“TCR Bispecific”) product candidates for our ongoing, planned and potential future clinical trials;</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 and cost to conduct investigational new drug application (“IND”) or clinical trial application (“CTA”) enabling studies for our preclinical programs;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 and costs required to perform research and development to identify and characterize new product candidates from our research programs;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 and cost necessary to obtain regulatory authorizations and approvals that may be required by regulatory authorities to execute clinical trials or commercialize our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products successfully manufactured consistent with U.S. Food and Drug Administration (“FDA”), European Medicines Agency (“EMA”), and other authorities’ regulations;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 of building, staffing and validating our manufacturing processes, which may include capital expenditure;</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17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additional capital in sufficient amounts or on acceptable terms to us, we may be required to delay or reduce the scope of or eliminate one or more of our research or development programs or our commercialization efforts. Our current license and collaboration agreements may also be terminated if we are unable to meet our obligations to perform contractually agreed research and development work under those agreements. As a result, we may seek to access the public or private capital markets whenever conditions are favorable, even if we do not have an immediate need for additional capital at that time.</w:t>
      </w:r>
    </w:p>
    <w:p>
      <w:pPr>
        <w:spacing w:after="0" w:line="188"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may include liquidation or other preferences that adversely affect your rights as a shareholder.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collaborations and alliances and licensing arrangements with third parties, we may have to relinquish valuable rights to our technologies or product candidates, or grant licenses on terms unfavorable to us.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limited experience in operating our current business, which makes it difficult to evaluate our business plan and our prospects.</w:t>
      </w:r>
    </w:p>
    <w:p>
      <w:pPr>
        <w:spacing w:after="0" w:line="12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have only a limited operating history in our current line of business on which a decision to invest in us can be based. Our future currently is dependent upon our ability to implement our business plan, as that business plan may be modified from time to time by our Management and Supervisory Boards. While we believe that we have a reasonable business plan and research and development strategy, we have only a limited operating history against which we can test our plans and assumptions, and investors therefore cannot evaluate the likelihood of our success based on previous experience.</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face the problems, expenses, difficulties, complications and delays normally associated with a pre-commercial biopharmaceutical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and commercialization of our product candidates.</w:t>
      </w:r>
    </w:p>
    <w:p>
      <w:pPr>
        <w:spacing w:after="0" w:line="27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62"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We currently have no products approved for commercial sale. We have invested a significant portion of our efforts and financial resources in the development of our current product candidates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7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Our product candidates will require additional clinical and non-clinical development, regulatory approval, commercial manufacturing arrangements, establishment of a commercial organization, significant marketing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efforts, and further investment before we generate any revenue from product sales. We cannot assure you that we will meet our timelines for our current or future clinical trials, which may be delayed or not completed for a number of reasons.</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are not permitted to market or promote any of our product candidates before we receive regulatory approval from the FDA or comparable regulatory authorities in other countries, and we may never receive such regulatory approval for any of our product candidates or regulatory approval that will allow us to successfully commercialize our product candidates. If we do not receive regulatory approval with the necessary conditions to allow successful commercialization, and then successfully commercialize our product candidates, we will not be able to generate revenue from those product candidates in the United States or other countries in the foreseeable future, or at all. Any significant delays in obtaining approval for and commercializing our product candidates will have a material adverse impact on our business and financial condition.</w:t>
      </w:r>
    </w:p>
    <w:p>
      <w:pPr>
        <w:spacing w:after="0" w:line="17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We have not previously submitted a biologics license application (“</w:t>
      </w:r>
      <w:r>
        <w:rPr>
          <w:rFonts w:ascii="Arial" w:cs="Arial" w:eastAsia="Arial" w:hAnsi="Arial"/>
          <w:sz w:val="18"/>
          <w:szCs w:val="18"/>
          <w:i w:val="1"/>
          <w:iCs w:val="1"/>
          <w:color w:val="auto"/>
        </w:rPr>
        <w:t>BLA</w:t>
      </w:r>
      <w:r>
        <w:rPr>
          <w:rFonts w:ascii="Arial" w:cs="Arial" w:eastAsia="Arial" w:hAnsi="Arial"/>
          <w:sz w:val="18"/>
          <w:szCs w:val="18"/>
          <w:color w:val="auto"/>
        </w:rPr>
        <w:t>”) to the FDA, or similar marketing application to comparable foreign authorities, for any product candidate, and we cannot be certain that our current or any future product candidates will be successful in clinical trials or receive regulatory approval.</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research and development programs are at an early stage. We must demonstrate our products’ safety and effectiveness in humans through extensive clinical testing. We may experience numerous unforeseen events during, or as a result of, the testing process that could delay or prevent commercialization of our products, including but not limited to the following:</w:t>
      </w:r>
    </w:p>
    <w:p>
      <w:pPr>
        <w:spacing w:after="0" w:line="8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after reviewing trial results, we or our collaborators may abandon projects that we might previously have believed to be promising;</w:t>
      </w:r>
    </w:p>
    <w:p>
      <w:pPr>
        <w:spacing w:after="0" w:line="142"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regulatory authorities may find that our clinical trial design or conduct does not meet the applicable approval requirements; and</w:t>
      </w:r>
    </w:p>
    <w:p>
      <w:pPr>
        <w:spacing w:after="0" w:line="142"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7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Clinical testing is very expensive, can take many years, and the outcome is uncertain. It could take several years before we learn the results from any clinical trial using ACT or TCR Bispecifics. The data collected from our clinical trials may not be sufficient to support approval by the FDA, EMA, or regulatory authorities in other countries of our ACT- or TCR Bispecifics-based product candidates for the treatment of tumors. The clinical trials for our products under development may not be completed on schedule and the FDA, EMA or regulatory authorities in other countries may not ultimately approve any of our product candidates for commercial sale. If we fail to adequately demonstrate the safety and effectiveness of any product candidate under development, we may not receive regulatory approval for those products, which would prevent us from generating revenues or achieving profitability.</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and the Development, Regulatory Review and Approval of our Product Candidates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The FDA regulatory pathways can be difficult to predict, and whether, for example, the FDA’s Accelerated Approval pathway is available or further unanticipated clinical trials are required will depend on the data obtained in our ongoing clinical trials.</w:t>
      </w:r>
    </w:p>
    <w:p>
      <w:pPr>
        <w:spacing w:after="0" w:line="6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regulatory approval pathway and the amount of time it takes us to obtain regulatory approvals for our product candidates will depend on the data that are obtained in our ongoing clinical trials and any future clinical trials, including future registrational or pivotal clinical trials. We may attempt to seek approval on a per indication basis for our product candidates on the basis of a single pivotal trial or on the basis of data from one or more uncontrolled trials. While the FDA requires in most cases two adequate and well-controlled pivotal clinical trials to demonstrate the efficacy of a product candidate, a single trial with strong confirmatory evidence may be sufficient in instances where the trial is a large multicenter trial demonstrating internal consistency and a statistically very persuasive finding of a clinically meaningful effect on mortality, irreversible morbidity or prevention of a disease with a potentially serious outcome and if confirmation of the result in a second trial would be practically or ethically impossible. In rare cancer indications with very limited treatment options, a large and/or controlled trial is often not feasible and thus data from smaller and even uncontrolled trials may be sufficient for regulatory approval. Depending on the data we obtain, the FDA or other regulatory authorities may require additional clinical trials to be carried out or further patients to be treated prior to the granting of any regulatory approval for marketing of our product candidates. It is difficult for us to predict with such a novel technology exactly what will be required by the regulatory authorities in order to take our product candidates to market or the timeframes under which the relevant regulatory approvals can be obtained.</w:t>
      </w:r>
    </w:p>
    <w:p>
      <w:pPr>
        <w:spacing w:after="0" w:line="179"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FDA has various programs that are intended to facilitate and expedite development and review of new drugs to address unmet medical need in the treatment of serious or life-threatening conditions. These expedited programs help ensure that therapies for serious conditions are available as soon as it can be concluded that the therapies’ benefits justify their risks, taking into account the seriousness of the condition and the availability of alternative treatment. These programs include Breakthrough Therapy designation, Fast Track designation, Accelerated Approval, and Priority Review designation. Depending on the data that is we obtain in our current and future clinical trials for our wholly owned product candidates, we may seek Breakthrough Therapy or Fast Track designation, Priority Review, or Accelerated Approval from the FDA for our product candidates and equivalent accelerated approval procedures in other countries. However, given the novel nature of our product candidates, it is difficult for us to predict or guarantee whether the FDA or other regulatory authorities will approve such requests or what further clinical or other data may be required to support an application for such accelerated approval procedures. Even if we obtain Breakthrough Therapy designation, the FDA may decide to rescind the designation if, for example, the designation is no longer supported by clinical data obtained after designation.</w:t>
      </w:r>
    </w:p>
    <w:p>
      <w:pPr>
        <w:spacing w:after="0" w:line="16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For example, clinical trials may be required in pediatric populations before any marketing approval can be obtained, which can be time-consuming and costly.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foreign regulatory authorities also have substantial discretion in the drug and biologics approval processes. The number and types of preclinical programs and clinical trials that will be required for regulatory approval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programs or clinical trials, either of which may cause delays or limitations in the approval or the</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decision not to approve an application. In addition, approval of our product candidates could be delayed or refused for many reasons, including the following:</w:t>
      </w:r>
    </w:p>
    <w:p>
      <w:pPr>
        <w:spacing w:after="0" w:line="76" w:lineRule="exact"/>
        <w:rPr>
          <w:sz w:val="20"/>
          <w:szCs w:val="20"/>
          <w:color w:val="auto"/>
        </w:rPr>
      </w:pPr>
    </w:p>
    <w:p>
      <w:pPr>
        <w:ind w:left="1080" w:right="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or our collaborators’ clinical trials;</w:t>
      </w:r>
    </w:p>
    <w:p>
      <w:pPr>
        <w:spacing w:after="0" w:line="75"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or our collaborators may be unable to demonstrate to the satisfaction of the FDA or comparable foreign regulatory authorities that our product candidates are safe, pure, potent and have a favorable risk/benefit profile for any of their proposed indications;</w:t>
      </w:r>
    </w:p>
    <w:p>
      <w:pPr>
        <w:spacing w:after="0" w:line="51" w:lineRule="exact"/>
        <w:rPr>
          <w:rFonts w:ascii="Arial" w:cs="Arial" w:eastAsia="Arial" w:hAnsi="Arial"/>
          <w:sz w:val="17"/>
          <w:szCs w:val="17"/>
          <w:color w:val="auto"/>
        </w:rPr>
      </w:pPr>
    </w:p>
    <w:p>
      <w:pPr>
        <w:ind w:left="1080" w:right="6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programs or clinical trials;</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data collected from clinical trials of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manufacturing processes or facilities or those of the third-party manufacturers we use may not be adequate to support approval of our product candidates; and</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It is possible that no product candidates will ever obtain the appropriate regulatory approvals necessary to commercialize one of our ACT and TCR Bispecific therapies. Any delay in obtaining, or failure to obtain, required approvals would materially adversely affect our ability to generate revenue from the particular product candidate, which would result in significant harm to our business.</w:t>
      </w:r>
    </w:p>
    <w:p>
      <w:pPr>
        <w:spacing w:after="0" w:line="292"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b w:val="1"/>
          <w:bCs w:val="1"/>
          <w:i w:val="1"/>
          <w:iCs w:val="1"/>
          <w:color w:val="auto"/>
        </w:rPr>
        <w:t>We are subject to extensive regulation, and the regulatory approval processes in the U.S., Europe and other countries or regions are costly, lengthy and time-consuming. We may also experience significant delays in the regulatory approval of our product candidates.</w:t>
      </w:r>
    </w:p>
    <w:p>
      <w:pPr>
        <w:spacing w:after="0" w:line="38"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w:t>
      </w:r>
    </w:p>
    <w:p>
      <w:pPr>
        <w:spacing w:after="0" w:line="14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have not previously submitted a BLA to the FDA, or similar approval submissions to comparable foreign authorities. A BLA must include extensive preclinical and clinical data and supporting information to establish that the product candidate meets the prescribed requirements of safety, purity and potency for each desired indication. The BLA must also include detailed information regarding the chemistry, manufacturing and controls for the product. International marketing authorization applications equivalent to a BLA must contain similar types of data and information. We expect the novel nature of our product candidates to create additional challenges in obtaining regulatory approval. For example, the FDA has limited experience with commercial development of T cell directed therapies for cancer. Accordingly, the regulatory approval pathway for our product candidates may be uncertain, complex, expensive and lengthy, and approval may not be obtained. Requirements and requests for additional information can occur for any clinical trial of any of our product candidates. Such request can result in delays of the start of our clinical trials or in clinical holds being imposed on ongoing trials, and there is no guarantee that the FDA will not continue to require further or additional information ahead of permitting any trial to proceed, whether from our collaborators or from us.</w:t>
      </w:r>
    </w:p>
    <w:p>
      <w:pPr>
        <w:spacing w:after="0" w:line="185"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face a number of regulatory consequences, including refusal to approve pending applications, license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1" w:lineRule="auto"/>
        <w:rPr>
          <w:sz w:val="20"/>
          <w:szCs w:val="20"/>
          <w:color w:val="auto"/>
        </w:rPr>
      </w:pPr>
      <w:r>
        <w:rPr>
          <w:rFonts w:ascii="Arial" w:cs="Arial" w:eastAsia="Arial" w:hAnsi="Arial"/>
          <w:sz w:val="17"/>
          <w:szCs w:val="17"/>
          <w:color w:val="auto"/>
        </w:rPr>
        <w:t>suspension or revocation, withdrawal of an approval, imposition of a clinical hold or termination of clinical trials, warning letters, untitled letters, modification of promotional materials or labeling, provision of corrective information, imposition of post-marketing requirements and commitments including the need for additional testing, imposition of distribution or other restrictions under a Risk Evaluation and Mitigation Strategy (“</w:t>
      </w:r>
      <w:r>
        <w:rPr>
          <w:rFonts w:ascii="Arial" w:cs="Arial" w:eastAsia="Arial" w:hAnsi="Arial"/>
          <w:sz w:val="17"/>
          <w:szCs w:val="17"/>
          <w:i w:val="1"/>
          <w:iCs w:val="1"/>
          <w:color w:val="auto"/>
        </w:rPr>
        <w:t>REMS</w:t>
      </w:r>
      <w:r>
        <w:rPr>
          <w:rFonts w:ascii="Arial" w:cs="Arial" w:eastAsia="Arial" w:hAnsi="Arial"/>
          <w:sz w:val="17"/>
          <w:szCs w:val="17"/>
          <w:color w:val="auto"/>
        </w:rPr>
        <w:t>”),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or our collaborators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or a collaborator, Institutional Review Boards (“IRBs”) for the institutions in which such trials are being conducted or by responsible Ethics Committees (“ECs”), the Data Monitoring Committee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or our collaborators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our product development and approval process and jeopardize our ability to commence product sales and generate revenue.</w:t>
      </w:r>
    </w:p>
    <w:p>
      <w:pPr>
        <w:spacing w:after="0" w:line="182"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Additionally, we have limited experience in conducting clinical trials with adoptive cellular therapies and T cell engaging biologics and in conducting clinical trials through to regulatory approval. Because of this lack of experience, we cannot be certain that planned clinical trials will begin or be completed on time, if at all. Large-scale trials would require significant additional financial and management resources, and reliance on third-party clinical investigators, contract research organizations (“CROs”), or consultants.</w:t>
      </w:r>
    </w:p>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Many of the factors that cause, or lead to, a delay in the commencement or completion of clinical trials may ultimately lead to the denial of regulatory approval of our product candidates.</w:t>
      </w:r>
    </w:p>
    <w:p>
      <w:pPr>
        <w:spacing w:after="0" w:line="278"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b w:val="1"/>
          <w:bCs w:val="1"/>
          <w:i w:val="1"/>
          <w:iCs w:val="1"/>
          <w:color w:val="auto"/>
        </w:rPr>
        <w:t>We are subject to manufacturing risks that could substantially increase our costs and limit supply of our products. The manufacture of our product candidates is complex, and we may encounter difficulties in production, particularly with respect to process development, quality control, upscaling or scaling-out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6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Our product candidates are cellular products or biologics and the process of manufacturing our products is complex, highly regulated and subject to multiple risks.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The manufacture of our cellular product candidates involves complex processes, including, for example, for ACTengine genetically modified autologous T cell products (IMA201, IMA202, IMA203, and IMA204), harvesting and transporting blood cells from every patient for T cell isolation, engineering of the T cells to express a specific T cell receptor for a tumor target,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multiplying the T cells to obtain the desired cell numbers for the dose, and finally transporting of the T cell product back to the patient for infusing the modified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T cells back into the same patient. As a result of the complexities, the cost to manufacture cellular products per dose is generally higher than traditional small molecule chemical compounds or biologics, and the manufacturing process is less reliable, more variable and is more difficult to reproduce. Our manufacturing process may be susceptible to product loss or failure due to logistical issues associated with the collection of patients’ blood cells, shipping such material to the manufacturing site, shipping the final product back to the patient, and infusing the patient with the product. Product loss or failure may also be caused by manufacturing issues associated with the variability in patient starting material especially from heavily treated cancer patients, interruptions in the manufacturing process, contamination, equipment failure, assay failures,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starting material, or any intermediate product at any point in the process, or if any product does not meet the preset specifications, the manufacturing process for that patient will need to be restarted, sometimes including re-collection of blood cells from the patient, and the resulting delay may adversely affect that patient’s outcome. It may even happen, that failed product manufacture may prevent a patient from getting a T cell product. If microbial,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 If such contaminations or other product quality issues are not discovered and if as a result thereof patients are exposed to a health risk, we may be held liable. Our insurance may not cover those cases, or the financial coverage may not be sufficient.</w:t>
      </w:r>
    </w:p>
    <w:p>
      <w:pPr>
        <w:spacing w:after="0" w:line="16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Because our ACTengine cellular product candidates are manufactured specifically for each individual patient, we will be required to maintain a chain of identity with respect to the patient’s cellular material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 including bridging clinical trials, which can be costly and time-consuming.</w:t>
      </w:r>
    </w:p>
    <w:p>
      <w:pPr>
        <w:spacing w:after="0" w:line="16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Currently, our cellular product candidates are manufactured using processes developed or modified by us but based on current industry standards and are designed to deliver a clinical proof of concept (“PoC”). We have selected an open process as the manufacturing process for early stage clinical trials through PoC. However, we are currently developing a second-generation process that is closed, partially automated and viable for advanced clinical trials through product registration, and all ongoing and future company-sponsored clinical trials. Although we believe that the 2</w:t>
      </w:r>
      <w:r>
        <w:rPr>
          <w:rFonts w:ascii="Arial" w:cs="Arial" w:eastAsia="Arial" w:hAnsi="Arial"/>
          <w:sz w:val="13"/>
          <w:szCs w:val="13"/>
          <w:color w:val="auto"/>
        </w:rPr>
        <w:t>nd</w:t>
      </w:r>
      <w:r>
        <w:rPr>
          <w:rFonts w:ascii="Arial" w:cs="Arial" w:eastAsia="Arial" w:hAnsi="Arial"/>
          <w:sz w:val="16"/>
          <w:szCs w:val="16"/>
          <w:color w:val="auto"/>
        </w:rPr>
        <w:t xml:space="preserve"> generation process is commercially viable, there are risks associated with scaling to the level required for advanced clinical trials or commercialization, including, among others, cost overruns, potential problems with process upscaling, scale-out, process reproducibility, technology transfer, stability issues, lot consistency, and timely availability of raw materials. This includes potential risks associated with FDA not agreeing with all of the details of our validation data or our potency assay for our Phase 1 or future Phase 2 clinical trials. Furthermore, some of our contract manufacturing organizations (“CMOs”) may not be able to establish comparability of their products with the ACT products used in our Phase 1 or future Phase 2 clinical trials or may not be fully validated prior to starting our pivotal or registration clinical trial.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6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Our manufacturing capabilities for our allogenic cellular therapy product candidate IMA301 are still in the process of being developed. We may not successfully establish a robust production process that fulfills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requirements of the FDA and other regulatory authorities. If we fail to establish such a manufacturing process, we may not be able to commence clinical trials in IMA301 or clinical trials may be delayed. We also cannot guarantee that the production process we are currently developing for IMA301 is viable and can be effectively scaled up or transferred to an CMO for later phase clinical testing and commercialization. For example, there is insufficient experience in the field regarding vectors for transduction of the gd T cells used to manufacture IMA301. If it turns out that we cannot generate a suitable and GMP-compliant vector, the IMA301 manufacturing process may be endangered. If we fail to develop a process that can be used throughout the life cycle of the product candidate, commercialization of IMA301 may be delayed or may not occur.</w:t>
      </w:r>
    </w:p>
    <w:p>
      <w:pPr>
        <w:spacing w:after="0" w:line="17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Manufacturing of TCR Bispecifics (TCER), such as IMA401, IMA402 and potential future product candidates, is susceptible to product loss due to contamination, equipment failure or improper installation or operation of equipment, vendor or operator error, inconsistency in yields, issues with purity, variability in product characteristics and difficulties in scaling the production process. Even minor deviations from normal manufacturing processes could result in reduced production yields, inacceptable purity, product defects, loss of production batches and other supply disruptions. In such cases, our development program may experience major delays and we may have to produce a new batch of a given TCER. This will be costly and will delay our TCER development program. In particular, production of a new GMP batch may be time-consuming, as it relies on the availability of facilities with GMP capabilities at our CMO, and such facilities must be booked far in advance. We may also experience failure of production of the master cell bank that is used to produce our TCER molecules. For example, missing clonality of the cell line or non-sterility of the cell bank may require production of a new master cell bank which would be associated with additional costs and delays.</w:t>
      </w:r>
    </w:p>
    <w:p>
      <w:pPr>
        <w:spacing w:after="0" w:line="18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Any failure to follow current Good Manufacturing Practice (“cGMP”) or other regulatory requirements or any delay, interruption or other issues that arise in the manufacture, fill and 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drug product for our clinical trials or the termination of or hold on a clinical trial, or the delay or prevention of a filing or approval of marketing applications for our product candidates.</w:t>
      </w:r>
    </w:p>
    <w:p>
      <w:pPr>
        <w:spacing w:after="0" w:line="16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TCR Bispecific product candidates that have been produced and are stored for later use may degrade, become contaminated or suffer other quality defects, which may cause the affected product candidates to no longer be suitable for their intended use in clinical trials or other development activities. If the defective product candidates cannot be replaced in a timely fashion, we may incur significant delays in our development programs that could adversely affect the value of such product candidates.</w:t>
      </w:r>
    </w:p>
    <w:p>
      <w:pPr>
        <w:spacing w:after="0" w:line="18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September 2015, we entered into a lease agreement with the University of Texas Health (“UTH”) facility in Houston, Texas for clinical production of ACT products, including our product candidates IMA101, IMA201, IMA202, and IMA203 for clinical trials, and we also intend to manufacture IMA204, IMA301 and potentially also future cellular therapy product candidates in this facility once INDs or CTAs have been approved for these product candidates, especially for early stage clinical trials, by the respective regulatory bodies. We would expect that development and construction of our own manufacturing facility would provide us with enhanced control of material supply for both clinical trials and the commercial market, enable a more efficient implementation of process changes, and allow for better long-term margins. However, we have no experience as a company in developing a large manufacturing facility, and we may not be successful in finalizing the development of our own manufacturing facility or capability. We may establish multiple manufacturing facilities as we expands our commercial footprint to multiple geographies, which may lead to regulatory delays or prove costly. Even if we are successful, our manufacturing capabilities could be affected by cost-overruns due to idle capacity, unexpected delays, equipment failures, labor shortages, natural disasters, epidemics, power failures, and numerous other factors that could prevent us from realizing the intended benefits of our manufacturing strategy and have a material adverse effect on our business. The manufacture of cell therapy products requires significant expertise and capital investment, including the development of advanced manufacturing techniques and process controls.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Manufacturers of cell therapy products often encounter difficulties in production, particularly in scaling up initial production. These problems include difficulties with production costs and yields, quality control, including stability, patient to patient variability of the product candidate and quality assurance testing, shortages of qualified personnel, and compliance with strictly enforced federal, state, local and foreign regulations.</w:t>
      </w:r>
    </w:p>
    <w:p>
      <w:pPr>
        <w:spacing w:after="0" w:line="16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Any problems or delays we or our CMOs experience in preparing for commercial scale manufacturing of a cell therapy or biologic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or supply of our product candidates on a timely basis and at reasonable costs, we would likely be unable to meet demand for our products, and we would lose potential revenues.</w:t>
      </w:r>
    </w:p>
    <w:p>
      <w:pPr>
        <w:spacing w:after="0" w:line="19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addition, the manufacturing process and facilities for any products that we may develop is subject to FDA and/or foreign regulatory authority approval processes, and we our our CMOs will need to meet all applicable regulatory authority requirements, including cGMP and current Good Tissue Practices (“cGTP”) requirements, on an ongoing basis, including requirements pertaining to quality control, quality assurance, and the maintenance of records and documentation. The FDA and other regulatory authorities enforce these requirements through facility inspections. Manufacturing facilities must be approved by the FDA pursuant to inspections that will be conducted after we submit our marketing applications. Manufacturers are also subject to continuing FDA and other regulatory authority inspections following marketing approval. Further, we, in cooperation with our CMOs, must supply all necessary chemistry, manufacturing, and control documentation in support of a BLA on a timely basis.</w:t>
      </w:r>
    </w:p>
    <w:p>
      <w:pPr>
        <w:spacing w:after="0" w:line="17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or our CMOs’ manufacturing facilities, may be unable to comply with our specifications, cGMP and cGTP requirements, and with other FDA, state, and foreign regulatory requirements. Poor control of production processes can lead to the introduction of adventitious agents or other contaminants, or to inadvertent changes in the properties or stability of product candidates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82" w:lineRule="exact"/>
        <w:rPr>
          <w:sz w:val="20"/>
          <w:szCs w:val="20"/>
          <w:color w:val="auto"/>
        </w:rPr>
      </w:pPr>
    </w:p>
    <w:p>
      <w:pPr>
        <w:ind w:left="120" w:right="280"/>
        <w:spacing w:after="0" w:line="254" w:lineRule="auto"/>
        <w:rPr>
          <w:sz w:val="20"/>
          <w:szCs w:val="20"/>
          <w:color w:val="auto"/>
        </w:rPr>
      </w:pPr>
      <w:r>
        <w:rPr>
          <w:rFonts w:ascii="Arial" w:cs="Arial" w:eastAsia="Arial" w:hAnsi="Arial"/>
          <w:sz w:val="18"/>
          <w:szCs w:val="18"/>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suspension,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(“FCA”), corporate integrity agreements, consent decrees, or withdrawal of product approval.</w:t>
      </w:r>
    </w:p>
    <w:p>
      <w:pPr>
        <w:spacing w:after="0" w:line="19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Challenges we may face could delay completion of clinical trials, require bridging clinical trials or the repetition of one or more clinical trials, increase clinical trial costs, delay approval of our product candidates, impair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commercialization efforts, increase our cost of goods, cause a lack of patient participation in clinical trials and have an adverse effect on our business, financial condition, results of operations and growth prospects.</w:t>
      </w:r>
    </w:p>
    <w:p>
      <w:pPr>
        <w:spacing w:after="0" w:line="278"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We are engaged in preclinical development to identify, generate and characterize new product candidates for potential clinical development. Drug development is expensive, time-consuming and we are uncertain that such development programs will lead to new drug candidates that may continue to be tested in clinical trials and receive regulatory approval.</w:t>
      </w:r>
    </w:p>
    <w:p>
      <w:pPr>
        <w:spacing w:after="0" w:line="7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 significant portion of our research activities focus on the identification, generation and characterization of new product candidates. These activities are expensive, time-consuming and costly, and may never lead to a product candidate that shows appropriate safety and efficacy data in preclinical studies to enter clinical development. This means that success from research and development is uncertain, early programs may not reach clinical development and we may never produce revenues from our preclinical development activities. If the target criteria for a product candidate are not met, we may also decide to prolong preclinical development to improve the profile of a product candidate. In addition, if new treatment options are approved for the same indications as our preclinical product candidates, we may discontinue such early development programs.</w:t>
      </w:r>
    </w:p>
    <w:p>
      <w:pPr>
        <w:spacing w:after="0" w:line="16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targets addressed by IMA201, IMA202, IMA203, IMA301, IMA401, IMA402 belong to the class of cancer testis antigens that are well-established immunotherapy targets. Future targets for product development may not belong to well-known target proteins and generation of such product candidates may be challenging. For example, IMA204 is directed against a tumor stroma target. We are not aware of a comparable product candidate currently in preclinical or clinical development. We may find out during preclinical development that targets like the one addressed by IMA204 cannot be safely addressed by immunotherapy. We cannot guarantee that we will be able to show safety and efficacy for product candidates addressing new target classes like the one addressed by IMA204, and we may not be able to enter clinical testing with or to successfully market IMA204 or similar future product candidates.</w:t>
      </w:r>
    </w:p>
    <w:p>
      <w:pPr>
        <w:spacing w:after="0" w:line="30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are currently developing IMA201, IMA202, IMA203, IMA204, IMA101, IMA301, IMA401, and IMA402. We and our collaborators are also studying or intending to study ACT product candidates and TCR Bispecifics product candidates along with other products, such as checkpoint inhibitor immunotherapies.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most or any positive results are attributable to the already approved product. Moreover, following product approval, the FDA may require that products used in conjunction with each other be cross-labeled.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293"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62"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Despite diligent planning of our clinical trials and analysis of their feasibility regarding patient recruitment, we may experience difficulties, delays or inability in patient enrollment in our clinical trials for a variety of reasons, including:</w:t>
      </w:r>
    </w:p>
    <w:p>
      <w:pPr>
        <w:spacing w:after="0" w:line="8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severity and incidence of the disease under investigation;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general health condition of the patient population;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eligibility criteria and study procedures defined in the protocol;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 of the trial and the complexity for patients and clinical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screening procedures and the rate of patients failing screening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duration required for screening and manufacturing of the patients’ investigational products;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patients’ general health conditions do not allow the conduct of study/screening procedures (for example, tumor biopsy, or leukapheresis) or application of lymphodepletion regimen;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to manufacture patient products appropriately (for example, at a sufficient high dose, or with sufficiently active T cells);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insufficient manufacturing capacities;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establish appropriate drug substance or drug product logistics/transportation;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obtain approval (regulatory and ethical approval and approval according to local law) for the conduct of the clinical trial in a sufficient number of countries;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recruit appropriate clinical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provide appropriate screening assays;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referral practices of physicians within the same hospital as well as within other hospitals or private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clinical trials for similar therapies, other new therapeutics, new combination treatments, new medicinal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 or changes in standard of care;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implementation of surgical measures leading to a higher cure rate of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implementation of preventive measures leading to early detection of the disease under investigation and a higher cure rate;</w:t>
      </w:r>
    </w:p>
    <w:p>
      <w:pPr>
        <w:spacing w:after="0" w:line="142"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implementation of measures (for example, prophylactic vaccines) leading to a dramatic reduction in incidence of the disease under investigation;</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or become standard of care for the indications we are investigating;</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patients having received a single anti-tumor infusion in clinical trials start additional anti-tumor treatments despite of not having experienced progression of tumor disease;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320" w:top="459" w:right="5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of clinical sites to enroll patients as health care capacities are required to cope with natural disasters, epidemics or other health system emergencies, such as the COVID-19 pandemic.</w:t>
      </w:r>
    </w:p>
    <w:p>
      <w:pPr>
        <w:spacing w:after="0" w:line="17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Our clinical trials will compete with other clinical trials for product candidates that are in the same therapeutic areas as our product candidates, and this competition will reduce the number and types of patients available to us because some eligible patients may instead opt to enroll in a competitor’s trial.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Enrolling patients at the same sites as our competitors may compromise the quality and conclusiveness of our clinical data by introducing bias.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clinical trial. In addition, potential enrollees in our ACT trials with IMA101, IMA201, IMA202, IMA203 or IMA204 may opt to participate in other clinical trials because of the length of time between the time that their tumor is excised and the ACT is infused back into the patient. Amendments to our clinical protocols may affect enrollment in, or results of our trials, including amendments we have made to further define the patient populations to be studied.</w:t>
      </w:r>
    </w:p>
    <w:p>
      <w:pPr>
        <w:spacing w:after="0" w:line="168"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Not all patients suffering from a specific cancer that is in principle addressable by our product candidates are eligible for our trials and therapies. First, patients have to express a specific genetic marker called HLA-A*02. While this marker is found on approximately 40-50% of individuals in North America and Europe, it is less frequent in other populations, such as China or Japan. If human leukocyte antigen (“HLA”) screening for a patient shows that HLA-A*02 is not expressed, he or she cannot be treated with our current product candidates. Second, the prevalence of the targets addressed by IMA201, IMA202, IMA203 and IMA204 differs between different tumor entities. For a given patient, a biomarker assay must be performed in order to find out whether he or she expresses one of the targets and can be treated with one of our product candidates. We cannot be certain that the anticipated and assumed target prevalence are confirmed in the patient populations of our Phase 1 trials, and lower target prevalences may be experienced. Third, further eligibility criteria are in place to ensure that the patients can tolerate and potentially benefit from the treatment. Thus, only a fraction of patients screened for our clinical trials will finally receive cellular products. Patients may therefore be hesitant to consent to our trials, and overall many more patients will have to be screened to treat the targeted number of patients. This may hinder recruitment for our trials and may delay our development timelines. It is uncertain how many more patients we will be required to screen. If the required number of patient screenings is much higher than anticipated, our clinical trial costs may increase. We may combine two or more product candidates into multi-target trials to mitigate this risk. However, we cannot be certain whether this measure will be effective in enhancing recruitment. Multi-target trials may also be more difficult to implement and to be permitted to proceed by FDA or other competent authority outside the U.S.</w:t>
      </w:r>
    </w:p>
    <w:p>
      <w:pPr>
        <w:spacing w:after="0" w:line="17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may disagree with our regulatory plan, and we may fail to obtain regulatory approval of our product candidates.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If and when our ongoing Phase 1 clinical trials for IMA201, IMA202, IMA203, and IMA101 are completed and, assuming positive data, we expect to advance to potential registrational trials. The general approach for FDA approval of a new biologic or drug is for the sponsor to provide dispositive data from two well-controlled, Phase 3 clinical studies of the relevant biologic or drug in the relevant patient population. Phase 3 clinical studies typically involve hundreds of patients, have significant costs and take years to complete. We anticipate pursuing registrational trials, for example for IMA201, IMA202, and IMA203, as single agents or in combination that are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designed to evaluate the efficacy of the respective product candidate in a single open-label, non-comparative, two-stage, pivotal,</w:t>
      </w:r>
    </w:p>
    <w:p>
      <w:pPr>
        <w:spacing w:after="0" w:line="23"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multicenter, single-arm clinical trials in patients who have exhausted available treatment options. We plan to discuss our proposed trial designs with the FDA and other authorities prior to submission of INDs and CTAs. If the trial results are sufficiently compelling, we intend to discuss with the FDA submission of a BLA for the relevant product candidate. Further, we plan to have discussions with other authorities, such as the EMA in Europe or Health Canada in Canada regarding any planned marketing authorization submissions. It cannot be guaranteed that FDA and other regulatory authorities will agree to move to a registrational trial on the basis of data generated from a single completed Phase 1 trial. Authorities may ask for additional early stage or Phase 2 clinical data first. Even if the FDA agrees with the design and implementation of the clinical trials set forth in an IND, we cannot guarantee that the FDA will not change their requirements in the future. For example, the FDA may require that we conduct a comparative trial against an approved therapy including potentially an approved autologous T cell therapy, which would significantly delay our development timelines and require substantially more resources. In addition, the FDA may only allow us to evaluate patients that have already failed autologous therapy or very late stage patients, which are extremely difficult patients to treat and patients with advanced and aggressive cancer, and our product candidates may fail to improve outcomes for such patients.</w:t>
      </w:r>
    </w:p>
    <w:p>
      <w:pPr>
        <w:spacing w:after="0" w:line="186"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We may pursue an approval under FDA’s Accelerated Approval pathway, and we believe our Accelerated Approval strategy is warranted given the limited alternatives for patients with relapsed and/or refractory cancers. However, the FDA may ultimately require a Phase 3 clinical trial prior to approval, particularly since our product candidates represent a novel treatment. In addition, the standard of care may change with the approval of new products, which may result in the FDA requiring a demonstration of meaningful therapeutic benefit to patients over such existing treatments.</w:t>
      </w:r>
    </w:p>
    <w:p>
      <w:pPr>
        <w:spacing w:after="0" w:line="265"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As a condition of biologic licensing, the FDA is authorized to require that sponsors of approved BLAs implement various post-market requirements, including a REMS, and/or one or more Phase 4 studies. For example, when the FDA approved Novartis’ Kymriah in August 2017, a CAR-T cell therapy for the treatment of patients up to 25 years of age with B-cell precursor acute lymphoblastic leukemia (“</w:t>
      </w:r>
      <w:r>
        <w:rPr>
          <w:rFonts w:ascii="Arial" w:cs="Arial" w:eastAsia="Arial" w:hAnsi="Arial"/>
          <w:sz w:val="16"/>
          <w:szCs w:val="16"/>
          <w:i w:val="1"/>
          <w:iCs w:val="1"/>
          <w:color w:val="auto"/>
        </w:rPr>
        <w:t>ALL</w:t>
      </w:r>
      <w:r>
        <w:rPr>
          <w:rFonts w:ascii="Arial" w:cs="Arial" w:eastAsia="Arial" w:hAnsi="Arial"/>
          <w:sz w:val="16"/>
          <w:szCs w:val="16"/>
          <w:color w:val="auto"/>
        </w:rPr>
        <w:t>”)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27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order to market and sell our products outside the United States, we or our third-party collaborators are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United States on a timely basis, if at all.</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9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may not be able to file applications to commence additional clinical trials on the timelines we expect, and even if we are able to, the FDA or applicable competent authorities may not permit us to proceed.</w:t>
      </w:r>
    </w:p>
    <w:p>
      <w:pPr>
        <w:spacing w:after="0" w:line="62"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We plan to submit INDs for additional product candidates to the FDA in the future. We also plan to submit applications to start clinical trials of additional product candidates outside the U.S. to the national competent authorities (for example, CTA to Paul-Ehrlich Institute (“PEI”) in Germany).</w:t>
      </w:r>
    </w:p>
    <w:p>
      <w:pPr>
        <w:spacing w:after="0" w:line="12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filing of INDs to the FDA and the filing of applications outside the U.S. is dependent on additional data that have to be generated to support such regulatory filings. Hence, these filings may be delayed if the tests to generate those data show unexpected results or if technical issues arise in generating those data in the first place.</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cannot be sure that submission of an IND, IND amendment or CTA will result in the FDA or any other competent authority outside the U.S. allowing testing and clinical trials to begin, or that, once begun, issues will not arise that suspend or terminate such clinical trials. The manufacturing and preclinical safety and efficacy testing requirements of both ACT and TCR Bispecifics remain emerging and evolving fields. Accordingly, we expect chemistry, manufacturing and control related topics, including product specification, as well as preclinical safety testing, will be a focus of IND reviews, which may delay the allowance of INDs by the FDA or CTA approval by other competent authorities outside the U.S.</w:t>
      </w:r>
    </w:p>
    <w:p>
      <w:pPr>
        <w:spacing w:after="0" w:line="26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Certain of our current clinical trials are being conducted outside the United States, and the FDA may not accept data from trials conducted in foreign locations.</w:t>
      </w:r>
    </w:p>
    <w:p>
      <w:pPr>
        <w:spacing w:after="0" w:line="62"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Certain current clinical trials of our drug candidates are being conducted or planned to be conducted partially outside the United States. We may also conduct future clinical trials for our drug candidates partially or fully outside the United States. Although the FDA may accept data from clinical trials conducted outside the United States, acceptance of this data is subject to certain conditions imposed by the FDA. For example, the clinical trial must be well designed and conducted and performed by qualified investigators in accordance with ethical principles and good clinical practice (“GCP”) requirements. Further, the data must be applicable to the U.S. population and U.S.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determination that the trials also complied with all applicable U.S. laws and regulations.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negotiate the terms of clinical trial agreements at arms’ length in countries where a template agreement for such trials is required by law;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cannot assure you that the FDA will accept data from trials conducted outside of the United States. If the FDA does not accept the data from such clinical trials, it would likely result in the need for additional trials, which would be costly and time-consuming and delay or permanently halt our development of our drug candidates.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 may take longer and cost more to complete our clinical trials than we project, or we may not be able to complete them at all.</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difficulties in identifying and enrolling patients who meet trial eligibility criteria, and unanticipated adverse events may cause significant delays. We may even not be able to complete clinical trials involving any of our products at all or as projected. Delays in clinical trials are associated with significant costs to maintain the necessary services, infrastructure and to pay running obligations to internal staff, clinical sites and service providers.</w:t>
      </w:r>
    </w:p>
    <w:p>
      <w:pPr>
        <w:spacing w:after="0" w:line="16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competitor’s trial. Accordingly, we cannot guarantee that our trials will progress as planned or as scheduled. Delays in patient enrollment may result in increased costs or may affect the timing or outcome of our ongoing and planned clinical trials, which could prevent completion of these trials and adversely affect our ability to advance the development of our product candidates.</w:t>
      </w:r>
    </w:p>
    <w:p>
      <w:pPr>
        <w:spacing w:after="0" w:line="19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expect to rely on outside vendors (for example, independent contractors and contract research organizations)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currently anticipate that we will have to rely on CMOs to manufacture our adoptive cell therapy products for clinical trials. If they fail to commence or complete, or experiences delays in, manufacturing our adoptive cell therapy products, our planned clinical trials will be delayed, which will adversely affect our stock price and our ability to conduct our business as currently planned.</w:t>
      </w:r>
    </w:p>
    <w:p>
      <w:pPr>
        <w:spacing w:after="0" w:line="292"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62"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Clinical trials are expensive and difficult to design, implement and conduct, in part because they are subject to rigorous regulatory requirements. Because our ACT product candidates are based on new cell therapy technologies and manufactured on a patient-by-patient basis, we expect that such candidates will require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extensive research and development and have substantial manufacturing costs per dose. Our TCR Bispecific product candidates also require extensive research and development, as the applicable technology is new and experience with developing such biologics is rare in the field. Moreover, the development of a companion diagnostic will also require extensive research and development, and such companion diagnostic must be suitable to support both enrollment into larger clinical trials and routine hospital procedures after marketing approval. Any failure or delay in developing a suitable companion diagnostic will delay or make it impossible to conduct larger clinical trials for ACT product candidates and/or TCR Bispecific product candidates. In addition, costs to treat patients with recurrent and/or refractory cancer and to treat potential side effects that may result from our product candidates, non-investigational medicinal products, rescue or prophylactic medication applied in our clinical trials can be significant. Some clinical trial sites do not bill or obtain coverage from Medicare, Medicaid, health insurance or other third-party payors for some or all of these costs for patients enrolled in our clinical trials, and we can be required by those trial sites to pay such costs. In countries outside the U.S., it is expected that all costs related to the clinical trial and to the management of study patients (for example, management of adverse reactions or hospitalization) are paid by the sponsor of the clinical trial. As trial designs for development of our product candidates are complex, our clinical trial costs are likely to be significantly higher per patient than those of more conventional therapeutic technologies or drug products. We aim to combine two or more of our ACT product candidates within one clinical trial or within a multi-TCR-T concept in order to achieve durable clinical efficacy results and to increase the patient population. The set up and conduct of such multi-TCR-T clinical trials is expensive and may bear unknown risks, such as regulatory, preclinical, safety and manufacturing risks. In addition, our proposed personalized product candidates involve several complex and costly manufacturing and processing steps, the costs of which will be borne by us. We are also responsible for the manufacturing costs of products for patients that do not receive the product due to any reason (for example, rapid degradation of general health status, not meeting inclusion/exclusion criteria for infusion). Depending on the number of patients that we ultimately screen and enroll in our trials, the number of trials that we may need to conduct, and the companion diagnostic we need to develop, our overall clinical trial costs may be higher than for more conventional treatments.</w:t>
      </w:r>
    </w:p>
    <w:p>
      <w:pPr>
        <w:spacing w:after="0" w:line="27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6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safe and efficacious for use in each target indication or use in a biomarker driven population.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improvement of survival.</w:t>
      </w:r>
    </w:p>
    <w:p>
      <w:pPr>
        <w:spacing w:after="0" w:line="196"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Even if we are able to show anti-tumor efficacy for one or several of our product candidates, the risk/benefit profile may be negatively impacted by an unfavorable safety profile, which could force us to discontinue a development program. This may happen if the risk for patients is deemed unacceptable based on the number or severity of adverse events, or the number of patient deaths related to the clinical trial treatment.</w:t>
      </w:r>
    </w:p>
    <w:p>
      <w:pPr>
        <w:spacing w:after="0" w:line="165"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Regulatory authorities may ultimately disagree with our chosen endpoints or may find that our studies or study results do not support product approval.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authorities for support of a marketing application, we may be required to expend significant resources, which may not be available to us, to conduct additional trials in support of potential approval of our product candidates.</w:t>
      </w:r>
    </w:p>
    <w:p>
      <w:pPr>
        <w:spacing w:after="0" w:line="27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The results of preclinical studies and early clinical trials of our product candidates with small patient populations may not be predictive of the results of later-stage clinical trials.</w:t>
      </w:r>
    </w:p>
    <w:p>
      <w:pPr>
        <w:spacing w:after="0" w:line="6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opened enrollment into four Phase 1 clinical trials investigating cellular product candidates. The primary objectives of these clinical trials are to establish safety and tolerability and, for our ACTengine clinical trials, to determine the recommended Phase 2 dose. Preliminary, single cohort, or top-line results from those and future early stage studies may not be representative of the final study results.</w:t>
      </w:r>
    </w:p>
    <w:p>
      <w:pPr>
        <w:spacing w:after="0" w:line="184"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We have reported preliminary results for clinical trials of our product candidates, including ACT for the treatment of recurrent and/or refractory solid tumors. We may also report preliminary results from future clinical trials. These preliminary results are subject to substantial risk of change due to small sample sizes and may change as patients are evaluated or as additional patients are enrolled in these or newly set up clinical trials. These outcomes may be unfavorable, deviate from our earlier reports, and/or delay or prevent regulatory approval or commercialization of our product candidates, including candidates for which we have reported preliminary favorable safety and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66"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Moreover, initial trial (for example, Phase 1 or Phase 2a) results may not be representative of later-stage trial results (for example, Phase 2b or Phase 3), even if conducted in a very similar trial population.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Additional non-clinical studies may also reveal unfavorable product candidate characteristics, including safety concerns.</w:t>
      </w:r>
    </w:p>
    <w:p>
      <w:pPr>
        <w:spacing w:after="0" w:line="192"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For example, our studies of cellular therapies in patients without any indicated standard-of-care treatment utilize an “open-label, single arm, dose-escalation/de-escalation” trial design. An open-label, single arm, dose-escalation/de-escalation trial is one where both the patient and investigator know what investigational treatment (monotherapy or combination) at which dose the patient is receiving. This trial design has the potential to create selection bias by encouraging the investigators to enroll a more favorable patient population (for example, indications better suitable for immunotherapies, fitter patients, less prior therapies) compared to a more broader patient population. In our current Phase 1 clinical trials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regimens. As the trials continue, the investigators may prioritize patients with more progressed forms of cancer and/or worse general health condition than the initial patient population, based on the safety/success or perceived safety/success of that initial population. Patients with more progressed forms of cancer or worse general health conditions may experience more and/or worse adverse events or be less responsive to treatment, and accordingly, interim or final safety and efficacy data may show an increase in frequency or severity of adverse events and/or a decline in patient response rate or change in other assessment metrics. As the trials continue or in subsequent trials, investigators may shift their approach to the patient population, which may ultimately experience more and/or worse adverse events and/or result in a decline in both interim and final efficacy data from the preliminary data, or conversely, a decrease in frequency and/or severity of adverse events or an increase in final efficacy data following a decline in the interim efficacy data, as patients with more progressed forms of cancer or worse general health condition are cycled out of the trials and replaced by patients with less advanced forms of cancer or with better general health conditions. This opportunity for investigator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selection bias in our trials as a result of open-label design, which is standard in dose-escalation/de-escalation trials, may not be adequately handled and may cause a decline in or distortion of clinical trial data from our preliminary results. Any future trial which utilizes an open-label design is similarly susceptible to such bias.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9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expect there may be greater variability in results for products processed and administered on a patient-by-patient basis, as anticipated for our cellular therapy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64"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In the case that we decide to develop our product candidates for use with other oncology products, or combine more than one ACT product candidate, the design, implementation, and interpretation of the clinical trials necessary for marketing approval will be more complex than if we would have developed our product candidates alone.</w:t>
      </w:r>
    </w:p>
    <w:p>
      <w:pPr>
        <w:spacing w:after="0" w:line="30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deviations in our proposed new products from existing products may require us to perform additional testing, which will increase the cost, and extend the time for obtaining approval.</w:t>
      </w:r>
    </w:p>
    <w:p>
      <w:pPr>
        <w:spacing w:after="0" w:line="6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ACT based therapy is based on first-generation adoptive cell therapy technology suitable for delivering for small early phase clinical trials. These current methods of treatment are very labor intensive and expensive, which has limited their widespread application. We have developed new processes that we anticipate will enable more efficient manufacturing of ACT. We may have difficulty demonstrating that the products produced from our new processes are comparable to the existing products. The FDA and regulatory authorities in other countries may require additional clinical testing before permitting a larger clinical trial with the new processes, and the product may not demonstrate the desired activity in new clinical trials. Cellular products are not considered as well characterized products because there are hundreds of markers present on these cells, and even small changes in manufacturing processes could alter the cell types. It is unclear at this time which of those markers are critical for success of these cells to combat cancer, so our ability to predict the outcomes with newer manufacturing processes is limited. The changes that we have made to the historical manufacturing process may require additional testing, which may increase costs and timelines associated with these developments.</w:t>
      </w:r>
    </w:p>
    <w:p>
      <w:pPr>
        <w:spacing w:after="0" w:line="166" w:lineRule="exact"/>
        <w:rPr>
          <w:sz w:val="20"/>
          <w:szCs w:val="20"/>
          <w:color w:val="auto"/>
        </w:rPr>
      </w:pPr>
    </w:p>
    <w:p>
      <w:pPr>
        <w:jc w:val="both"/>
        <w:ind w:left="120" w:right="40"/>
        <w:spacing w:after="0" w:line="257" w:lineRule="auto"/>
        <w:rPr>
          <w:sz w:val="20"/>
          <w:szCs w:val="20"/>
          <w:color w:val="auto"/>
        </w:rPr>
      </w:pPr>
      <w:r>
        <w:rPr>
          <w:rFonts w:ascii="Arial" w:cs="Arial" w:eastAsia="Arial" w:hAnsi="Arial"/>
          <w:sz w:val="18"/>
          <w:szCs w:val="18"/>
          <w:color w:val="auto"/>
        </w:rPr>
        <w:t>Our TCR Bispecific product candidates contain features that have not been previously tested in this composition in clinical trials or marketed products. Regulatory authorities (for example, the FDA or EMA) may require additional non-clinical studies before permitting us to enter clinical trials with our product candidates. Regulatory authorities may also ask for additional early-stage trials or production of additional batches of TCR Bispecific products before permitting larger clinical trials or registration trials. To comply with those requests would increase costs and timelines for the development of our TCR Bispecifics.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6"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Any regulatory approvals that we receive for our product candidates will require surveillance to monitor the safety and efficacy of such product candidate(s).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we, our contractors, and our collaborators are and will remain responsible for FDA compliance, including requirements related to product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design, testing, clinical and preclinical trials approval, manufacturing processes and quality, labeling, packaging, distribution, adverse event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deviation reporting, storage, advertising, marketing, promotion, sale, import, export, submissions of safety and other post-marketing information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reports such as deviation reports, registration, product listing, annual user fees, and recordkeeping for our product candidates. We and any of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collaborators, including our contract manufacturers, could be subject to periodic unannounced inspections by the FDA to monitor and ensure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compliance with regulatory requirements. Application holders must further notify the FDA, and depending on the nature of the change, obtain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FDA pre-approval for product and manufacturing changes. The cost of compliance with post-approval regulations may have a negative effect on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results and financial condition.</w:t>
      </w:r>
    </w:p>
    <w:p>
      <w:pPr>
        <w:spacing w:after="0" w:line="21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89" w:lineRule="exact"/>
        <w:rPr>
          <w:sz w:val="20"/>
          <w:szCs w:val="20"/>
          <w:color w:val="auto"/>
        </w:rPr>
      </w:pPr>
    </w:p>
    <w:p>
      <w:pPr>
        <w:ind w:left="1080" w:right="3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75" w:lineRule="exact"/>
        <w:rPr>
          <w:rFonts w:ascii="Arial" w:cs="Arial" w:eastAsia="Arial" w:hAnsi="Arial"/>
          <w:sz w:val="18"/>
          <w:szCs w:val="18"/>
          <w:color w:val="auto"/>
        </w:rPr>
      </w:pPr>
    </w:p>
    <w:p>
      <w:pPr>
        <w:ind w:left="1080" w:right="11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 candidate;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70"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may not achieve or sustain profitability.</w:t>
      </w:r>
    </w:p>
    <w:p>
      <w:pPr>
        <w:spacing w:after="0" w:line="284"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b w:val="1"/>
          <w:bCs w:val="1"/>
          <w:i w:val="1"/>
          <w:iCs w:val="1"/>
          <w:color w:val="auto"/>
        </w:rPr>
        <w:t>The regulatory landscape that will govern our product candidates is still evolving; regulations relating to more established gene therapy and cell therapy products and TCR Bispecific products are still developing, and changes in regulatory requirements could result in delays or discontinuation of development of our product candidates or unexpected costs in obtaining regulatory approval.</w:t>
      </w:r>
    </w:p>
    <w:p>
      <w:pPr>
        <w:spacing w:after="0" w:line="5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Because we are developing novel cell immunotherapy product candidates that are unique biological entities, the regulatory requirements to which we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become more stringent and comprehensive frequently and may continue to extend in the future. Moreover, there is substantial, and sometimes uncoordinated, overlap in those responsible for regulation of existing gene therapy products and cell therapy products. For example, in the United States, the FDA has established the Office of Tissues and Advanced Therapies (“OTAT”), formerly known as the Office of Cellular, Tissue and Gene Therapies (“OCTGT”), within its Center for Biologics Evaluation and Research (“CBER”) to consolidate the review of gene therapy and related products, and the Cellular, Tissue and Gene Therapies Advisory Committee to advise CBER on its review. Gene therapy clinical trials in the U.S. are also subject to review and oversight by an institutional biosafety committee (“IBC”), a local institutional committee that reviews and oversees basic and clinical research conducted at the institution participating in the clinical trial. Similar regulatory bodies exist in Europe and other jurisdictions. Although the FDA or specific regulatory authorities in other countries (for example, EMA or PEI) decides whether individual gene therapy protocols may proceed, review process and determinations of other reviewing bodies can impede or delay the initiation of a clinical study, even if for example, the FDA has reviewed the study and approved its initiation. Conversely, the FDA can place an IND application on clinical hold even if such other entities have provided a favorable review. Furthermore, each clinical trial must be reviewed and approved by an independent IRB at or servicing each institution at which a clinical trial will be conducted; equivalent processes are in place in other regions of the world. In addition, adverse developments in clinical trials of gene therapy products conducted by others may cause the FDA or other regulatory bodies to change the requirements for approval of any of our product candidates.</w:t>
      </w:r>
    </w:p>
    <w:p>
      <w:pPr>
        <w:spacing w:after="0" w:line="19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While there is already a T cell engaging bispecific molecule approved and regulatory guidelines have been issued for this class of drugs, bispecific therapeutics are still new in the field and regulators have even less experience with TCR Bispecifics. Thus, guidance for development and regulatory approval of such drugs may change.</w:t>
      </w:r>
    </w:p>
    <w:p>
      <w:pPr>
        <w:spacing w:after="0" w:line="184"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Complex regulatory environments exist in the different jurisdictions in which we might consider seeking regulatory approvals for our product candidates, further complicating the regulatory landscape. For example,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40"/>
        <w:spacing w:after="0" w:line="311" w:lineRule="auto"/>
        <w:rPr>
          <w:sz w:val="20"/>
          <w:szCs w:val="20"/>
          <w:color w:val="auto"/>
        </w:rPr>
      </w:pPr>
      <w:r>
        <w:rPr>
          <w:rFonts w:ascii="Arial" w:cs="Arial" w:eastAsia="Arial" w:hAnsi="Arial"/>
          <w:sz w:val="16"/>
          <w:szCs w:val="16"/>
          <w:color w:val="auto"/>
        </w:rPr>
        <w:t>the EU a special committee called the Committee for Advanced Therapies was established within the EMA in accordance with Regulation (EC) No. 1394/2007 on advanced therapy medicinal products (“ATMPs”) to assess the quality, safety and efficacy of ATMPs, and to follow scientific developments in the field. ATMPs include gene therapy products as well as somatic cell therapy products and tissue engineered products.</w:t>
      </w:r>
    </w:p>
    <w:p>
      <w:pPr>
        <w:spacing w:after="0" w:line="14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Because the regulatory landscape for our cell immunotherapy product candidates is new, it may face even more cumbersome and complex regulations than those emerging for other gene therapy products and cell therapy products. Furthermore, even if our product candidates obtain required regulatory approvals, such approvals may later be revoked, suspended or otherwise withdrawn as a result of changes in regulations or the interpretation of regulations by applicable regulatory agencies.</w:t>
      </w:r>
    </w:p>
    <w:p>
      <w:pPr>
        <w:spacing w:after="0" w:line="19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Delay or failure to obtain, or unexpected costs in obtaining, the regulatory approval necessary to bring a potential product to market could decrease our ability to generate sufficient product revenue to maintain our business.</w:t>
      </w:r>
    </w:p>
    <w:p>
      <w:pPr>
        <w:spacing w:after="0" w:line="27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diseases, there are many uncertainties regarding the development, the market acceptance, third-party reimbursement coverage and the commercial potential of our product candidates.</w:t>
      </w:r>
    </w:p>
    <w:p>
      <w:pPr>
        <w:spacing w:after="0" w:line="76"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number of required clinical trials, the length of the trial period, the number of patients the FDA and regulatory authorities in other jurisdictions will require to be enrolled in the trials in order to establish the safety and efficacy of immunotherapy products, or that the data generated in these trials will be acceptable to the FDA to support marketing approval. The FDA and comparable foreign regulatory may take longer than usual to come to a decision on any BLA or similar marketing application that we submit and may ultimately determine that there is not enough data, information, or experience with our product candidates to support an approval decision. Regulatory authorities may also require that we conduct additional post-marketing studies or implement risk management programs. For example, the FDA may require a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6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also find that the manufacture of our product candidates is more difficult or more expensive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88"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may also find that the development of a companion diagnostic for our product candidates is more difficult or more expensive than anticipated, resulting in an inability to provide the required diagnostic testing for our clinical trials, or if approved, for the market. Moreover, because of the complexity and novelty of our companion diagnostic biomarker, there are only a limited number of providers who have the capability of supporting the development of a companion diagnostic. Should any of our CRO partners fail to meet our development goals, it may take us significant time to find a replacement, if we are able to find a replacement at all.</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There is no assurance that the approaches offered by our products will gain broad acceptance among doctors or patients or that governmental agencies or third-party medical insurers will be willing to provide reimbursement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72"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Our ACT product candidate may be provided to patients in combination with other agents provided by third parties. The cost of such combination therapy may increase the overall cost of ACT therapy and may result in issues regarding the allocation of reimbursements between our therapy and the other agents, all of which may affect our ability to obtain reimbursement coverage for the combination therapy from third party medical insurers.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may materially and adversely affect our business and financial results.</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Our business could be adversely affected by health epidemics in regions where we have clinical trial sites or other business operations; epidemics could also cause significant disruptions in the operations of third-party manufacturers and CROs upon whom we rely. In December 2019, a novel strain of coronavirus, which causes the disease known as COVID-19, was reported to have surfaced in Wuhan, China. Since then, COVID-19 has spread globally. In March 2020, the World Health Organization declared the COVID-19 outbreak a pandemic and governments imposed restrictions on travel between the United States, Europe and certain other countries. Further, the President of the United States declared the COVID-19 pandemic a national emergency, invoking powers under the Stafford Act, the legislation that directs federal emergency disaster response. In Germany and many other European countries, governmental orders became effective in March 2020 to reduce virus transmission by social distancing. Those measures impact social and working life and travel.</w:t>
      </w:r>
    </w:p>
    <w:p>
      <w:pPr>
        <w:spacing w:after="0" w:line="178"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effects of these and other governmental orders, as well as shelter-in-place or work-from-home policies may negatively impact productivity, disrupt our and our partners’ business and delay our clinical programs and timelines (including our ACTengine genetically modified autologous T cell products),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financial condition and results of operations, including our ability to obtain financing.</w:t>
      </w:r>
    </w:p>
    <w:p>
      <w:pPr>
        <w:spacing w:after="0" w:line="188" w:lineRule="exact"/>
        <w:rPr>
          <w:sz w:val="20"/>
          <w:szCs w:val="20"/>
          <w:color w:val="auto"/>
        </w:rPr>
      </w:pPr>
    </w:p>
    <w:p>
      <w:pPr>
        <w:ind w:left="120" w:right="420"/>
        <w:spacing w:after="0" w:line="257" w:lineRule="auto"/>
        <w:rPr>
          <w:sz w:val="20"/>
          <w:szCs w:val="20"/>
          <w:color w:val="auto"/>
        </w:rPr>
      </w:pPr>
      <w:r>
        <w:rPr>
          <w:rFonts w:ascii="Arial" w:cs="Arial" w:eastAsia="Arial" w:hAnsi="Arial"/>
          <w:sz w:val="18"/>
          <w:szCs w:val="18"/>
          <w:color w:val="auto"/>
        </w:rPr>
        <w:t>Quarantines, shelter-in-place and similar government orders, or the perception that further orders, shutdowns or other restrictions on the conduct of business operations could occur related to COVID-19 and could impact personnel at our company, at suppliers, our collaborators or at third-party manufacturing facilities in the United States and other countries, or the availability or cost of materials, which would disrupt our supply chain. Our operations, including research and manufacturing, could also be disrupted due to staff absences as a result of self-isolation procedures or extended illness at our company or at suppliers or collaborators.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our clinical trials may be affected by the COVID-19 pandemic, including:</w:t>
      </w:r>
    </w:p>
    <w:p>
      <w:pPr>
        <w:spacing w:after="0" w:line="131" w:lineRule="exact"/>
        <w:rPr>
          <w:sz w:val="20"/>
          <w:szCs w:val="20"/>
          <w:color w:val="auto"/>
        </w:rPr>
      </w:pPr>
    </w:p>
    <w:p>
      <w:pPr>
        <w:ind w:left="1080" w:right="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enrolling patients in clinical trials, including that patients may not be able to comply with clinical trial protocols if quarantines impede patient movement or interrupt healthcare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 who, as healthcare providers, may have heightened exposure to COVID-19;</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state or provincial governments, employers and others; and</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the risks listed above, we may also experience the following adverse impacts for our clinical trials:</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patient specimens used in our clinical trials;</w:t>
      </w:r>
    </w:p>
    <w:p>
      <w:pPr>
        <w:spacing w:after="0" w:line="75" w:lineRule="exact"/>
        <w:rPr>
          <w:rFonts w:ascii="Arial" w:cs="Arial" w:eastAsia="Arial" w:hAnsi="Arial"/>
          <w:sz w:val="18"/>
          <w:szCs w:val="18"/>
          <w:color w:val="auto"/>
        </w:rPr>
      </w:pPr>
    </w:p>
    <w:p>
      <w:pPr>
        <w:ind w:left="1080" w:right="360" w:hanging="424"/>
        <w:spacing w:after="0" w:line="34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local regulations as part of a response to the COVID-19 coronavirus outbreak, which may require us to change the ways in which our clinical trials are conducted, which may result in unexpected costs, or to discontinue the clinical trials altogether;</w:t>
      </w:r>
    </w:p>
    <w:p>
      <w:pPr>
        <w:spacing w:after="0" w:line="29"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refusal of the FDA or other regulatory agencies to accept data from clinical trials from strongly affected geographies.</w:t>
      </w:r>
    </w:p>
    <w:p>
      <w:pPr>
        <w:spacing w:after="0" w:line="225"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global outbreak of COVID-19 continues to rapidly evolve. The extent to which COVID-19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Germany and other countries, business closures or business disruptions and the effectiveness of actions taken in the United States, Germany and other countries to contain and treat the disease.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Independent clinical investigators and CROs that we engage to conduct our clinical trials may not devote sufficient time or attention to our clinical trials or be able to repeat their past success.</w:t>
      </w:r>
    </w:p>
    <w:p>
      <w:pPr>
        <w:spacing w:after="0" w:line="62"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We expect to continue to depend on independent clinical investigators and CROs to conduct our clinical trials. CROs may also assist us in the collection and analysis of data. Identifying, qualifying and managing performance of third-party service providers can be difficult, time-consuming and cause delays in our development programs. These investigators and CROs will not be our employees and we will not be able to control, other than by</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may require us to disclose some of our proprietary information to these parties, which could increase the risk that this information will be misappropriated. Further, regulatory agencies require that we comply with GCP requirements for conducting, recording and reporting clinical trials to assure that data and reported results are credible and accurate and that the rights, integrity and confidentiality of trial subjects are protected. Failure of clinical investigators or CROs to meet their obligations to us or comply with GCP requirements could adversely affect, for example, the costs and timelines of the clinical development of our product candidates and harm our business. Not fulfilling GCP requirements by investigators or CROs could even lead to denial of a BLA or similar marketing application to comparable foreign authorities.</w:t>
      </w:r>
    </w:p>
    <w:p>
      <w:pPr>
        <w:spacing w:after="0" w:line="28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Failure of third-party contractors to successfully develop and commercialize companion diagnostics for use with our product candidates could harm our ability to commercialize our product candidates.</w:t>
      </w:r>
    </w:p>
    <w:p>
      <w:pPr>
        <w:spacing w:after="0" w:line="62"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We plan to develop companion diagnostics for our product candidates where appropriate. Such developments are expensive and time-consuming. The FDA and similar regulatory authorities outside the United States may request or require the development and regulatory approval of a companion diagnostic as a condition to approving one or more of our product candidates, including, for example, IMA201, IMA202, IMA203, IMA204, and IMA401. We do not have experience or capabilities in developing, seeking regulatory approval for or commercializing diagnostics and plan to rely in large part on third parties to perform these functions.</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will likely outsource the development, production and commercialization of companion diagnostics to third parties. By outsourcing these companion diagnostics to third parties, we become dependent on the efforts of our third-party contractors to successfully develop and commercialize these companion diagnostics. Our contractors:</w:t>
      </w:r>
    </w:p>
    <w:p>
      <w:pPr>
        <w:spacing w:after="0" w:line="8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perform their obligations as expected;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encounter production difficulties that could constrain the supply of the companion diagnostic;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encounter difficulties in obtaining regulatory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have difficulties gaining acceptance of the use of the companion diagnostic in the clinical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such product;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rely on third parties to obtain reagents and raw materials.</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manufacture of our product candidates by us or any of our CMOs requires access to a number of reagents and other critical raw materials from third-party suppliers. Such third parties may refuse to supply such reagents or other raw materials or alternatively refuse to supply on commercially reasonable terms. There may also be capacity issues at such third-party suppliers that impact our ability to increase production of our product candidates.</w:t>
      </w:r>
    </w:p>
    <w:p>
      <w:pPr>
        <w:spacing w:after="0" w:line="14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Some of the materials used in the manufacture and processing of our product candidates may only be supplied by one or a few vendors, which means that, should those vendors be unable to supply, for whatever reason, our ability to manufacture product candidates and progress product candidates through clinical trials could be severely impacted and result in additional delays. Such failure to supply could also impact other supply relationships with other third parties and potentially result in additional payments being made or required in relation to such delays. In addition, where any raw material or precursor material (including, for example, lentiviral vector, cell culture medium, chromatographic column material or other essential raw material) is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currently supplied by one or a few vendors, replacing such raw material or precursor or finding alternative vendors may not be possible or may significantly impact on the timescales for manufacture and supply of our product candidates. Even where alternative materials or precursors or alternative vendors are identified, such alternative materials, precursors or vendors and their materials will need to be properly assessed and qualified and additional regulatory approvals may also need to be obtained all of which could result in significant delays to the supply of our product candidates or an inability to supply product candidates within anticipated timescales, if at all.</w:t>
      </w:r>
    </w:p>
    <w:p>
      <w:pPr>
        <w:spacing w:after="0" w:line="296"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b w:val="1"/>
          <w:bCs w:val="1"/>
          <w:i w:val="1"/>
          <w:iCs w:val="1"/>
          <w:color w:val="auto"/>
        </w:rPr>
        <w:t>We have contracted and expect to contract additional third parties for the manufacture of some of our product candidates for clinical testing in the future, and we expect to do so for commercialization. Third-party contractors are also important to supply us or our CMOs with important materials required for our product candidates or to develop and perform services essential for the manufacturing process. This reliance on third parties increases the risk that we will not have sufficient quantities of our product candidates or products or such quantities at an acceptable cost and when needed, which could delay, prevent or impair our development or commercialization efforts.</w:t>
      </w:r>
    </w:p>
    <w:p>
      <w:pPr>
        <w:spacing w:after="0" w:line="53"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Currently, our ACT product candidates are manufactured by our personnel at the UTH facility. We expect to continue to manufacture product candidates for early phase trials using our personnel at the UTH facility; but we are currently negotiating contracts with larger CMOs with experience in cell therapy development and manufacturing to manufacture our products for late stage clinical trials, including any pivotal trials. The process will involve the development of a given manufacturing process in house using our personnel followed by technology transfer of each manufacturing process to the CMO. Our manufacturing strategy for bispecific T cell engagers includes CMOs for cell line development, process development, formulation development, cGMP manufacturing, analytics, release testing, fill and finish, packaging and storage.</w:t>
      </w:r>
    </w:p>
    <w:p>
      <w:pPr>
        <w:spacing w:after="0" w:line="17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may not succeed in maintaining our relationships with current CMOs or establishing relationships with additional or alternative CMOs. Our product candidates may compete with other products and product candidates for access to manufacturing facilities. There are a limited number of manufacturers that operate under cGMP and, for cellular products, also under cGTP regulations and that are both capable of manufacturing for us and willing to do so. In addition, there are limited CMOs specialized in the manufacturing of cellular therapy products. If our current and/or future CMOs for any of our product candidates or products that obtain approval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and obtaining applicable regulatory approvals could be significant.</w:t>
      </w:r>
    </w:p>
    <w:p>
      <w:pPr>
        <w:spacing w:after="0" w:line="16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negotiate manufacturing agreements with third parties under commercially reasonable terms;</w:t>
      </w:r>
    </w:p>
    <w:p>
      <w:pPr>
        <w:spacing w:after="0" w:line="130" w:lineRule="exact"/>
        <w:rPr>
          <w:rFonts w:ascii="Arial" w:cs="Arial" w:eastAsia="Arial" w:hAnsi="Arial"/>
          <w:sz w:val="18"/>
          <w:szCs w:val="18"/>
          <w:color w:val="auto"/>
        </w:rPr>
      </w:pPr>
    </w:p>
    <w:p>
      <w:pPr>
        <w:ind w:left="1080" w:right="60" w:hanging="424"/>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reduced day-to-day control over the manufacturing process for our product candidates as a result of using third-party manufacturers for all aspects of manufacturing activities, which can result in significant delays of drug supply to any clinical trial or commercial product;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new manufacturer would have to be educated in processes for the production of our product candidates;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manufacturing of our product candidates and other logistical support requirements appropriately;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79"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development of processes or the supply with materials important for the manufacturing of our product candidates may be delayed. This may lead to a situation that manufacturing of our product candidates may not be possible at a preplanned and booked manufacturing slot at one of our CMOs. In this case, we may be held liable for significant cancelation fees, and reservation of a new manufacturing slot may delay manufacturing by several months and may thereby impact our development timelines;</w:t>
      </w:r>
    </w:p>
    <w:p>
      <w:pPr>
        <w:spacing w:after="0" w:line="76"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by authorities from other jurisdictions and corresponding state agencies to ensure strict compliance with cGMP and other government regulations and corresponding foreign standards, and FDA or regulatory authorities from other countries further inspect any manufacturers for current cGMP and, if applicable, cGTP compliance as part of any marketing application we submit. We do not have control over third-party manufacturers’ compliance with these regulations and standards;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control over the protection of our trade secrets and know-how from misappropriation or inadvertent disclosure;</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be costly or damaging to us or result in delays in the development or commercialization of our product candidates; and</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Any of these factors could cause the delay of approval or commercialization of our product candidates, cause us to incur higher costs or prevent us from commercializing our product candidates successfully.</w:t>
      </w:r>
    </w:p>
    <w:p>
      <w:pPr>
        <w:spacing w:after="0" w:line="170"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Furthermore, if any of our product candidates are approved and contract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product candidates and to have any such new source approved by the FDA or any other relevant regulatory authorities.</w:t>
      </w:r>
    </w:p>
    <w:p>
      <w:pPr>
        <w:spacing w:after="0" w:line="2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At some point in the future, we may decide to operate our own manufacturing facility for our ACT product candidates in late-stage clinical testing and for our marketed products, which would require significant resources and we may fail to successfully operate our facility, which could adversely affect our clinical trials and the commercial viability of our product candidates.</w:t>
      </w:r>
    </w:p>
    <w:p>
      <w:pPr>
        <w:spacing w:after="0" w:line="7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Currently, we have no immediate plans to operate our own manufacturing facility for our product candidates in late-stage clinical testing or for our marketed products. However, we may not be able to achieve clinical or commercial manufacturing and cell processing at a scale to satisfy demands for late stage clinical trials or commercialization on our own or with a CMO and thus may decide to operate a manufacturing facility for our product candidates. While we believe the manufacturing and processing approaches are appropriate to support our clinical product development, we have limited experience in managing a large-scale manufacturing facility. We cannot be sure that the manufacturing processes we employ or the technologies that we incorporate for manufacturing will result in TCR-T cell product candidates suitable for clinical trials or commercialization.</w:t>
      </w:r>
    </w:p>
    <w:p>
      <w:pPr>
        <w:spacing w:after="0" w:line="16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have exclusive access to the early stage facility at UTH designed for the manufacturing of cellular products comprised of three fully functional GMP suites and support areas where our hired and trained personnel perform all manufacturing related activities. The current lease extends through the end of 2021 with negotiations in place to extend the lease through the end of 2024. In case, the lease is not prolonged, we may decide to run our own manufacturing facility. There can be no assurance that we will complete the build-out of our manufacturing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facility in a timely manner or at all. We also do not yet have sufficient information to reliably estimate the cost of the clinical and commercial manufacturing and processing of our product candidates, and the actual cost to manufacture and process our product candidates could materially and adversely affect the commercial viability of our product candidates. In addition, the ultimate clinical and any commercial dose will affect our ability to scale our costs per dose. As a result, we may never be able to develop a commercially viable product. The commercial manufacturing facility we may build will also require regulatory approval, including from FDA, which we may never obtain. Even if approved, we would be subject to ongoing periodic unannounced inspection by the FDA or authorities from other jurisdictions, the Drug Enforcement Administration and corresponding state agencies to ensure strict compliance with cGMP and cGTP requirements, and other government regulations.</w:t>
      </w:r>
    </w:p>
    <w:p>
      <w:pPr>
        <w:spacing w:after="0" w:line="16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If we were to decide in the future to own and operate a manufacturing facility, the designing and building process would be time-consuming, expensive, and we may not realize the benefit of this investment. As a manufacturer of pharmaceutical products, we are required to demonstrate and maintain compliance with cGMP and cGTP requirements, which include requirements related to production processes, quality control and assurance and recordkeeping. Furthermore, establishing and maintaining manufacturing operations requires a reallocation of other resources, particularly the time and attention of certain of our senior management. Any failure or delay in our manufacturing capabilities could adversely impact the clinical development or commercialization of our or our collaborators’ product candidates.</w:t>
      </w:r>
    </w:p>
    <w:p>
      <w:pPr>
        <w:spacing w:after="0" w:line="17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manufacture of biopharmaceutical products, especially of those cellular in nature like our ACT product candidates, is complex and requires significant expertise, including the development of advanced manufacturing techniques and process controls. Manufacturers of cell therapy products often encounter difficulties in production, particularly in scaling out and validating initial production and ensuring the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The application of new regulatory guidelines or parameters, such as those related to release testing, may also adversely affect our ability to manufacture our product candidates. Furthermore, if contaminants are discovered in our supply of product candidates or in the manufacturing facilities, such manufacturing facilities may need to be closed for an extended period of time to investigate and remedy the contamination. We cannot assure that any stability or other issues relating to the manufacture of our product candidates will not occur in the future.</w:t>
      </w:r>
    </w:p>
    <w:p>
      <w:pPr>
        <w:spacing w:after="0" w:line="16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or any of our CMOs may fail to manage the logistics of storing and shipping our raw materials and product candidates. Storage failures and shipment delays and problems caused by us, our vendors or other factors not in our control, such as weather, could result in the inability to manufacture product, the loss of usable product or prevent or delay the delivery of product candidates to patients.</w:t>
      </w:r>
    </w:p>
    <w:p>
      <w:pPr>
        <w:spacing w:after="0" w:line="18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We may also experience manufacturing difficulties due to resource constraints or as a result of labor disputes. If we were to encounter any of these difficulties, our ability to provide our product candidates to patients would be jeopardized.</w:t>
      </w:r>
    </w:p>
    <w:p>
      <w:pPr>
        <w:spacing w:after="0" w:line="278"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b w:val="1"/>
          <w:bCs w:val="1"/>
          <w:i w:val="1"/>
          <w:iCs w:val="1"/>
          <w:color w:val="auto"/>
        </w:rPr>
        <w:t>We have limited experience in large-scale or commercial manufacturing, and there can be no assurance that we will be able to effectively manufacture clinical or commercial quantities of our products.</w:t>
      </w:r>
    </w:p>
    <w:p>
      <w:pPr>
        <w:spacing w:after="0" w:line="62"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In September 2015, we entered into a collaboration agreement with UTH to gain exclusive access to a cGMP facility specialized in the manufacturing of cellular products. This facility is used exclusively for the manufacturing of our product candidates by our hired and trained personnel.</w:t>
      </w:r>
    </w:p>
    <w:p>
      <w:pPr>
        <w:spacing w:after="0" w:line="12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Although some of our employees have experience in the manufacturing of pharmaceutical products from prior employment at other companies, we as a company do not have experience in large-scale or commercial manufacturing.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We may not succeed in scaling up our production processes for ACT and/or biologics for pivotal trials and/or commercial supply. We may need a larger scale manufacturing process for any TCR Bispecifics molecule than what we have planned, depending on the dose and regimen that is to be determined in our Phase 1 and future Phase 2 studies. Any changes in our manufacturing processes, including those utilized by our CMOs, as a result of scaling up may result in the need to obtain additional regulatory approvals. Difficulties in achieving commercial-scale production or the need for additional regulatory approvals could delay the development and regulatory approval of our product candidates and ultimately affect our success.</w:t>
      </w:r>
    </w:p>
    <w:p>
      <w:pPr>
        <w:spacing w:after="0" w:line="26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use hazardous, non-hazardous, biological or other materials in a manner that causes injury or violates applicable law, we may be liable for damages.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research and development activities involve the controlled use of potentially hazardous substances, including chemical and biological materials, potentially infectious material and genetically modified cells. We and our suppliers are subject to federal, state and local laws and regulations in the United States and Germany governing the use, manufacture, storage, handling and disposal of such hazardous materials. Although we believe that we and our suppliers’ procedures for using, handling, storing and disposing of these materials comply with legally prescribed standards, and that we and our suppliers have all necessary permits, we and our suppliers cannot completely eliminate the risk of contamination or injury resulting from hazardous chemical or biological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have insurance in place for liabilities arising from handling biological and hazardous substances, but it may not or may not fully cover all costs from such accidents. Compliance with applicable environmental laws and regulations is expensive, and current or future environmental regulations may impair our research, development and production efforts, which could impact our business, prospects, financial condition or results of operations.</w:t>
      </w:r>
    </w:p>
    <w:p>
      <w:pPr>
        <w:spacing w:after="0" w:line="290" w:lineRule="exact"/>
        <w:rPr>
          <w:sz w:val="20"/>
          <w:szCs w:val="20"/>
          <w:color w:val="auto"/>
        </w:rPr>
      </w:pPr>
    </w:p>
    <w:p>
      <w:pPr>
        <w:ind w:left="120" w:right="60"/>
        <w:spacing w:after="0" w:line="340" w:lineRule="auto"/>
        <w:rPr>
          <w:sz w:val="20"/>
          <w:szCs w:val="20"/>
          <w:color w:val="auto"/>
        </w:rPr>
      </w:pPr>
      <w:r>
        <w:rPr>
          <w:rFonts w:ascii="Arial" w:cs="Arial" w:eastAsia="Arial" w:hAnsi="Arial"/>
          <w:sz w:val="15"/>
          <w:szCs w:val="15"/>
          <w:b w:val="1"/>
          <w:bCs w:val="1"/>
          <w:i w:val="1"/>
          <w:iCs w:val="1"/>
          <w:color w:val="auto"/>
        </w:rPr>
        <w:t>Our relationships with customers, physicians, and third-party payors are subject, directly or indirectly, to federal, state, local and foreign healthcare fraud and abuse laws, false claims laws, health information privacy and security laws, and other healthcare laws and regulations. If we or our employees, independent contractors, consultants, commercial partners and vendors violate these laws, we could face substantial penalties.</w:t>
      </w:r>
    </w:p>
    <w:p>
      <w:pPr>
        <w:spacing w:after="0" w:line="23"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spacing w:after="0" w:line="98" w:lineRule="exact"/>
        <w:rPr>
          <w:sz w:val="20"/>
          <w:szCs w:val="20"/>
          <w:color w:val="auto"/>
        </w:rPr>
      </w:pPr>
    </w:p>
    <w:p>
      <w:pPr>
        <w:ind w:left="1080" w:right="40" w:hanging="424"/>
        <w:spacing w:after="0" w:line="271"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and require strict compliance in order to offer protection. Practices that may be alleged to be intended to induce prescribing, purchases or recommendations, include any payments of more than fair market value, and may be subject to scrutiny if they do not qualify for an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exception or safe harbor. In addition,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 and the Civil Monetary Penalties Statute;</w:t>
      </w:r>
    </w:p>
    <w:p>
      <w:pPr>
        <w:spacing w:after="0" w:line="92" w:lineRule="exact"/>
        <w:rPr>
          <w:sz w:val="20"/>
          <w:szCs w:val="20"/>
          <w:color w:val="auto"/>
        </w:rPr>
      </w:pPr>
    </w:p>
    <w:p>
      <w:pPr>
        <w:ind w:left="1080" w:right="160" w:hanging="424"/>
        <w:spacing w:after="0" w:line="30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including the federal civil False Claims Act,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w:t>
      </w:r>
    </w:p>
    <w:p>
      <w:pPr>
        <w:spacing w:after="0" w:line="62" w:lineRule="exact"/>
        <w:rPr>
          <w:rFonts w:ascii="Arial" w:cs="Arial" w:eastAsia="Arial" w:hAnsi="Arial"/>
          <w:sz w:val="16"/>
          <w:szCs w:val="16"/>
          <w:color w:val="auto"/>
        </w:rPr>
      </w:pPr>
    </w:p>
    <w:p>
      <w:pPr>
        <w:ind w:left="1080" w:right="20" w:hanging="424"/>
        <w:spacing w:after="0" w:line="29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1" w:lineRule="exact"/>
        <w:rPr>
          <w:rFonts w:ascii="Arial" w:cs="Arial" w:eastAsia="Arial" w:hAnsi="Arial"/>
          <w:sz w:val="16"/>
          <w:szCs w:val="16"/>
          <w:color w:val="auto"/>
        </w:rPr>
      </w:pPr>
    </w:p>
    <w:p>
      <w:pPr>
        <w:ind w:left="1080" w:hanging="424"/>
        <w:spacing w:after="0" w:line="30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2" w:lineRule="exact"/>
        <w:rPr>
          <w:rFonts w:ascii="Arial" w:cs="Arial" w:eastAsia="Arial" w:hAnsi="Arial"/>
          <w:sz w:val="16"/>
          <w:szCs w:val="16"/>
          <w:color w:val="auto"/>
        </w:rPr>
      </w:pPr>
    </w:p>
    <w:p>
      <w:pPr>
        <w:ind w:left="1080" w:right="20" w:hanging="424"/>
        <w:spacing w:after="0" w:line="275"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the United States Department of Health and Human Services’ (HHS) Centers for Medicare &amp; Medicaid Services (CMS) information related to payments or other transfers of value made to physicians and teaching hospitals, as well as ownership and investment interests held by physicians and their immediate family members; and</w:t>
      </w:r>
    </w:p>
    <w:p>
      <w:pPr>
        <w:spacing w:after="0" w:line="81"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Additionally, we may be subject to state, local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state and local laws requiring the registration of pharmaceutical sales and medical representatives; and state and foreign laws governing the privacy and security of health information in some circumstances, many of which differ from each other in significant ways and often are not preempted by HIPAA, thus complicating compliance efforts.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it is possible that some of our business activities, or our arrangements with physicians, some of whom receive stock options as compensation, could be subject to challenge under one or more of such laws. If we or our employees, independent contractors, consultants, commercial partners and vendors violate these laws, we may be subject to investigations, enforcement actions and/or significant penalties. We have adopted a code of business conduct and ethics, but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29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Our existing therapeutic collaborations are important to our business, and future collaborations may also be important to us. If we are unable to maintain any of these collaborations, or if these collaborations are not successful, our business could be adversely affected.</w:t>
      </w:r>
    </w:p>
    <w:p>
      <w:pPr>
        <w:spacing w:after="0" w:line="1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limited capabilities for drug development and does not yet have any capability for sales, marketing or distribution. We have entered into collaborations with other companies that we believe can provide such capabilities, including our collaboration and license agreements with, for example, MD Anderson, Amgen, Genmab, Celgene Corporation, a Bristol-Myers Squibb Company (“BMS”), and GlaxoSmithKline (“GSK”). These collaborations have also provided us with important funding for our development programs and technology platforms, and we expect to receive additional funding under these collaborations in the future. Our existing therapeutic collaborations, and any future collaborations we enter into, may pose a number of risks, including the following:</w:t>
      </w:r>
    </w:p>
    <w:p>
      <w:pPr>
        <w:spacing w:after="0" w:line="98"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jc w:val="both"/>
        <w:ind w:left="1080" w:right="80" w:hanging="424"/>
        <w:spacing w:after="0" w:line="31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4" w:lineRule="exact"/>
        <w:rPr>
          <w:rFonts w:ascii="Arial" w:cs="Arial" w:eastAsia="Arial" w:hAnsi="Arial"/>
          <w:sz w:val="16"/>
          <w:szCs w:val="16"/>
          <w:color w:val="auto"/>
        </w:rPr>
      </w:pPr>
    </w:p>
    <w:p>
      <w:pPr>
        <w:ind w:left="1080" w:right="280" w:hanging="424"/>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80" w:right="120" w:hanging="424"/>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 this may also happen if the collaborators’ development of competing products is substantially faster than our development timelines;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further develop product candidates developed by us or co-developed with us under the collaboration;</w:t>
      </w:r>
    </w:p>
    <w:p>
      <w:pPr>
        <w:spacing w:after="0" w:line="130"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have certain defined rights to change or expand the scope of development programs during the course of the collaboration. This may lead to additional research work for us that may be time-consuming and expensive. Such work may compete with our own development programs and may delay timelines to market or proof-of-concept for our product candidates. If development programs under the collaboration turn out to be more costly and time-consuming, such unanticipated costs and work could likewise compete with our internal development programs;</w:t>
      </w:r>
    </w:p>
    <w:p>
      <w:pPr>
        <w:spacing w:after="0" w:line="93"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we may also be held liable by the collaborator for potential infringement of third party intellectual property during the research and development work for the collaboration;</w:t>
      </w:r>
    </w:p>
    <w:p>
      <w:pPr>
        <w:spacing w:after="0" w:line="89"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certain collaborations may be terminated for the convenience of the collaborator and, if terminated, we could be required to raise additional capital to pursue further development or commercialization of the applicable product candidates. For example, certain of our collaboration and license agreements may be terminated for convenience upon the completion of a specified notice period; and</w:t>
      </w:r>
    </w:p>
    <w:p>
      <w:pPr>
        <w:spacing w:after="0" w:line="70" w:lineRule="exact"/>
        <w:rPr>
          <w:rFonts w:ascii="Arial" w:cs="Arial" w:eastAsia="Arial" w:hAnsi="Arial"/>
          <w:sz w:val="17"/>
          <w:szCs w:val="17"/>
          <w:color w:val="auto"/>
        </w:rPr>
      </w:pPr>
    </w:p>
    <w:p>
      <w:pPr>
        <w:ind w:left="1080" w:right="360" w:hanging="424"/>
        <w:spacing w:after="0" w:line="308"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collaborators may discontinue the development of product candidates within the collaboration, for example if they consider the results achieved so far or the product candidates not promising enough or if their development strategies change.</w:t>
      </w:r>
    </w:p>
    <w:p>
      <w:pPr>
        <w:spacing w:after="0" w:line="14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If our therapeutic collaborations do not result in the successful development and commercialization of products or if one of our collaborators terminates its agreement with us, we may not receive any future research funding or milestone or royalty payments under the collaboration. Hoffmann-La Roche Ltd and Hoffmann-La Roche Inc. (“Roche”) recently informed us that it did not intend to continue development as contemplated under the collaboration agreement of April 26, 2016 and terminated the agreement as of September 30, 2020; as a result, we will not receive any milestone or royalty payments under the collaboration. All of the risks relating to product development, regulatory approval and commercialization described in this prospectus also apply to the activities of our program collaborators.</w:t>
      </w:r>
    </w:p>
    <w:p>
      <w:pPr>
        <w:spacing w:after="0" w:line="17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Additionally, subject to its contractual obligations to us, if one of our collaborators is involved in a business combination, the collaborator might deemphasize or terminate the development or commercialization of any product candidate licensed to it by us. If one of our collaborators terminates its agreement with us, it may find it more difficult to attract new collaborators.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For some of our product candidates, we may in the future determine to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85"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Collaborations are complex and time-consuming to negotiate and document. In addition, there have been a significant number of recent business combinations among large pharmaceutical companies that reduced the number of potential future collaborators. If we are unable to reach agreements with suitable collaborators on a timely basis, on acceptable terms, or at all, we may have to curtail the development of a product candidate, reduce or delay one or more of our other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18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Subject to certain specified exceptions, each of our existing therapeutic collaborations contains an exclusivity restriction on our engaging in activities that are the subject of the collaboration with third parties for specified periods of time.</w:t>
      </w:r>
    </w:p>
    <w:p>
      <w:pPr>
        <w:spacing w:after="0" w:line="292" w:lineRule="exact"/>
        <w:rPr>
          <w:sz w:val="20"/>
          <w:szCs w:val="20"/>
          <w:color w:val="auto"/>
        </w:rPr>
      </w:pPr>
    </w:p>
    <w:p>
      <w:pPr>
        <w:jc w:val="both"/>
        <w:ind w:left="120" w:right="260"/>
        <w:spacing w:after="0" w:line="277" w:lineRule="auto"/>
        <w:rPr>
          <w:sz w:val="20"/>
          <w:szCs w:val="20"/>
          <w:color w:val="auto"/>
        </w:rPr>
      </w:pPr>
      <w:r>
        <w:rPr>
          <w:rFonts w:ascii="Arial" w:cs="Arial" w:eastAsia="Arial" w:hAnsi="Arial"/>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shareholders or disrupt our management and business. In addition, we face significant competition in seeking appropriate strategic collaborations and the negotiation process is time-consuming and complex. Moreover, we may not be successful in our efforts to establish strategic collaborations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Any delays in entering into new strategic collaboration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6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are dependent or may depend in the future on patents, know-how and proprietary technology, both our own and licensed from others. We may also enter into additional license agreements that are material to the development of our product candidates.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Disputes may also arise between us and our licensors and licensees regarding intellectual property subject to a license agreement, including those related to:</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us, our licensors, and our collaborators.</w:t>
      </w:r>
    </w:p>
    <w:p>
      <w:pPr>
        <w:spacing w:after="0" w:line="170"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If disputes over intellectual property that we have licensed, or will license in the future, prevent or impair our ability to maintain our current licensing arrangements on acceptable terms, we may be unable to successfully develop and commercialize the affected product candidates.</w:t>
      </w:r>
    </w:p>
    <w:p>
      <w:pPr>
        <w:spacing w:after="0" w:line="14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it is for intellectual property that we own, which are described below. If we or our licensors fail to adequately protect this intellectual property, our ability to commercialize products could suffer.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third parties claim that our activities or products infringe upon their intellectual property, our operations could be adversely affected.</w:t>
      </w:r>
    </w:p>
    <w:p>
      <w:pPr>
        <w:spacing w:after="0" w:line="12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There is a substantial amount of litigation, both within and outside the United States, involving patents and other intellectual property rights in the pharmaceutical industry. We may, from time to time, be notified of claims that we or our third party suppliers are infringing upon patents, trademarks, copyrights, or other intellectual property rights owned by third parties, and we cannot provide assurances that other companies will not, in the future, pursue such infringement claims against us or any third-party proprietary technologies we have licensed. If we or our third party suppliers were found to infringe upon a patent or other intellectual property right, or if we failed to obtain or renew a license under a patent or other intellectual property right from a third party, or if a third party that we were licensing technologies from was found to infringe upon a patent or other intellectual property rights of another third party, we may be required to pay damages, including triple damages if the infringement is found to be willful, suspend the manufacture of certain product candidates or reengineer or rebrand our product candidates, if feasible, or we may be unable to enter certain new product markets. Any such claims could also be expensive and time-consuming to defend and divert management’s attention and resources. Our competitive position could suffer as a result. In addition, if we have declined to enter into a valid non-disclosure or assignment agreement for any reason, we may not own an invention or intellectual property rights and may not be adequately protected. Although we have reviewed certain third-party patents and patent filings that we believe may be relevant to our product candidates, we have not conducted a full freedom-to-operate search or analysis for such product candidates, and we may not be aware of patents or pending or future patent applications that, if</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issued, would block us from commercializing our product candidates. Thus, we cannot guarantee that we can successfully commercialize product candidates in a way that will not infringe any third party’s intellectual property.</w:t>
      </w:r>
    </w:p>
    <w:p>
      <w:pPr>
        <w:spacing w:after="0" w:line="278"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Where we license certain technology from a third party, the prosecution, maintenance and defense of the patent rights licensed from such third party may be controlled by the third party which may impact the scope of patent protection which will be obtained or enforced.</w:t>
      </w:r>
    </w:p>
    <w:p>
      <w:pPr>
        <w:spacing w:after="0" w:line="16"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Where we license patent rights or technology from a third-party, control of such third-party patent rights may vest in the licensor, particularly where the license is non-exclusive or field restricted. This may mean that we are not able to control or affect the scope of the claims of any relevant third-party patent or have control over any enforcement of such a patent. Where a licensor brings an enforcement action, this could negatively impact our business or result in additional restrictions being imposed on the license we have and the scope of such license, or result in invalidation or limitation of the scope of the licensed patent. In addition, should we wish to enforce the relevant patent rights against a third person, we may be reliant on consent from the relevant licensor or the cooperation of the licensor. The licensor may refuse to bring such action and leave us unable to restrict competitor entry into the market.</w:t>
      </w:r>
    </w:p>
    <w:p>
      <w:pPr>
        <w:spacing w:after="0" w:line="303"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62"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patents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274"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Periodic maintenance fees on any issued patent are due to be paid to the United States Patent and Trademark Office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patent and other intellectual property rights.</w:t>
      </w:r>
    </w:p>
    <w:p>
      <w:pPr>
        <w:spacing w:after="0" w:line="1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to operate.</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Should third parties file patent applications or be issued patents claiming technology we also use or claim,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 or at all.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the USPTO.</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 xml:space="preserve">If we or one of our licensing collaborators initiates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and post grant review, and equivalent proceedings in foreign jurisdictions (for example,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Our agreements with employees and our personnel policies also generally provide that any inventions conceived by such individuals in the course of rendering services to us shall be our exclusive property or that we may obtain full rights to such inventions, at our election. However, we may not obtain these agreements in all circumstances, and individuals with whom we have these agreements may not comply with their terms. We may be subject to claims that former employees, collaborators, or other third parties have an ownership interest in our patents or other intellectual property (“IP”). Ownership disputes may arise, for example, from conflicting obligations of consultants or others who are involved in developing our development candidates. We also face the risk that present or former employees could continue to hold rights to intellectual property we use, may demand the registration of intellectual property rights in their name and demand damages pursuant to the German Employee Invention Act. Litigation may be necessary to defend against these and other claims challenging inventorship or ownership. If we fail in defending any such claims, in addition to paying monetary damages, we may lose valuable IP rights, such as exclusive ownership of, or right to use, valuable IP. Such an outcome could have a material adverse impact on our business. Even if we are successful in defending against such claims, litigation could result in substantial costs and be a distraction to management and other employees.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the protection afforded by patents, we seek to rely on trade secret protection and confidentiality agreements to protect</w:t>
      </w:r>
    </w:p>
    <w:p>
      <w:pPr>
        <w:spacing w:after="0" w:line="23"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proprietary know-how that is not patentable, processes for which patents are difficult to enforce and any other elements of our product discovery and development processes that involve proprietary know-how, information or technology that is not covered by patents. Trade secrets, however, may be difficult to protect. Although we require all of our employees to assign their inventions to us, and require all of our employees and key consultants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28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employ individuals who were previously employed at universities or other biotechnology or pharmaceutical companies, including our competitors or potential competitors. In addition, our employees involved in our strategic collaborations have access to certain joint confidential information or such information from the collaborator. Although we try to ensure that our employees, consultants, and independent contractors do not use the proprietary information or know-how of others in their work for us, from time to time we may be subject to claims that we, or our employees, consultants, or independent contractors, have inadvertently or otherwise used or disclosed IP, including trade secrets or other proprietary information, of any of our employees’ former employers or other third parties. Litigation may be necessary to defend against these claims. If we fail in defending any such claims, in addition to paying monetary damages, we may lose valuable IP rights or personnel, which could adversely impact our business. Even if we are successful in defending against such claims, litigation could result in substantial costs and be a distraction to management and other employees. Such liability can also occur if we publish or disclose confidential information from our collaboration without permission of the respective collaborator.</w:t>
      </w:r>
    </w:p>
    <w:p>
      <w:pPr>
        <w:spacing w:after="0" w:line="274"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Changes in U.S. or foreign countries’ patent law could diminish the value of patents in general, thereby impairing our ability to protect our products.</w:t>
      </w:r>
    </w:p>
    <w:p>
      <w:pPr>
        <w:spacing w:after="0" w:line="62" w:lineRule="exact"/>
        <w:rPr>
          <w:sz w:val="20"/>
          <w:szCs w:val="20"/>
          <w:color w:val="auto"/>
        </w:rPr>
      </w:pPr>
    </w:p>
    <w:p>
      <w:pPr>
        <w:ind w:left="120" w:right="160"/>
        <w:spacing w:after="0" w:line="269" w:lineRule="auto"/>
        <w:rPr>
          <w:sz w:val="20"/>
          <w:szCs w:val="20"/>
          <w:color w:val="auto"/>
        </w:rPr>
      </w:pPr>
      <w:r>
        <w:rPr>
          <w:rFonts w:ascii="Arial" w:cs="Arial" w:eastAsia="Arial" w:hAnsi="Arial"/>
          <w:sz w:val="17"/>
          <w:szCs w:val="17"/>
          <w:color w:val="auto"/>
        </w:rPr>
        <w:t>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 nor can we predict changes in international patent law.</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addition, our existing patents and any future patents we obtain may not be sufficiently broad to prevent others from utilizing our technologies or from developing or commercializing competing products. Furthermore, others may independently develop or commercialize similar or alternative technologies or therapies, or design around our patents. Our patents may be challenged, invalidated, circumvented or narrowed, or fail to provide us with any competitive advantages.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195"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we may not be able to prevent third parties from utilizing our inventions in all countries outside the United States, or from selling or importing products made using our inventions in and into the United States or other jurisdictions. Competitors may use our technologies, or technology that we license, in jurisdictions where we have not obtained patent protection to develop our own products and, further, may export otherwise infringing products to territories where we has patent protection, but enforcement is not as strong as that in the United States. These products may compete with our lead product candidate or any other current or future product candidates and our patents or other intellectual property rights may not be effective or sufficient to prevent them from competing.</w:t>
      </w:r>
    </w:p>
    <w:p>
      <w:pPr>
        <w:spacing w:after="0" w:line="18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In addition, certain countries have compulsory licensing laws under which a patent owner may be compelled to grant licenses to third parties. Thus, it may be difficult for us to stop the infringement of our patents or the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could place our patent applications at risk of not issuing, and could provoke third parties to assert claims against us. We may not prevail in any lawsuits that we initiate, and the damages or other remedies awarded, if any, may not be commercially meaningful. Accordingly, our efforts to enforce intellectual property rights around the world may be inadequate to obtain a significant commercial advantage from the intellectual property that we own.</w:t>
      </w:r>
    </w:p>
    <w:p>
      <w:pPr>
        <w:spacing w:after="0" w:line="27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 or any future product candidates for an adequate amount of time.</w:t>
      </w:r>
    </w:p>
    <w:p>
      <w:pPr>
        <w:spacing w:after="0" w:line="62"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our earliest U.S. non-provisional filing date. Various extensions may be available, but the life of a patent, and the protection it affords, is limited. Even if patents covering our product candidates or any future product candidates are obtained, once the patent life has expired, we may be open to competition from competitive products. Given the amount of time required for the development, testing,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regulatory review of new product candidates, patents protecting our current product candidates or any future product candidates might expire before or shortly after we or our collaborators commercialize those candidates. As a result, our patent portfolio may not provide us with sufficient rights to exclude others from commercializing products similar or identical to ours.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62"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other executive officers in our senior management. The loss of the services of any of our executive officers, other key employees, and other scientific and medical advisors, and our inability to find suitable replacements could result in delays in product development and harm our business.</w:t>
      </w:r>
    </w:p>
    <w:p>
      <w:pPr>
        <w:spacing w:after="0" w:line="18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conduct substantially all of our operations at our facilities in Tübingen, Germany, Houston, Texas and Munich, Germany where many other biopharmaceutical companies, academic and research institutions have facilities and/or headquarters which substantially increases our competition for skilled personnel in our market and may limit our ability to hire and retain highly qualified personnel.</w:t>
      </w:r>
    </w:p>
    <w:p>
      <w:pPr>
        <w:spacing w:after="0" w:line="18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To induce current valuable employees to remain with us through salary and cash incentives, we have provided stock appreciation rights which have been converted into a new employee incentive scheme. Despite our efforts to retain valuable employees, members of our management, scientific and development teams could always terminate their employment with us on short notice. Even though we have employment agreements in place with all our employees including key personnel, these employment agreements provide for at-will employment, which means that any of our employees could leave us at any time, subject to notice periods and non-competition clauses. If key employees leave us, this may result in delays in the development of our product candidates or may endanger the proper and regulation compliant conduct of our clinical trials. Our success highly depends on our ability to continue to attract, retain and motivate highly skilled junior-, mid- and senior-level personnel as well as scientific and medical personnel.</w:t>
      </w:r>
    </w:p>
    <w:p>
      <w:pPr>
        <w:spacing w:after="0" w:line="27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We are exposed to the risk of fraud or other illegal activity by our employees, independent contractors, consultants, commercial partners and vendors. Misconduct by these parties may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for any of our product candidates and begin commercializing those products in the United States, our potential exposure under such laws will increase significantly, and the costs associated with compliance with such laws are also likely to increase. Failure to comply with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and regulations designed to prevent fraud, kickbacks, self-dealing and other abusive practices. These laws and regulations may restrict or prohibit a wide range of pricing, discounting, marketing and promotion, structuring and commission(s), certain customer incentive programs and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other business arrangements generally. Activities subject to these laws also involve the improper use of information obtained in the course of patient recruitment for clinical trials.</w:t>
      </w:r>
    </w:p>
    <w:p>
      <w:pPr>
        <w:spacing w:after="0" w:line="17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we,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to attract, hire, retain and motivate the highly skilled employees that we need. Future growth will impose significant added responsibilities on members of management, including:</w:t>
      </w:r>
    </w:p>
    <w:p>
      <w:pPr>
        <w:spacing w:after="0" w:line="72"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spacing w:after="0" w:line="184"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4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292"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We may also still face risks from previous research and development activities. For example, IMA950, a multi-peptide vaccine we previously developed, is still in clinical use under the responsibility of clinical investigators outside of our clinical trials (investigator-initiated trials). While any sponsor responsibility is with the investigator, we cannot fully be sure that we will not be held liable in the future for any potential product defects.</w:t>
      </w:r>
    </w:p>
    <w:p>
      <w:pPr>
        <w:spacing w:after="0" w:line="19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Any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67"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 or sites and potential termination of clinical trial sites or entire clinical programs;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 in the price of our stock and our overall value;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corporate collaborators. Our insurance policies may also have various exclusions, and we may be subject to a product liability claim for which we have no coverage. While we have obtained clinical trial insurance for our Phase 1 clinical trials and will also seek to obtain such insurance for future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69"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As a biopharmaceutical company, we are subject to many federal and state healthcare laws, including the federal Anti-Kickback Statute, the federal civil and criminal False Claims Act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healthcare laws (for example, federal, state and European laws) and regulations pertaining to fraud and abuse and patients’ rights are and will be applicable to our business. If we do not comply with all applicable fraud and abuse laws, we may be subject to healthcare fraud and abuse enforcement.</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8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it,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77"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do not comply with laws regulating the protection of the environment and health and human safety, our business could be adversely affected.</w:t>
      </w:r>
    </w:p>
    <w:p>
      <w:pPr>
        <w:spacing w:after="0" w:line="15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research and development involves, and may in the future involve, the use of potentially hazardous materials, including chemicals, potentially infectious biological substances and genetically modified organisms. Our operations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fully eliminated. If an accident occurs, we could be held liable for resulting damages. We are also subject to numerous environmental, health and workplace safety laws and regulations and fire and building codes, including those governing laboratory procedures, exposure to blood-borne, potentially infectious pathogens, use and storage of flammable agents and the handling of biohazardous materials and genetically modified organisms. Although we maintain workers’ compensation insurance as prescribed by Texas and German laws to cover us for costs and expenses we may incur due to injuries to our employees resulting from the use of these materials, this insurance may not provide adequate coverage against all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w:t>
      </w:r>
    </w:p>
    <w:p>
      <w:pPr>
        <w:spacing w:after="0" w:line="280"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b w:val="1"/>
          <w:bCs w:val="1"/>
          <w:i w:val="1"/>
          <w:iCs w:val="1"/>
          <w:color w:val="auto"/>
        </w:rPr>
        <w:t>Negative public opinion and increased regulatory scrutiny of genetic research and therapies involving gene editing and research done on animals may damage public perception of our product candidates or adversely affect our ability to conduct our business or obtain regulatory approvals for our product candidates.</w:t>
      </w:r>
    </w:p>
    <w:p>
      <w:pPr>
        <w:spacing w:after="0" w:line="7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gene-editing technologies that we use are novel. Public perception may be influenced by claims that gene editing is unsafe, and products incorporating gene editing may not gain the acceptance of the public or the medical community. The development of some of our product candidates included research on animals or may in future require animal experiments. We try to limit the use of animal studies in the development of our products to the extent possible. However, FDA and regulatory authorities in other countries asked and may also ask in the future for some aspects of our products to be studied using animal experiments, and certain aspects of product development require animal studies by applicable regulations and laws. Public perception of our business may also be influenced by claims that studies on animals are unethical. In particular, our success will depend upon physicians specializing in our targeted diseases prescribing our product candidates as treatments in lieu of, or in addition to, existing, more familiar, treatments for which greater clinical data may be available. Any increase in negative perceptions of gene editing and animal studies may result in fewer physicians prescribing our treatments or may reduce the willingness of patients to utilize our treatments or participate in clinical trials for our product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candidates. In addition, given the novel nature of gene-editing and cell therapy technologies, governments may place import or export restrictions in order to retain control of the technologies. Increased negative public opinion or more restrictive government regulations in the United States, Europe or internationally would have a negative effect on our business or financial condition and may delay or impair the development and commercialization of our product candidates or demand for such product candidates.</w:t>
      </w:r>
    </w:p>
    <w:p>
      <w:pPr>
        <w:spacing w:after="0" w:line="29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62"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 Loss of XPRESIDENT raw data, the XPRESIDENT database or target information could result in disruption of drug discovery and product candidate development activities. Unauthorized access to the aforementioned could limit development options and value potential for future target candidates or proprietary programs.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costs and expenses.</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Our operations and those of our third-party suppliers and collaborators could be subject to earthquakes, power shortages, telecommunications failures, water shortages, floods, hurricanes or other extreme weather conditions, medical epidemics, labor disputes or other business interruptions. Although we have limited business interruption insurance policies in place, any interruption could come with high costs for us, as salaries and loan payments would usually continue. Moreover, any interruption could seriously harm our ability to timely proceed with any clinical programs or to supply product candidates for use in our clinical programs or during commercialization. For example, the current COVID-19 pandemic is causing an interruption in our clinical trial activities. Specifically, we had to reduce our business activities including those in the laboratory according to governmental orders in the U.S. as well as in Germany. Additionally, supply chains disruptions impact and may continue to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impact our research activities. Clinical sites involved may not be able to enroll patients into our trials as they have to keep free or use capacities for the treatment of COVID-19 patients. Any of the sites where we conduct clinical trials may announce that they will not enroll further patients into clinical trials until further notice. We currently do not know, how substantial the delay for the development of our product candidates will be. Even if the situation improves in the U.S. and/or Europe, the impact on supply chains and patient recruitment may last longer.</w:t>
      </w:r>
    </w:p>
    <w:p>
      <w:pPr>
        <w:spacing w:after="0" w:line="27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shareholders, cause us to incur debt or assume contingent liabilities, and subject us to other risks.</w:t>
      </w:r>
    </w:p>
    <w:p>
      <w:pPr>
        <w:spacing w:after="0" w:line="6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76"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70"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Unstable market and economic conditions may have serious adverse consequences on our business, financial condition and stock price.</w:t>
      </w:r>
    </w:p>
    <w:p>
      <w:pPr>
        <w:spacing w:after="0" w:line="140"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global credit and financial markets have experienced extreme volatility and disruptions in the past,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Our portfolio of corporate and government bonds would also be adversely impacted. Failure to secure any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exposed to risks related to currency exchange rates.</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We conduct a significant portion of our operations within Germany in both U.S. dollars and Euros and our arrangements with, for example, MD Anderson, Amgen, Genmab, BMS, and GSK are denominated in U.S. dollars or Euros. Changes in currency exchange rates have had and could have a significant effect on our operating results. Exchange rate fluctuations between U.S. dollars and local currencies create risk in several ways, including the following: weakening of the Euro may increase the cost of overseas research and development expenses and other costs outside of Germany; strengthening of the U.S. dollar may decrease the value of any future revenues denominated in other currencies. Effects of exchange rates on transactions and cash deposits held in a currency other than the functional currency of a subsidiary can distort our financial results; and commercial pricing and profit margins are affected by currency fluctuations. For example, international crises, conflicts or disasters such as the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current COVID-19 pandemic may result in substantial instability in international financial markets, including with respect to exchange rates.</w:t>
      </w:r>
    </w:p>
    <w:p>
      <w:pPr>
        <w:spacing w:after="0" w:line="22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conducting research and clinical trials in multiple countries and marketing our product candidates internationally could materially adversely affect our business.</w:t>
      </w:r>
    </w:p>
    <w:p>
      <w:pPr>
        <w:spacing w:after="0" w:line="62"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Clinical trials are currently being conducted in the United States and in Germany, and we plan to globally develop our current and future product candidates. Accordingly, we expect that we will be subject to additional risks related to operating in foreign countries, including:</w:t>
      </w:r>
    </w:p>
    <w:p>
      <w:pPr>
        <w:spacing w:after="0" w:line="52"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standards for the conduct of clinical trials;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difficulties in managing the logistics and transportation of storing and shipping product candidates produced in the United States or elsewhere and shipping the product candidate to patients in other countries;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import and export requirements and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foreign economies and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or Germany;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 or Germany;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and other risks associated with our international operations may materially adversely affect our ability to attain or maintain profitable operations.</w:t>
      </w:r>
    </w:p>
    <w:p>
      <w:pPr>
        <w:spacing w:after="0" w:line="35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6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who are in a position to receive second- or third-line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Even if we obtain significant market share for our product candidates, because the potential target populations are small, we may never achieve profitability without obtaining regulatory approval for additional indications.</w:t>
      </w:r>
    </w:p>
    <w:p>
      <w:pPr>
        <w:spacing w:after="0" w:line="289"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b w:val="1"/>
          <w:bCs w:val="1"/>
          <w:i w:val="1"/>
          <w:iCs w:val="1"/>
          <w:color w:val="auto"/>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76"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In order to obtain orphan drug designation, the request must be made before submitting a BLA.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18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If a product that has orphan drug designation subsequently receives the first FDA approval of that particular product for the disease for which it has such designation, the product is entitled to orphan product exclusivity, which means that the FDA may not approve any other applications, including a BLA, to market the same biologic (meaning, a product with the same principal molecular structural features)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79" w:lineRule="auto"/>
        <w:rPr>
          <w:sz w:val="20"/>
          <w:szCs w:val="20"/>
          <w:color w:val="auto"/>
        </w:rPr>
      </w:pPr>
      <w:r>
        <w:rPr>
          <w:rFonts w:ascii="Arial" w:cs="Arial" w:eastAsia="Arial" w:hAnsi="Arial"/>
          <w:sz w:val="17"/>
          <w:szCs w:val="17"/>
          <w:color w:val="auto"/>
        </w:rPr>
        <w:t>condition for which the drug was designated. As a result, even if one of our product candidates receives orphan exclusivity, the FDA can still approve other biologics that do not have the same principal molecular structural features for use in treating the same indication or disease or the same biologic for a different indication or disease during the exclusivity period. Furthermore, the FDA can waive orphan exclusivity if we are unable to manufacture sufficient supply of our product or if a subsequent applicant demonstrates clinical superiority over our product.</w:t>
      </w:r>
    </w:p>
    <w:p>
      <w:pPr>
        <w:spacing w:after="0" w:line="171" w:lineRule="exact"/>
        <w:rPr>
          <w:sz w:val="20"/>
          <w:szCs w:val="20"/>
          <w:color w:val="auto"/>
        </w:rPr>
      </w:pPr>
    </w:p>
    <w:p>
      <w:pPr>
        <w:ind w:left="120" w:right="160"/>
        <w:spacing w:after="0" w:line="289" w:lineRule="auto"/>
        <w:rPr>
          <w:sz w:val="20"/>
          <w:szCs w:val="20"/>
          <w:color w:val="auto"/>
        </w:rPr>
      </w:pPr>
      <w:r>
        <w:rPr>
          <w:rFonts w:ascii="Arial" w:cs="Arial" w:eastAsia="Arial" w:hAnsi="Arial"/>
          <w:sz w:val="16"/>
          <w:szCs w:val="16"/>
          <w:color w:val="auto"/>
        </w:rPr>
        <w:t>We may seek orphan drug designations for some or all of our product candidates in specific orphan indications in which there is a medically plausible basis for the use of these products. Even if we obtain orphan drug designations, exclusive marketing rights in the United States may be limited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 or if a subsequent applicant demonstrates clinical superiority over our products, if approved. In addition, although we may seek orphan drug designation for other product candidates, we may never receive such designations. Even with respect to the indications for which we received orphan designation, we may not be the first to obtain marketing approval for any particular orphan indication due to the uncertainties associated with developing pharmaceutical products, and thus approval of our product candidates could be blocked for seven years if another company previously obtained approval and orphan drug exclusivity for the same drug and same condition.</w:t>
      </w:r>
    </w:p>
    <w:p>
      <w:pPr>
        <w:spacing w:after="0" w:line="27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or Fast Track designations and may pursue Accelerated Approval for some or all of our current product candidates, but we may be unable to obtain such designations or, where obtained, we may be unable to maintain Breakthrough Therapy designation or obtain or maintain the benefits associated with such designations.</w:t>
      </w:r>
    </w:p>
    <w:p>
      <w:pPr>
        <w:spacing w:after="0" w:line="76"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In 2012, the FDA established a Breakthrough Therapy designation which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intensive guidance on an efficient drug development program, beginning as early as Phase 1, organizational commitment involving senior managers; and eligibility for rolling review and priority review.</w:t>
      </w:r>
    </w:p>
    <w:p>
      <w:pPr>
        <w:spacing w:after="0" w:line="16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Breakthrough Therapy designation does not change the standards for product approval. There can be no assurance that we will receive Breakthrough Therapy designation for any product candidate or any particular indication. Additionally, other treatments from competing companies may obtain the designations and impact our ability to develop and commercialize our product candidates, which may adversely impact our business, financial condition or results of operation.</w:t>
      </w:r>
    </w:p>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may also seek Fast Track designation. If a drug or biologic candidate is intended for the treatment of a serious or life-threatening condition or disease and the drug demonstrates the potential to address unmet medical needs for the condition, the sponsor may apply for Fast Track designation. Under the Fast Track program, the sponsor of a new drug or biologic candidate may request that the FDA designate the candidate for a specific indication as a Fast Track drug or biologic concurrent with, or after, the submission of the IND for the candidate. The FDA must determine if the drug or biologic candidate qualifies for Fast Track designation within 60 calendar days of receipt of the sponsor’s request. Even if we do apply for and receive Fast Track designation, we may not experience a faster development, review or approval process compared to conventional FDA procedures. The FDA may rescind Fast Track designation if it believes that the designation is no longer supported by data from our clinical development program.</w:t>
      </w:r>
    </w:p>
    <w:p>
      <w:pPr>
        <w:spacing w:after="0" w:line="16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We may also seek Accelerated Approval under the FDA’s Accelerated Approval programs. The FDA may approve a drug or biologic for a serious or life-threatening disease or condition that generally provides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meaningful advantages over available treatments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drugs granted Accelerated Approval, post-marketing confirmatory trials have been required to describe the anticipated effect on irreversible morbidity or mortality or other clinical benefit. These confirmatory trials must be completed with due diligence. Moreover, the FDA may withdraw approval of our product candidate or indication approved under the Accelerated Approval pathway if, for example:</w:t>
      </w:r>
    </w:p>
    <w:p>
      <w:pPr>
        <w:spacing w:after="0" w:line="70" w:lineRule="exact"/>
        <w:rPr>
          <w:sz w:val="20"/>
          <w:szCs w:val="20"/>
          <w:color w:val="auto"/>
        </w:rPr>
      </w:pPr>
    </w:p>
    <w:p>
      <w:pPr>
        <w:ind w:left="1080" w:right="8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trial or trials required to verify the predicted clinical benefit of our product candidate fails to verify such benefit or does not demonstrate sufficient clinical benefit to justify the risks associated with the drug;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evidence demonstrates that our product candidate is not shown to be safe or effective under the conditions of 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fail to conduct any required post approval trial of our product candidate with due diligence;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relevant product candidate.</w:t>
      </w:r>
    </w:p>
    <w:p>
      <w:pPr>
        <w:spacing w:after="0" w:line="22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Europe, the EMA has implemented the so-called “PRIME” (PRIority MEdicines) status in order support the development and accelerate the approval of complex innovative medicinal products addressing an unmet medical need. The PRIME status enables early dialogue with the relevant EMA scientific committees and, possibly, some payers; and thus reinforces the EMA’s scientific and regulatory support. It also opens accelerated assessment of the marketing authorization application (150 days instead of 210 days). The PRIME status, which is decided by the EMA, is reserved to medicines that may benefit from accelerated assessment, i.e. medicines of major interest from a public health perspective, in particular from a therapeutic innovation perspective and that target unmet medical need.</w:t>
      </w:r>
    </w:p>
    <w:p>
      <w:pPr>
        <w:spacing w:after="0" w:line="300"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4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FDA and other government agencies on which our operations may rely are subject to the political process, which is inherently fluid and unpredictable.</w:t>
      </w:r>
    </w:p>
    <w:p>
      <w:pPr>
        <w:spacing w:after="0" w:line="18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Further, future government shutdowns could impact our ability to access the public markets and obtain necessary capital in order to properly capitalize and continue our operations due to insufficient funding of the SEC and other government agencies or due to a government shutdown that affects the SEC.</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Immatics OpCo and Immatics US, Inc. are subject to taxes and may have increased tax reporting and liabilities as a result of tax authority assessments.</w:t>
      </w:r>
    </w:p>
    <w:p>
      <w:pPr>
        <w:spacing w:after="0" w:line="6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Immatics OpCo and Immatics US, Inc. (“Immatics US”) have not been subject to detailed income tax audits in the past. Both companies’ tax returns since 2015 may therefore be subject to change based on subsequent tax audits. This could lead to potential court procedures and increased tax liabilities in the future.</w:t>
      </w:r>
    </w:p>
    <w:p>
      <w:pPr>
        <w:spacing w:after="0" w:line="292"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which could, if not remediated, result in material misstatements in our financial statements.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Prior to the Business Combination, we were a private company and had limited accounting and financial reporting personnel and other resources with which to address our internal controls and procedures. In connection with the audit of our consolidated financial statements for the year ended December 31, 2019, our management identified material weaknesses in our internal controls related to (i) the sufficiency of resources with an appropriate level of technical accounting and SEC reporting experience, (ii) clearly defined control processes, roles and segregation of duties within our finance and accounting functions and (iii) the design and operating effectiveness of information technology general controls for information systems that are significant to the preparation of our consolidated financial statements.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If our remedial measures are insufficient to address the material weaknesses, or if additional material weakness or significant deficiencies in our internal control are discovered or occur in the future, our financial statements may contain material misstatements.</w:t>
      </w:r>
    </w:p>
    <w:p>
      <w:pPr>
        <w:spacing w:after="0" w:line="29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Actual or anticipated changes to the laws and regulations governing the health care system may have a negative impact on cost and access to health insurance coverage and reimbursement of healthcare items and services.</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United States and several foreign jurisdictions are considering, or have already enacted, a number of legislative and regulatory proposals to change the healthcare system in ways that could affect our ability to sell any of our future approved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including the Patient Protection and Affordable Care Act (“ACA”), which became law in 2010. While it is difficult to assess the impact of the ACA in isolation, either in general or on our business specifically, it is widely thought that the ACA increases downward pressure on pharmaceutical reimbursement, which could negatively affect market acceptance of, and the price we may charge for, any products we develop that receive regulatory approval. Further, the United States, European and foreign governments regularly consider reform measures that affect healthcare coverage and costs. Such reforms may include changes to the coverage and reimbursement of healthcare services and products. For example, there have been recent judicial and Congressional challenges to the ACA, which could have an impact on coverage and reimbursement for healthcare services covered by plans authorized by the ACA, and we expect there will be additional challenges and amendments to the ACA in the future. In September 2017, members of the United States Congress unsuccessfully introduced legislation with the announced intention to repeal major provisions of the ACA. Executive or legislative branch attempts to repeal, reform or to repeal and replace the ACA will likely continue. In addition, various other healthcare reform proposals have also emerged at the federal and state level. In addition, recent changes to United States tax laws could negatively impact the ACA.</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We cannot predict what healthcare initiatives, if any, will be implemented in the U.S. at the federal or state level or in European or other jurisdictions, however, government and other regulatory oversight and future regulatory and government interference with the healthcare systems could adversely impact our business and results of operations.</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expect to experience pricing pressures in connection with the sale of any products that we develop, due to the trend toward managed healthcare, the increasing influence of health maintenance organizations and additional legislative proposals.</w:t>
      </w:r>
    </w:p>
    <w:p>
      <w:pPr>
        <w:spacing w:after="0" w:line="278"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European Union (“EU”) member states and other foreign jurisdictions, including Switzerland,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9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In the European Union, regulations regarding data protection were revised in 2016 by Regulation (EU) 2016/679 to implement more strict regulations. There are numerous other laws and legislative and regulatory initiatives at the federal and state levels addressing privacy and security concerns. In the U.S., some state privacy laws apply more broadly than the Health Insurance Portability and Accountability Act (“HIPAA”) and associated regulations. For example, California recently enacted legislation – the California Consumer Privacy Act (“CCPA”) –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certain information collected as part of clinical trials as specified in the law, it may regulate or impact our processing of personal information depending on the context.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insurance policies are expensive and protect only from some business risks, which leaves us exposed to significant uninsured liabilities.</w:t>
      </w:r>
    </w:p>
    <w:p>
      <w:pPr>
        <w:spacing w:after="0" w:line="14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do not carry insurance for all categories of risks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If we obtain marketing approval for any product candidates that we or our collaborators may develop, we intend to acquire insurance coverage to include the sale of commercial products, but we may be unable to obtain such insurance on commercially reasonable terms or in adequate amounts. Required coverage limits for such insurances are difficult to predict and may not be sufficient. If potential losses exceed our insurance coverage, our financial condition would be adversely affected. In the event of contamination or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develop. Additionally, operating as a public company will make it more expensive for us to obtain director and officer liability insurance. As a result, it may be more difficult to attract and retain qualified individuals to serve on our supervisory board (the “Supervisory Board”), the board committees or our management board (the “Management Board”).</w:t>
      </w:r>
    </w:p>
    <w:p>
      <w:pPr>
        <w:spacing w:after="0" w:line="2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62"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the United States and other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76"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Since 2010, when the United States enacted the Affordable Care Act (“ACA”), there have been a number of legislative and regulatory changes to the health care system in U.S. and also certain foreign jurisdictions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some states have enacted transparency laws requiring manufacturers to report information on drug prices and price increases. On December 14, 2018, the United States District Court for the Northern District of Texas struck down the ACA, deeming it unconstitutional given that Congress repealed the individual mandate in 2017. In December 2019, the U.S. Court of Appeals for the Fifth Circuit affirmed the district court’s decision that the individual mandate is unconstitutional, but remanded the case to the district court to reconsider the severability question. It is unclear how the ultimate decision in this case, which is now pending before the U.S. Supreme Court, and other efforts to repeal and replace the ACA will impact the ACA and our business.</w:t>
      </w:r>
    </w:p>
    <w:p>
      <w:pPr>
        <w:spacing w:after="0" w:line="16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Additional federal and state healthcare reform measures in the U.S. or foreign countries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foreign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addition, there have been a number of other policy, legislative and regulatory proposals aimed at changing the pharmaceutical industry. For instance, on May 11, 2018, the current administration presented its “Blueprint” to lower drug prices and reduce out of pocket costs of drugs, as well as additional proposals to increase drug manufacturer competition, increase the negotiating power of certain federal healthcare programs, and incentivize manufacturers to lower the list price of their products. Although some proposals related to the administration’s Blueprint may require additional authorization to become effective, may ultimately be withdrawn, or may face challenges in the courts, the U.S. Congress and the administration have indicated that they will continue to seek new legislative and administrative measures to control drug costs, including by addressing the role of pharmacy benefit managers in the supply chain.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the United States or other major drug markets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29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use of Immatics Opco and Immatics US’s net operating loss carryforwards and research tax credits may be limited as a result of the Business Combination.</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Both Immatics OpCo and Immatics US incurred significant losses in the past and therefore are entitled to use net operating loss carryforwards.</w:t>
      </w:r>
    </w:p>
    <w:p>
      <w:pPr>
        <w:spacing w:after="0" w:line="23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of December 31, 2019, we had German federal net operating loss carryforwards of at least €155 million. These net operating loss carryforwards will not expire. However, the Business Combination resulted in an ownership change in accordance with § 8c (1) KStG (German corporation tax code). Therefore, these net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color w:val="auto"/>
        </w:rPr>
        <w:t>operating loss carryforwards can be preserved only to the extent that our fair value exceeds the equity in the tax books plus the net operating loss carryforwards. Therefore, our net operating loss carryforwards could be reduced or eliminated as part of the transaction.</w:t>
      </w:r>
    </w:p>
    <w:p>
      <w:pPr>
        <w:spacing w:after="0" w:line="14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As of December 31, 2019, Immatics US had U.S. federal net operating loss carryforwards of at least $65 million. Immatics US’s net operating loss carryforwards arising in taxable years ending on or prior to December 31, 2017 will begin expiring in 2027 if Immatics US has not used them prior to that time. Net operating loss carryforwards arising in taxable years ending after December 31, 2017 are no longer subject to expiration under the U.S. Tax Code. Under the Coronavirus Aid, Relief, and Economic Security Act (the “CARES Act”), net operating losses arising in tax years beginning after December 31, 2017 and before January 1, 2021 may be carried back to each of the five tax years preceding the tax year of such loss. Due to the cumulative losses of Immatics US through December 31, 2019, Immatics US does not anticipate that such provision of the CARES Act will be relevant to it. Additionally, Immatics US’s ability to use any net operating loss and credit carryforwards to offset taxable income or tax, respectively, in the future will be limited under Sections 382 and 383 of the U.S. Internal Revenue Code of 1986, as amended (the “U.S. Tax Code”) respectively, if Immatics US has a cumulative change in ownership of more than 50% within a three-year period.</w:t>
      </w:r>
    </w:p>
    <w:p>
      <w:pPr>
        <w:spacing w:after="0" w:line="18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have performed an analysis under Section 382 of the U.S. Tax Code as of the expected closing of the Business Combination. Per the analysis, the Business Combination may have triggered such an ownership change. As a result, the federal carryforwards associated with the net operating losses and research tax credits may be limited and more likely to expire unutilized. Based on our analysis, the annual limitation under Section 382 of the U.S. Tax Code is expected to be approximately $2.1 million. In addition to this limitation, Section 382 of the U.S. Tax Code provides that a corporation with a net unrealized built-in gain immediately before an ownership change may increase its limitation by the amount of recognized built-in gain recognized during a recognition period, which is generally the five-year period immediately following an ownership change. Based on our analysis, we believe that Immatics US has a net unrealized built-in gain at the time of the Business Combination; as a result, the limitation under Section 382 of the U.S. Tax Code may be increased during the recognition period.</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which we are subject to income tax could have an adverse impact on our results of operations and financial condition.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Ordinary Shares and the Offering</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are organized and existing under the laws of the Netherlands, and, as such, the rights of our shareholders and the civil liability of our directors and executive officers are governed in certain respects by the laws of the Netherlands.</w:t>
      </w:r>
    </w:p>
    <w:p>
      <w:pPr>
        <w:spacing w:after="0" w:line="6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are organized and existing under the laws of the Netherlands, and, as such, the rights of our shareholders and the civil liability of our directors and executive officers are governed in certain respects by the laws of the Netherlands. The ability of our shareholders in certain countries other than the Netherlands to bring an action against us, our directors and executive officers may be limited under applicable law. In addition, substantially all of our assets are located outside the United States. As a result, it may not be possible for shareholders to effect service of process within the United States upon us or our directors and executive officers or to enforce judgments against us or them in U.S. courts, including judgments predicated upon the civil liability provisions of the federal securities laws of the United States. In addition, it is not clear whether a Dutch court would impose civil liability on us or any of our directors and executive officers in an original action based solely upon the federal securities laws of the United States brought in a court of competent jurisdiction in the Netherlands.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As of the date of this prospectus, the United States and the Netherlands do not have a treaty providing for the reciprocal recognition and enforcement of judgments, other than arbitration awards, in civil and commercial matters. Accordingly, a judgment rendered by a court in the United States, whether or not predicated solely upon U.S. securities laws, would not automatically be recognized and enforced by the competent Dutch courts. However, if a person has obtained a final and conclusive judgment for the payment of money rendered by a court in the United States that is enforceable in the United States and files a claim with the competent Dutch court, the Dutch court will generally give binding effect to such foreign judgment insofar as it finds that (i) the jurisdiction of the U.S. court has been based on a ground of jurisdiction that is generally acceptable according to international standards,</w:t>
      </w:r>
    </w:p>
    <w:p>
      <w:pPr>
        <w:spacing w:after="0" w:line="4" w:lineRule="exact"/>
        <w:rPr>
          <w:sz w:val="20"/>
          <w:szCs w:val="20"/>
          <w:color w:val="auto"/>
        </w:rPr>
      </w:pPr>
    </w:p>
    <w:p>
      <w:pPr>
        <w:jc w:val="both"/>
        <w:ind w:left="120" w:right="40" w:hanging="4"/>
        <w:spacing w:after="0" w:line="271" w:lineRule="auto"/>
        <w:tabs>
          <w:tab w:leader="none" w:pos="38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judgment by the U.S. court was rendered in legal proceedings that comply with the Dutch standards of proper administration of justice including sufficient safeguards (</w:t>
      </w:r>
      <w:r>
        <w:rPr>
          <w:rFonts w:ascii="Arial" w:cs="Arial" w:eastAsia="Arial" w:hAnsi="Arial"/>
          <w:sz w:val="17"/>
          <w:szCs w:val="17"/>
          <w:i w:val="1"/>
          <w:iCs w:val="1"/>
          <w:color w:val="auto"/>
        </w:rPr>
        <w:t>behoorlijke rechtspleging</w:t>
      </w:r>
      <w:r>
        <w:rPr>
          <w:rFonts w:ascii="Arial" w:cs="Arial" w:eastAsia="Arial" w:hAnsi="Arial"/>
          <w:sz w:val="17"/>
          <w:szCs w:val="17"/>
          <w:color w:val="auto"/>
        </w:rPr>
        <w:t>) and (iii) the judgment by the U.S.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acknowledgment in the Netherlands and except to the extent that the foreign judgment contravenes Dutch public policy (</w:t>
      </w:r>
      <w:r>
        <w:rPr>
          <w:rFonts w:ascii="Arial" w:cs="Arial" w:eastAsia="Arial" w:hAnsi="Arial"/>
          <w:sz w:val="17"/>
          <w:szCs w:val="17"/>
          <w:i w:val="1"/>
          <w:iCs w:val="1"/>
          <w:color w:val="auto"/>
        </w:rPr>
        <w:t>openbare orde</w:t>
      </w:r>
      <w:r>
        <w:rPr>
          <w:rFonts w:ascii="Arial" w:cs="Arial" w:eastAsia="Arial" w:hAnsi="Arial"/>
          <w:sz w:val="17"/>
          <w:szCs w:val="17"/>
          <w:color w:val="auto"/>
        </w:rPr>
        <w:t>).</w:t>
      </w:r>
    </w:p>
    <w:p>
      <w:pPr>
        <w:spacing w:after="0" w:line="178"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Based on the lack of a treaty as described above, U.S. investors may not be able to enforce against the company or our directors, representatives or certain experts named herein who are residents of the Netherlands or countries other than the United States any judgments obtained in U.S. courts in civil and commercial matters, including judgments under the U.S. federal securities laws.</w:t>
      </w:r>
    </w:p>
    <w:p>
      <w:pPr>
        <w:spacing w:after="0" w:line="184"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Under our articles of association, and certain other contractual arrangements between us and our directors, we will indemnify and hold our directors harmless against all claims and suits brought against them, subject to limited exceptions. There is doubt, however, as to whether U.S. courts would enforce such indemnity provisions in an action brought against one of our directors in the United States under U.S. securities laws.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anticipate paying dividends on our ordinary shares.</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articles of association prescribe that any profits in any financial year will be distributed first to holders of financing preferred shares, if outstanding. Any remaining profits may be reserved by the Management Board subject to the approval of the Supervisory Board or, after July 1, 2021, the Board. Any profits remaining thereafter and our reserves may be distributed as dividends to the holders of our ordinary shares, subject to the appropriate record date. The general meeting will be authorized to declare distributions on the proposal of the Management Board, which proposal will require the prior approval of the Supervisory Board or, after July 1, 2021, the Board. We will have power to make distributions to shareholders only to the extent that our equity exceeds the aggregate amount of the issued share capital and the reserves which must be maintained pursuant to Dutch law or by our articles of association. We may not make any distribution of profits on shares held by the company as treasury shares and such treasury shares will not be taken into account when determining the profit entitlement of our shareholders. The Management Board or, after July 1, 2021, the Board, determines whether and how much of the profit shown in the adopted annual accounts it will reserve and the manner and date of any dividend. All calculations to determine the amounts available for dividends will be based on company-only annual accounts, which may be different from our consolidated financial statements, such as those included in this prospectus. In addition, the Management Board is permitted, subject to Supervisory Board approval and subject to certain requirements, to declare interim dividends without the approval of the shareholders. We may reclaim any distributions, whether interim or not interim, made in contravention of certain restrictions of Dutch law from shareholders that knew or should have known that such distribution was not permissible. In addition, on the basis of Dutch case law, if after a distribution we are not able to pay our due and collectable debts, then our shareholders or directors who at the time of the distribution knew or reasonably should have foreseen that result may be liable to our creditors. We have never declared or paid any cash dividends and have no plan to declare or pay any dividends in the foreseeable future on our ordinary shares. We currently intend to retain any earnings for future operations and expansion.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Since we are a holding company, our ability to pay dividends will be dependent upon the financial condition, liquidity and results of operations of, and our receipt of dividends, loans or other funds from, our subsidiaries. Our subsidiaries are separate and distinct legal entities and have no obligation to make funds available to us. In addition, there are various statutory, regulatory and contractual limitations and business considerations on the extent, if any, to which our subsidiaries may pay dividends, make loans or otherwise provide funds to us.</w:t>
      </w:r>
    </w:p>
    <w:p>
      <w:pPr>
        <w:spacing w:after="0" w:line="279" w:lineRule="exact"/>
        <w:rPr>
          <w:sz w:val="20"/>
          <w:szCs w:val="20"/>
          <w:color w:val="auto"/>
        </w:rPr>
      </w:pPr>
    </w:p>
    <w:p>
      <w:pPr>
        <w:ind w:left="120" w:right="620"/>
        <w:spacing w:after="0" w:line="263" w:lineRule="auto"/>
        <w:rPr>
          <w:sz w:val="20"/>
          <w:szCs w:val="20"/>
          <w:color w:val="auto"/>
        </w:rPr>
      </w:pPr>
      <w:r>
        <w:rPr>
          <w:rFonts w:ascii="Arial" w:cs="Arial" w:eastAsia="Arial" w:hAnsi="Arial"/>
          <w:sz w:val="18"/>
          <w:szCs w:val="18"/>
          <w:b w:val="1"/>
          <w:bCs w:val="1"/>
          <w:i w:val="1"/>
          <w:iCs w:val="1"/>
          <w:color w:val="auto"/>
        </w:rPr>
        <w:t>Each of ARYA Sponsor and certain of Immatics OpCo’s former equityholders own a significant portion of our ordinary shares and will have representation on the Supervisory Board, and after July 1, 2021, the Board. The ARYA Sponsor and such former Immatics OpCo’s current equityholders may have interests that differ from those of other shareholders.</w:t>
      </w:r>
    </w:p>
    <w:p>
      <w:pPr>
        <w:spacing w:after="0" w:line="76"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As of the date of this prospectus, approximately 9.7% of our ordinary shares are owned by the pre-Business Combination independent directors of ARYA (but not including a certain affiliate (the “Sponsor PIPE Entity”) of ARYA Sponsor), approximately 55.2% of our ordinary shares are owned by certain former Immatics OpCo equityholders and approximately 16.4% of our ordinary shares are owned by the investors in the PIPE Financing (including certain Immatics OpCo equityholders and the Sponsor PIPE Entity). In addition, two of our director nominees were designated by the ARYA Sponsor. As a result, the ARYA Sponsor and certain former Immatics OpCo equityholders may be able to significantly influence the outcome of matters submitted for director action, subject to obligation of the Management Board and Supervisory Board or, after July 1, 2021, the Board to act in the interest of all of our stakeholders, and for shareholder action, including the designation and appointment of the Management Board and Supervisory Board and, after July 1, 2021, the Board (and committees thereof) and approval of significant corporate transactions, including business combinations, consolidations and mergers. The influence of ARYA Sponsor and certain former Immatics OpCo equityholders over our management could have the effect of delaying or preventing a change in control or otherwise discouraging a potential acquirer from attempting to obtain control of our company, which could cause the market price of our ordinary shares to decline or prevent our shareholders from realizing a premium over the market price for our ordinary shares. Additionally, ARYA Sponsor is controlled by Perceptive Advisors LLC and its affiliates (“Perceptive”), which is in the business of making investments in companies and which may from time to time acquire and hold interests in businesses that compete directly or indirectly with us or that supply us with goods and services. Perceptive may also pursue acquisition opportunities that may be complementary to (or competitive with) our business, and as a result those acquisition opportunities may not be available to us. Prospective investors in our ordinary shares should consider that the interests of ARYA Sponsor and certain former Immatics OpCo equityholders may differ from their interests in material respects.</w:t>
      </w:r>
    </w:p>
    <w:p>
      <w:pPr>
        <w:spacing w:after="0" w:line="284"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Provisions of our articles of association or Dutch corporate law might deter acquisition bids for us that our shareholders might consider to be favorable and prevent or frustrate any attempt to replace or remove the Supervisory Board or Management Board at the time of such acquisition bid.</w:t>
      </w:r>
    </w:p>
    <w:p>
      <w:pPr>
        <w:spacing w:after="0" w:line="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Certain provisions of our articles of association may make it more difficult for a third party to acquire control of the Supervisory Board, Management Board or, after July 1, 2021, the Board or effect a change in the composition of such boards. These provisions include:</w:t>
      </w:r>
    </w:p>
    <w:p>
      <w:pPr>
        <w:spacing w:after="0" w:line="76" w:lineRule="exact"/>
        <w:rPr>
          <w:sz w:val="20"/>
          <w:szCs w:val="20"/>
          <w:color w:val="auto"/>
        </w:rPr>
      </w:pPr>
    </w:p>
    <w:p>
      <w:pPr>
        <w:ind w:left="1080" w:right="60" w:hanging="424"/>
        <w:spacing w:after="0" w:line="275"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provision that our directors can only be removed (or a binding nomination by the Supervisory Board or, after July 1, 2021, the Board or shareholders representing, individually or jointly, 10% of our issued share capital to appoint directors can only be set aside) by the shareholders by a majority of at least two thirds of the votes cast during a general meeting, provided such votes represent more than half of the issued share capital (unless the removal was proposed by the Supervisory Board or, after July 1, 2021, the Board, in which case a majority of votes cast representing more than half of the issued share capital is required);</w:t>
      </w:r>
    </w:p>
    <w:p>
      <w:pPr>
        <w:spacing w:after="0" w:line="81"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pursuant to our articles of association, the Management Board and, after July 1, 2021, the Board, is irrevocably authorized for a period of five years from the date of the Business Combination, to issue ordinary shares which could enable us to dilute the holding of an acquirer by issuing ordinary shares to other parties. Issuances of ordinary shares may make it more difficult for a shareholder or potential acquirer to obtain control over us;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requirement that certain matters, including an amendment of our articles of association, may only be brought to the shareholders for a vote upon a proposal by the Management Board, which proposal requires the prior approval of the Supervisory Board or, after July 1, 2021, upon a proposal by the Board; and</w:t>
      </w:r>
    </w:p>
    <w:p>
      <w:pPr>
        <w:spacing w:after="0" w:line="89" w:lineRule="exact"/>
        <w:rPr>
          <w:rFonts w:ascii="Arial" w:cs="Arial" w:eastAsia="Arial" w:hAnsi="Arial"/>
          <w:sz w:val="18"/>
          <w:szCs w:val="18"/>
          <w:color w:val="auto"/>
        </w:rPr>
      </w:pPr>
    </w:p>
    <w:p>
      <w:pPr>
        <w:ind w:left="1080" w:right="700" w:hanging="424"/>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provision implementing a staggered board, pursuant to which only one class of Supervisory Directors, or after July 1, 2021, our Directors, will be elected at each general meeting, with the other classes continuing for the remainder of their respective terms.</w:t>
      </w:r>
    </w:p>
    <w:p>
      <w:pPr>
        <w:spacing w:after="0" w:line="124"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Such provisions could discourage a takeover attempt and impair the ability of shareholders to benefit from a change in control and realize any potential change of control premium. This may adversely affect the market price of our ordinary shares. See the section titled “</w:t>
      </w:r>
      <w:r>
        <w:rPr>
          <w:rFonts w:ascii="Arial" w:cs="Arial" w:eastAsia="Arial" w:hAnsi="Arial"/>
          <w:sz w:val="16"/>
          <w:szCs w:val="16"/>
          <w:i w:val="1"/>
          <w:iCs w:val="1"/>
          <w:color w:val="auto"/>
        </w:rPr>
        <w:t>Description of Securities</w:t>
      </w:r>
      <w:r>
        <w:rPr>
          <w:rFonts w:ascii="Arial" w:cs="Arial" w:eastAsia="Arial" w:hAnsi="Arial"/>
          <w:sz w:val="16"/>
          <w:szCs w:val="16"/>
          <w:color w:val="auto"/>
        </w:rPr>
        <w:t>”.</w:t>
      </w:r>
    </w:p>
    <w:p>
      <w:pPr>
        <w:spacing w:after="0" w:line="23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is likely to negatively affect our business and the market price of our ordinary shares.</w:t>
      </w:r>
    </w:p>
    <w:p>
      <w:pPr>
        <w:spacing w:after="0" w:line="76"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prevent fraud. Any failure to implement required new or improved controls, or difficulties encountered in our implementation could cause us to fail to meet our reporting obligations. In addition, any testing conducted by us, or any testing conducted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is likely to negatively affect our business and the market price of our ordinary shares.</w:t>
      </w:r>
    </w:p>
    <w:p>
      <w:pPr>
        <w:spacing w:after="0" w:line="16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404(b) of the Sarbanes-Oxley Act of 2002 (the “Sarbanes-Oxley Act”).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market price and trading volume of our ordinary shares may be volatile and could decline significantly following the Business Combination.</w:t>
      </w:r>
    </w:p>
    <w:p>
      <w:pPr>
        <w:spacing w:after="0" w:line="140"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Stock markets, including Nasdaq, on which our ordinary shares and public warrants are listed, have from time to time experienced significant price and volume fluctuations. Even if an active, liquid and orderly trading market develops and is sustained for our ordinary shares, the market price of our ordinary shares may be volatile and could decline significantly. In addition, the trading volume in our ordinary shares and public warrants may fluctuate and cause significant price variations to occur. Generally, securities of biotechnology companies tend to be volatile and experience significant price and volume fluctuations. If the market price of our ordinary shares declines significantly, you may be unable to resell your securities at or above the price you purchased them for. We cannot assure you that the market price of our ordinary shares will not fluctuate widely or decline significantly in the future in response to a number of factors, including, among others, the following:</w:t>
      </w:r>
    </w:p>
    <w:p>
      <w:pPr>
        <w:spacing w:after="0" w:line="83"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prospectus;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differences in our estimates, or in the estimates of analysts, for our revenues, results of operations, liquidity or financial condition;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issuances, sales or resales, or anticipated issuances, sales or resales, of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publication of research reports about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performance and market valuations of other similar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broad disruptions in the financial markets, including sudden disruptions in the credit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material and adverse impact of the COVID-19 pandemic on the markets and the broader global economy;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spacing w:after="0" w:line="29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publish inaccurate or unfavorable research or cease publishing research about us, our share price and trading volume could decline significantly.</w:t>
      </w:r>
    </w:p>
    <w:p>
      <w:pPr>
        <w:spacing w:after="0" w:line="6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market for our ordinary shares depends in part on the research and reports that securities or industry analysts publish about us or our business. If one or more of the analysts who covers us downgrades its opinions about our ordinary shares, publishes inaccurate or unfavorable research about us, or ceases publishing about us regularly, demand for our ordinary shares could decrease, which might cause our share price and trading volume to decline significantly.</w:t>
      </w:r>
    </w:p>
    <w:p>
      <w:pPr>
        <w:spacing w:after="0" w:line="29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Future issuances of financing preferred shares or other equity securities may adversely affect us, including the market price of our ordinary shares, and may be dilutive to existing shareholders.</w:t>
      </w:r>
    </w:p>
    <w:p>
      <w:pPr>
        <w:spacing w:after="0" w:line="62"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In the future, we may issue financing preferred shares or other equity ranking senior to our ordinary shares. Financing preferred shares have, and those other securities will generally have, priority upon liquidation. Such securities also may be governed by an instrument containing covenants restricting our operating flexibility. Additionally, any convertible or exchangeable securities that we issue in the future may have rights, preferences and privileges more favorable than those of our ordinary shares. Because our decision to issue equity in the future will depend on market conditions and other factors beyond our control, we cannot predict or estimate the amount, timing, nature or success of our future capital raising efforts. As a result, future capital raising efforts may reduce the market price of our ordinary shares and be dilutive to existing shareholders.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shareholders may not have any preemptive rights in respect of future issuances of our ordinary shares.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the event of an increase in our share capital by way of an issue of our ordinary shares, holders of our ordinary shares are generally entitled under Dutch law to full preemptive rights, unless these rights are limited or excluded either by a resolution of the general meeting or by a resolution of the Management Board, subject to the prior approval of the Supervisory Board or, after July 1, 2021, the Board (if authorized by the general meeting for this purpose), or where shares are issued to our employees or a group company (i.e., certain affiliates, subsidiaries or related companies) or paid up by means of a non-cash contribution, or in case of an exercise of a previously acquired right to subscribe for shares. The same preemptive rights apply when rights to subscribe for shares are granted.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Under our articles of association, the preemptive rights in respect of newly issued ordinary shares may be restricted or excluded by a resolution of the general meeting, which resolution requires a two-thirds majority of the votes cast if less than half of the issued share capital is present or represented at the meeting. The general meeting may authorize the Management Board, subject to the prior approval of the Supervisory Board or, after July 1, 2021, the Board to limit or exclude the preemptive rights in respect of newly issued ordinary shares. Such authorization for the Management Board, subject to the prior approval of the Supervisory Board or, after July 1, 2021, the Board can be granted and extended, in each case for a period not exceeding five years.</w:t>
      </w:r>
    </w:p>
    <w:p>
      <w:pPr>
        <w:spacing w:after="0" w:line="192"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Pursuant to our resolution of the general meeting dated June 30, 2020, the Management Board is irrevocably authorized for a period of five years from the date of the Business Combination to limit or exclude preemptive rights on our ordinary shares up to 100% of the number of our ordinary shares in our authorized share capital (from time to time). On July 1, 2021, the powers of the Management Board will vest in the Board.</w:t>
      </w:r>
    </w:p>
    <w:p>
      <w:pPr>
        <w:spacing w:after="0" w:line="16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Accordingly, holders of our ordinary shares may not have any preemptive rights in connection with, and may be diluted by, an issue of new ordinary shares and it may be more difficult for a shareholder to obtain control over the general meeting. See the sections titled “</w:t>
      </w:r>
      <w:r>
        <w:rPr>
          <w:rFonts w:ascii="Arial" w:cs="Arial" w:eastAsia="Arial" w:hAnsi="Arial"/>
          <w:sz w:val="18"/>
          <w:szCs w:val="18"/>
          <w:i w:val="1"/>
          <w:iCs w:val="1"/>
          <w:color w:val="auto"/>
        </w:rPr>
        <w:t>Description of Securities —</w:t>
      </w:r>
      <w:r>
        <w:rPr>
          <w:rFonts w:ascii="Arial" w:cs="Arial" w:eastAsia="Arial" w:hAnsi="Arial"/>
          <w:sz w:val="18"/>
          <w:szCs w:val="18"/>
          <w:color w:val="auto"/>
        </w:rPr>
        <w:t xml:space="preserve"> </w:t>
      </w:r>
      <w:r>
        <w:rPr>
          <w:rFonts w:ascii="Arial" w:cs="Arial" w:eastAsia="Arial" w:hAnsi="Arial"/>
          <w:sz w:val="18"/>
          <w:szCs w:val="18"/>
          <w:i w:val="1"/>
          <w:iCs w:val="1"/>
          <w:color w:val="auto"/>
        </w:rPr>
        <w:t>Share Capital</w:t>
      </w:r>
      <w:r>
        <w:rPr>
          <w:rFonts w:ascii="Arial" w:cs="Arial" w:eastAsia="Arial" w:hAnsi="Arial"/>
          <w:sz w:val="18"/>
          <w:szCs w:val="18"/>
          <w:color w:val="auto"/>
        </w:rPr>
        <w:t>”, “</w:t>
      </w:r>
      <w:r>
        <w:rPr>
          <w:rFonts w:ascii="Arial" w:cs="Arial" w:eastAsia="Arial" w:hAnsi="Arial"/>
          <w:sz w:val="18"/>
          <w:szCs w:val="18"/>
          <w:i w:val="1"/>
          <w:iCs w:val="1"/>
          <w:color w:val="auto"/>
        </w:rPr>
        <w:t xml:space="preserve"> — Issuance of Ordinary Shares</w:t>
      </w:r>
      <w:r>
        <w:rPr>
          <w:rFonts w:ascii="Arial" w:cs="Arial" w:eastAsia="Arial" w:hAnsi="Arial"/>
          <w:sz w:val="18"/>
          <w:szCs w:val="18"/>
          <w:color w:val="auto"/>
        </w:rPr>
        <w:t>” and “</w:t>
      </w:r>
      <w:r>
        <w:rPr>
          <w:rFonts w:ascii="Arial" w:cs="Arial" w:eastAsia="Arial" w:hAnsi="Arial"/>
          <w:sz w:val="18"/>
          <w:szCs w:val="18"/>
          <w:i w:val="1"/>
          <w:iCs w:val="1"/>
          <w:color w:val="auto"/>
        </w:rPr>
        <w:t xml:space="preserve"> — Preemptive Rights</w:t>
      </w:r>
      <w:r>
        <w:rPr>
          <w:rFonts w:ascii="Arial" w:cs="Arial" w:eastAsia="Arial" w:hAnsi="Arial"/>
          <w:sz w:val="18"/>
          <w:szCs w:val="18"/>
          <w:color w:val="auto"/>
        </w:rPr>
        <w:t>”. Certain of our ordinary shareholders outside the Netherlands, in</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 U.S. ordinary shareholders, may not be allowed to exercise preemptive rights to which they are entitled, if any, unless a registration statement under the Securities Act is declared effective with respect to ordinary shares issuable upon exercise of such rights or an exemption from the registration requirements is available.</w:t>
      </w:r>
    </w:p>
    <w:p>
      <w:pPr>
        <w:spacing w:after="0" w:line="300"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Preemptive rights do not exist with respect to the issue of financing preferred shares and holder of financing preferred shares have no preemptive right to acquire newly issued ordinary shares. We are not obligated to and do not comply with all the best practice provisions of the DCGC. This could adversely affect your rights as a shareholder.</w:t>
      </w:r>
    </w:p>
    <w:p>
      <w:pPr>
        <w:spacing w:after="0" w:line="76"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As we have our registered office in the Netherlands and our ordinary shares are listed on a third (non-EU) country market equivalent to a regulated market (Nasdaq), we are subject to the Dutch Corporate Governance Code, as of December 8, 2016 and as amended from time to time (the “DCGC”). The DCGC contains both principles and best practice provisions for the Management Board, the Supervisory Board or, after July 1, 2021, the Board, shareholders and the general meeting, financial reporting, auditors, disclosure compliance and enforcement standards.</w:t>
      </w:r>
    </w:p>
    <w:p>
      <w:pPr>
        <w:spacing w:after="0" w:line="17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DCGC is based on a “comply or explain” principle. Accordingly, we are required to disclose in our management report publicly filed in the Netherlands, whether or not we are complying with the various provisions of the DCGC. If we do not comply with one or more of those provisions (e.g., because of a conflicting Nasdaq requirement or U.S. market practice), we are required to explain the reasons for such non-compliance.</w:t>
      </w:r>
    </w:p>
    <w:p>
      <w:pPr>
        <w:spacing w:after="0" w:line="165"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We acknowledge the importance of good corporate governance. However, we do not comply with all the provisions of the DCGC, to a large extent because such provisions conflict with or are inconsistent with the corporate governance rules of Nasdaq and U.S. securities laws applicable to us, or because we believe such provisions do not reflect customary practices of global companies listed on Nasdaq. This could adversely affect your rights as a shareholder and you may not have the same level of protection as a shareholder in a Dutch company that fully complies with the DCGC.</w:t>
      </w:r>
    </w:p>
    <w:p>
      <w:pPr>
        <w:spacing w:after="0" w:line="26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SEC reporting requirements applicable to emerging growth companies will make our ordinary shares less attractive to investors, which could have a material and adverse effect on us, including on our growth prospects.</w:t>
      </w:r>
    </w:p>
    <w:p>
      <w:pPr>
        <w:spacing w:after="0" w:line="76"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We are an “emerging growth company” as defined in the JOBS Act. We will remain an “emerging growth company” until the earliest to occur of (i) the last day of the fiscal year (a) following October 10, 2023, the fifth anniversary of ARYA’s initial public offering, (b) in which we have total annual gross revenue of at least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$1.07 billion or (c) in which we are deemed to be a large accelerated filer, which means the market value of our ordinary shares that are held</w:t>
      </w:r>
    </w:p>
    <w:p>
      <w:pPr>
        <w:spacing w:after="0" w:line="35"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by non-affiliates exceeds $700.0 million as of the last business day of our prior second fiscal quarter, and (ii) the date on which we have issued more than $1.0 billion in non-convertible debt during the prior three-year period. We intend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The JOBS Act also provides that an “emerging growth company” can take advantage of the extended transition period provided in the Securities Act for complying with new or revised accounting standards. However, we have chosen to “opt out” of this extended transition period and, as a result, we will comply with new or revised accounting standards on the relevant dates on which adoption of such standards is required for all public companies that are not emerging growth companies. our decision to opt out of the extended transition period for complying with new or revised accounting standards is irrevocable. We cannot predict if investors will find our ordinary shares less attractive because we intend to rely on certain of these exemptions and benefits under the JOBS Act. If some investors find our ordinary shares less attractive as a result, there may be a less active, liquid and/or orderly trading market for our ordinary shares and the market price and trading volume of our ordinary shares may be more volatile and decline significantly.</w:t>
      </w:r>
    </w:p>
    <w:p>
      <w:pPr>
        <w:spacing w:after="0" w:line="286"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b w:val="1"/>
          <w:bCs w:val="1"/>
          <w:i w:val="1"/>
          <w:iCs w:val="1"/>
          <w:color w:val="auto"/>
        </w:rPr>
        <w:t>As a foreign private issuer, we will be exempt from a number of rules under the U.S. securities laws and will be permitted to file less information with the SEC than a U.S. company. This may limit the information available to holders of our ordinary shares.</w:t>
      </w:r>
    </w:p>
    <w:p>
      <w:pPr>
        <w:spacing w:after="0" w:line="3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are a foreign private issuer, as such term is defined in Rule 405 under the Securities Act. As a foreign private issuer, we will not be subject to all of the disclosure requirements applicable to public companies organized within the United States. For example, we will be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As long as we are eligible for the foreign private issuer exemption, we will not be required to obtain shareholder approval for certain dilutive events, such as the establishment or material amendment of certain equity-based compensation plans, we will not be required to provide detailed executive compensation disclosure in our periodic reports, and we will be exempt from the requirements of holding a nonbinding advisory vote on executive compensation and shareholder approval of any golden parachute payments not previously approved. In addition, our officers and directors will be exempt from the reporting and “short-swing” profit recovery provisions of Section 16 of the Exchange Act and related rules with respect to their purchases and sales of our securities.</w:t>
      </w:r>
    </w:p>
    <w:p>
      <w:pPr>
        <w:spacing w:after="0" w:line="19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While we will submit quarterly interim consolidated financial data to the SEC under cover of the SEC’s Form 6-K, we will not be required to file periodic reports and financial statements with the SEC as frequently or as promptly as U.S. public companies and will not be required to file quarterly reports on Form 10-Q or current reports on Form 8-K under the Exchange Act.</w:t>
      </w:r>
    </w:p>
    <w:p>
      <w:pPr>
        <w:spacing w:after="0" w:line="184"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Also, as a foreign private issuer, we will be permitted to follow home country practice in lieu of certain corporate governance rules of the Nasdaq, including those that require listed companies to have a majority of independent directors and independent director oversight of executive compensation, nomination of directors and corporate governance matters. As long as we rely on the foreign private issuer exemption, a majority of our board of directors will not be required to be independent directors and our compensation committee will not be required to be composed entirely of independent directors. Accordingly, holders of our ordinary shares may not have the same protections afforded to shareholders of listed companies that are subject to all of the applicable corporate governance requirements.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tax residency might change if Germany ratifies the MLI and changes its provisional election on the corporate residence tie-breaker.</w:t>
      </w:r>
    </w:p>
    <w:p>
      <w:pPr>
        <w:spacing w:after="0" w:line="12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 xml:space="preserve">Our sole tax residency in Germany for purposes of the convention between Germany and the Netherlands for the avoidance of double taxation and the prevention of fiscal evasion with respect to taxes on income (the “German-Dutch tax treaty”) is subject to the application of the provisions on tax residency as stipulated in the German-Dutch tax treaty as effective as of the date of this prospectus. However, among others, Germany and the Netherlands entered into a Multilateral Convention to Implement Tax Treaty Related Measures to Prevent Base Erosion and Profit Shifting (“MLI”). The MLI operates to amend bilateral tax treaties between participating states, provided there is a match between certain options made by the relevant states. The MLI provides, amongst others, for an amendment of relevant treaty rules regarding tax residency for purposes of relevant tax treaties. According to its elections, the Netherlands applies such deviating rules on tax residency, </w:t>
      </w:r>
      <w:r>
        <w:rPr>
          <w:rFonts w:ascii="Arial" w:cs="Arial" w:eastAsia="Arial" w:hAnsi="Arial"/>
          <w:sz w:val="17"/>
          <w:szCs w:val="17"/>
          <w:i w:val="1"/>
          <w:iCs w:val="1"/>
          <w:color w:val="auto"/>
        </w:rPr>
        <w:t>i.e.</w:t>
      </w:r>
      <w:r>
        <w:rPr>
          <w:rFonts w:ascii="Arial" w:cs="Arial" w:eastAsia="Arial" w:hAnsi="Arial"/>
          <w:sz w:val="17"/>
          <w:szCs w:val="17"/>
          <w:color w:val="auto"/>
        </w:rPr>
        <w:t>, it did not opt out. With regard to Germany, provisional statements made at the time of signing the MLI indicate that it is intended to opt-out of the application of such provisions. However, given that the MLI has to date not been ratified in Germany and the options provided for in the MLI remain subject to discussion, it cannot be ruled out that Germany ultimately opts to amend the current rules regarding tax residency in line with the option exercised by the Netherlands. If Germany changes its provisional view on the election, the MLI rules on tax residency would become applicable to the German-Dutch tax treaty. In this case, the competent authorities of the Netherlands and Germany shall endeavor to determine by mutual agreement our sole tax residency. During the period in which a mutual agreement between both states is absent, we may not be entitled to any relief or exemption from tax provided by the German-Dutch tax treaty. During such period, there would also be a risk that both Germany and the Netherlands would levy dividend withholding tax on distributions by us, in addition to the risk of double taxation on our profits.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or may become a PFIC, which could result in adverse U.S. federal income tax consequences to U.S. Holders.</w:t>
      </w:r>
    </w:p>
    <w:p>
      <w:pPr>
        <w:spacing w:after="0" w:line="117"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If we or any of our subsidiaries is a passive foreign investment company (a “PFIC”) for any taxable year, or portion thereof, that is included in the holding period of a beneficial owner of our ordinary shares that is a U.S. Holder, such U.S. Holder (as defined in the section entitled “</w:t>
      </w:r>
      <w:r>
        <w:rPr>
          <w:rFonts w:ascii="Arial" w:cs="Arial" w:eastAsia="Arial" w:hAnsi="Arial"/>
          <w:sz w:val="16"/>
          <w:szCs w:val="16"/>
          <w:i w:val="1"/>
          <w:iCs w:val="1"/>
          <w:color w:val="auto"/>
        </w:rPr>
        <w:t>Material U.S.</w:t>
      </w:r>
      <w:r>
        <w:rPr>
          <w:rFonts w:ascii="Arial" w:cs="Arial" w:eastAsia="Arial" w:hAnsi="Arial"/>
          <w:sz w:val="16"/>
          <w:szCs w:val="16"/>
          <w:color w:val="auto"/>
        </w:rPr>
        <w:t xml:space="preserve"> </w:t>
      </w:r>
      <w:r>
        <w:rPr>
          <w:rFonts w:ascii="Arial" w:cs="Arial" w:eastAsia="Arial" w:hAnsi="Arial"/>
          <w:sz w:val="16"/>
          <w:szCs w:val="16"/>
          <w:i w:val="1"/>
          <w:iCs w:val="1"/>
          <w:color w:val="auto"/>
        </w:rPr>
        <w:t>Federal Income Tax Considerations for U.S. Holders</w:t>
      </w:r>
      <w:r>
        <w:rPr>
          <w:rFonts w:ascii="Arial" w:cs="Arial" w:eastAsia="Arial" w:hAnsi="Arial"/>
          <w:sz w:val="16"/>
          <w:szCs w:val="16"/>
          <w:color w:val="auto"/>
        </w:rPr>
        <w:t>”), may be subject to certain adverse U.S. federal income tax consequences and may be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reporting requirements. It is uncertain whether we or any of our subsidiaries, including Immatics OpCo, will be treated as a PFIC for U.S. federal income tax purposes for the current or any subsequent tax year. If we determine that we and/or any of our subsidiaries is a PFIC for any taxable year, we intend to provide a U.S. Holder with such information necessary for the U.S. Holder to make and maintain a QEF Election (as defined in the section entitled “</w:t>
      </w:r>
      <w:r>
        <w:rPr>
          <w:rFonts w:ascii="Arial" w:cs="Arial" w:eastAsia="Arial" w:hAnsi="Arial"/>
          <w:sz w:val="16"/>
          <w:szCs w:val="16"/>
          <w:i w:val="1"/>
          <w:iCs w:val="1"/>
          <w:color w:val="auto"/>
        </w:rPr>
        <w:t>Material U.S. Federal Income Tax Considerations for U.S. Holders</w:t>
      </w:r>
      <w:r>
        <w:rPr>
          <w:rFonts w:ascii="Arial" w:cs="Arial" w:eastAsia="Arial" w:hAnsi="Arial"/>
          <w:sz w:val="16"/>
          <w:szCs w:val="16"/>
          <w:color w:val="auto"/>
        </w:rPr>
        <w:t>”) with respect to us and/or such subsidiaries, but there can be no assurance that we will have timely knowledge of our status as a PFIC in the future or of the required information to be provided.</w:t>
      </w:r>
    </w:p>
    <w:p>
      <w:pPr>
        <w:spacing w:after="0" w:line="16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Material U.S. Federal Income Tax Considerations for U.S. Holders</w:t>
      </w:r>
      <w:r>
        <w:rPr>
          <w:rFonts w:ascii="Arial" w:cs="Arial" w:eastAsia="Arial" w:hAnsi="Arial"/>
          <w:sz w:val="18"/>
          <w:szCs w:val="18"/>
          <w:color w:val="auto"/>
        </w:rPr>
        <w:t>” for a more detailed discussion with respect to our PFIC status. Prospective U.S. Holders of our ordinary shares or public warrants are urged to consult their tax advisors regarding the possible application of the PFIC rules to them.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This prospectus contains forward-looking statements regarding our current expectations or forecasts of future events. Forward-looking statements include statements about our expectations, beliefs, plans, objectives, intentions, assumptions and other statements that are not historical facts. Words or phrases such as “anticipate”, “believe”, “continue”, “could”, “estimate”, “expect”, “intend”, “may”, “might”, “objective”, “ongoing”, “plan”, “potential”, “predict”, “project”, “should”, “will” and “would”, or similar words or phrases, or the negatives of those words or phrases, may identify forward-looking statements, but the absence of these words does not necessarily mean that a statement is not forward-looking. Examples of forward-looking statements in this prospectus include, but are not limited to, statements regarding our operations, cash flows, financial position and dividend policy.</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Forward-looking statements are subject to risks and uncertainties, including with regards to:</w:t>
      </w:r>
    </w:p>
    <w:p>
      <w:pPr>
        <w:spacing w:after="0" w:line="131"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future payments of dividends and the availability of cash for payment of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relating to dividend payments and forecasts of our ability to make such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business disruptions arising from the COVID-19 pandemic;</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financial condition and liquidity, including our ability to obtain additional financing in the future to fund capital expenditures, acquisitions and other general corporate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our capital base;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effect future acquisitions and to meet target returns;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initiation, timing, progress, costs and results of our clinical trials, including our ACT and TCER Bispecific trials;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meetings with and feedback from regulatory authorities as well as any submission of filings for regulatory approval of our ACT and TCER Bispecific programs;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potential advantages and differentiated profile of ACT and TCER Bispecific product candidates compared to existing therapies for the applicable indications;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successfully manufacture or have manufactured drug product for clinical trials and commercialization;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successfully commercialize drug products, if approved;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IMA201, IMA202, IMA203, IMA204, IMA301, IMA401 and IMA402, if approved;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and opportunity for and clinical utility of ACT and TCER Bispecific product candidates, if approved for commercial use;</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estimates regarding expenses, ongoing losses, future revenue, capital requirements and needs for or ability to obtain additional financing;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maintain intellectual property protection for our drug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identify, acquire or in-license and develop new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or industry;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factors discussed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 the factors described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 Accordingly, you should not rely on these forward-looking statements, which speak only as of the date of this prospectus. We undertake no obligation to publicly revise any forward-looking statement to reflect circumstances or events after the date of this prospectus or to reflect the occurrence of unanticipated events. You should, however, review the factors and risks we describe in the reports it will file from time to time with the SEC after the date of this prospectus.</w:t>
      </w:r>
    </w:p>
    <w:p>
      <w:pPr>
        <w:spacing w:after="0" w:line="19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addition, statements reflecting our beliefs and opinions on certain subjects are based on information available to us as of the date of this prospectus. And while we believe that information provides a reasonable basis for these statements, that information may be limited or incomplete. Such statements should not be read to indicate that we have conducted an exhaustive inquiry into, or review of, all relevant information. These statements are inherently uncertain, and you are cautioned not to unduly rely on these statements.</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were reasonable at the time made, we cannot guarantee future results, level of activity, performance or achievements. We do not assume responsibility for the accuracy or completeness of any of these forward-looking statements. You should carefully consider the cautionary statements contained or referred to in this section in connection with the forward looking statements contained in this prospectus and any subsequent written or oral forward-looking statements that may be issued by us or persons acting on our behalf.</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All of the ordinary shares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never declared or paid any cash dividends and have no plan to declare or pay any dividends on our ordinary shares in the foreseeable future.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currently intend to retain any earnings for future operations and expansion.</w:t>
      </w:r>
    </w:p>
    <w:p>
      <w:pPr>
        <w:spacing w:after="0" w:line="21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will be able to make distributions to our shareholders only to the extent that our equity exceeds the aggregate amount of issued share capital and reserves that must be maintained pursuant to Dutch law or under our articles of association. We may not make any distribution of profits on shares held as treasury shares and such treasury shares will not be taken into account when determining the profit entitlement of our shareholders. Our articles of association prescribe that profits in any financial year will be distributed first to holders of our financing preferred shares, if any are outstanding. Any remaining profits may be reserved by our Management Board, subject to the approval of our Supervisory Board or, after July 1, 2021, our Board. Any profits remaining thereafter and reserves may be distributed as dividends to the holders of our ordinary shares, subject to the appropriate record date. The general meeting is authorized to declare distributions upon the proposal of our Management Board, which proposal requires the prior approval of our Supervisory Board or, after July 1, 2021, our Board. Our Management Board or, after July 1, 2021, our Board determines whether and how much of the profits shown in the adopted annual accounts will be reserved and the manner and date of any dividend. All calculations to determine the amounts available for dividends will be based on our company-only annual accounts, which may be different from our consolidated financial statements, such as those included in this prospectus. In addition, our Management Board is permitted, subject to Supervisory Board approval and certain requirements, to declare interim dividends without the approval of our shareholders. We may reclaim any distributions, whether interim or not interim, made in contravention of certain restrictions of Dutch law from shareholders that knew or should have known that such distribution was not permissible. In addition, on the basis of Dutch case law, if after a distribution we are not able to pay our due and collectable debts, then our shareholders or directors who at the time of the distribution knew or reasonably should have foreseen that result may be liable to our creditors.</w:t>
      </w:r>
    </w:p>
    <w:p>
      <w:pPr>
        <w:spacing w:after="0" w:line="16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Since we are a holding company, our ability to pay dividends will be dependent upon the financial condition, liquidity and results of operations of, and the receipt of dividends, loans or other funds from, our subsidiaries. Our subsidiaries are separate and distinct legal entities and have no obligation to make funds available to us. In addition, there are various statutory, regulatory and contractual limitations and business considerations on the extent, if any, to which our subsidiaries may pay dividends, make loans or otherwise provide funds to us.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60"/>
          </w:cols>
          <w:pgMar w:left="320" w:top="459"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2020 on:</w:t>
      </w:r>
    </w:p>
    <w:p>
      <w:pPr>
        <w:spacing w:after="0" w:line="131"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historical basis for Immatics OpCo;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 pro forma basis, after giving effect to the Business Combination and PIPE Financing.</w:t>
      </w:r>
    </w:p>
    <w:p>
      <w:pPr>
        <w:spacing w:after="0" w:line="225"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The information in this table should be read in conjunction with the financial statements and notes thereto and other financial information included in this prospectus and any prospectus supplement and the information under “</w:t>
      </w:r>
      <w:r>
        <w:rPr>
          <w:rFonts w:ascii="Arial" w:cs="Arial" w:eastAsia="Arial" w:hAnsi="Arial"/>
          <w:sz w:val="17"/>
          <w:szCs w:val="17"/>
          <w:i w:val="1"/>
          <w:iCs w:val="1"/>
          <w:color w:val="auto"/>
        </w:rPr>
        <w:t>Management’s Discussion and Analysis of Financial Condition and Results</w:t>
      </w:r>
      <w:r>
        <w:rPr>
          <w:rFonts w:ascii="Arial" w:cs="Arial" w:eastAsia="Arial" w:hAnsi="Arial"/>
          <w:sz w:val="17"/>
          <w:szCs w:val="17"/>
          <w:color w:val="auto"/>
        </w:rPr>
        <w:t xml:space="preserve"> </w:t>
      </w:r>
      <w:r>
        <w:rPr>
          <w:rFonts w:ascii="Arial" w:cs="Arial" w:eastAsia="Arial" w:hAnsi="Arial"/>
          <w:sz w:val="17"/>
          <w:szCs w:val="17"/>
          <w:i w:val="1"/>
          <w:iCs w:val="1"/>
          <w:color w:val="auto"/>
        </w:rPr>
        <w:t>of Operations</w:t>
      </w:r>
      <w:r>
        <w:rPr>
          <w:rFonts w:ascii="Arial" w:cs="Arial" w:eastAsia="Arial" w:hAnsi="Arial"/>
          <w:sz w:val="17"/>
          <w:szCs w:val="17"/>
          <w:color w:val="auto"/>
        </w:rPr>
        <w:t>”. Our historical results do not necessarily indicate our expected results for any future periods.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w w:val="96"/>
              </w:rPr>
              <w:t>As of March 31, 2020</w:t>
            </w: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76"/>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Business</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Actual</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Combination</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and PIPE Financing</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3"/>
          </w:tcPr>
          <w:p>
            <w:pPr>
              <w:jc w:val="right"/>
              <w:ind w:right="896"/>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 in millions</w:t>
            </w: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Total indebtedness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Share premium</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191.0</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(241.5)</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Other reserves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Total equity</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480" w:type="dxa"/>
            <w:vAlign w:val="bottom"/>
            <w:vMerge w:val="restart"/>
          </w:tcPr>
          <w:p>
            <w:pPr>
              <w:jc w:val="right"/>
              <w:ind w:right="1110"/>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9" w:right="6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following unaudited pro forma condensed combined financial information is based on the historical consolidated financial statements of Immatics OpCo prepared in accordance with IFRS and the historical financial statements of ARYA, and gives effect to all of the transactions contemplated by the Business Combination and the PIPE Financing (together, the “Transaction”). ARYA historically prepared its financial statements in accordance with U.S. GAAP with the U.S. dollar as its reporting currency. The unaudited pro forma condensed combined financial information gives effect to adjustments required to convert the historical financial information of ARYA to IFRS and its reporting currency to Euros.</w:t>
      </w:r>
    </w:p>
    <w:p>
      <w:pPr>
        <w:spacing w:after="0" w:line="161"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7"/>
          <w:szCs w:val="17"/>
          <w:color w:val="auto"/>
        </w:rPr>
        <w:t>The following unaudited pro forma condensed combined statement of financial position as of March 31, 2020 gives effect to the Transaction as if had occurred on March 31, 2020. The following unaudited pro forma condensed combined statements of loss for the three months ended March 31, 2020 and the year ended December 31, 2019 give effect to the Transaction as if it had occurred on January 1, 2019.</w:t>
      </w:r>
    </w:p>
    <w:p>
      <w:pPr>
        <w:spacing w:after="0" w:line="16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This unaudited pro forma information has been presented for informational purposes only and is not necessarily indicative of what the actual financial position or results of operations of Immatics would have been had the Transaction been completed as of the dates indicated. In addition, the unaudited pro forma information does not purport to project the future financial position or operating results of Immatics. The unaudited pro forma adjustments are based on information currently available. The assumptions and estimates underlying the unaudited pro forma adjustments are described in the notes to the accompanying unaudited pro forma condensed combined financial information. Actual results may differ materially from the assumptions used to present the accompanying unaudited pro forma condensed combined financial information. Management of Immatics OpCo and ARYA have made significant estimates and assumptions in the determination of the pro forma adjustments. As the unaudited pro forma condensed combined financial information has been prepared based on these preliminary estimates, the final amounts recorded may differ materially from the information presented. This information should be read together with Immatics OpCo’s and ARYA’s audited financial statements and related notes for the years ended December 31, 2019 and 2018, the unaudited financial statements and notes for the three months ended March 31, 2020 and 2019, the section titled “Management’s Discussion and Analysis of Financial Condition and Results of Operations”, and the other financial information included elsewhere in this prospectus.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Transaction</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Pursuant to the Business Combination Agreement, upon consummation of the Transaction each participating shareholder exchanged his, her or its equity interest in Immatics OpCo for ordinary shares in accordance with an allocation schedule (a total of 33,093,838 ordinary shares were issued in connection with such exchange). Immediately after giving effect to the exchange, ARYA Merger Sub merged with and into ARYA (the “First Merger”). The separate existence of ARYA Merger Sub ceased and ARYA continued as the surviving entity of the First Merger. In connection with the First Merger, each ARYA Ordinary Share was exchanged for an ordinary share. Pursuant to the Business Combination Agreement, each ARYA public warrant, by its terms, converted into a public warrant, on the same contractual terms.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connection with the Transaction, Immatics and a co-founder of Immatics US affiliated with University of Texas MD Anderson Cancer (the “Immatics US Co-Founder”) agreed that the Immatics US Co-Founder would exchange all shares in the share capital of Immatics US held by it for 697,431 ordinary shares.</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Concurrently with the execution of the Business Combination Agreement, Immatics OpCo and ARYA entered into Subscription Agreements with PIPE Investors pursuant to which, among other things, the PIPE Investors agreed to subscribe for and purchase, and Immatics agreed to issue and sell to the PIPE Investors, an aggregate of 10,415,000 ordinary shares for gross proceeds of approximately $104.2 million on the Closing Date.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for the Transaction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Transaction is comprised of a series of transactions pursuant to the Business Combination Agreement. For accounting purposes, the Transaction was effectuated in three main steps:</w:t>
      </w:r>
    </w:p>
    <w:p>
      <w:pPr>
        <w:spacing w:after="0" w:line="76" w:lineRule="exact"/>
        <w:rPr>
          <w:sz w:val="20"/>
          <w:szCs w:val="20"/>
          <w:color w:val="auto"/>
        </w:rPr>
      </w:pPr>
    </w:p>
    <w:p>
      <w:pPr>
        <w:ind w:left="1080" w:right="6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exchange of shares held by Immatics OpCo participating shareholders for ordinary shares, which is accounted for as a recapitalization in accordance with IFRS.</w:t>
      </w:r>
    </w:p>
    <w:p>
      <w:pPr>
        <w:spacing w:after="0" w:line="75"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merger of ARYA with ARYA Merger Sub, which is not within the scope of IFRS 3 (“Business Combinations”) since ARYA does not meet the definition of a business in accordance with IFRS 3, is accounted for within the scope of IFRS 2 (“Share-based payment”). Any difference between the fair value of the ordinary shares issued and the fair value of ARYA’s identifiable net assets represents a service to be expensed as incurred. The closing quoted market price of ARYA’s ordinary shares and public warrants on Nasdaq as of July 1, 2020 are the basis for determining the fair value of the share-based consideration paid to ARYA’s stockholders. These amounts represent the market prices at which any existing or new investor could trade during the period after the expiration of the redemption deadline for ARYA shareholders.</w:t>
      </w:r>
    </w:p>
    <w:p>
      <w:pPr>
        <w:spacing w:after="0" w:line="100" w:lineRule="exact"/>
        <w:rPr>
          <w:rFonts w:ascii="Arial" w:cs="Arial" w:eastAsia="Arial" w:hAnsi="Arial"/>
          <w:sz w:val="18"/>
          <w:szCs w:val="18"/>
          <w:color w:val="auto"/>
        </w:rPr>
      </w:pPr>
    </w:p>
    <w:p>
      <w:pPr>
        <w:ind w:left="1080" w:right="860" w:hanging="532"/>
        <w:spacing w:after="0" w:line="34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Subscription Agreements related to the PIPE Financing, which were executed concurrently with the Business Combination Agreement, resulted in the issuance of ordinary shares, leading to an increase in share capital and share premium.</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 FORMA CONDENSED COMBINED STATEMENT OF FINANCIAL POSITION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MARCH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rPr>
              <w:t>ARYA</w:t>
            </w: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ARYA</w:t>
            </w:r>
          </w:p>
        </w:tc>
        <w:tc>
          <w:tcPr>
            <w:tcW w:w="8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Pro Forma Adjustment</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Immatics</w:t>
            </w:r>
          </w:p>
        </w:tc>
        <w:tc>
          <w:tcPr>
            <w:tcW w:w="2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Sciences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Sciences</w:t>
            </w: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GmbH</w:t>
            </w:r>
          </w:p>
        </w:tc>
        <w:tc>
          <w:tcPr>
            <w:tcW w:w="2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Corp.</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Corp.</w:t>
            </w:r>
          </w:p>
        </w:tc>
        <w:tc>
          <w:tcPr>
            <w:tcW w:w="2460" w:type="dxa"/>
            <w:vAlign w:val="bottom"/>
            <w:gridSpan w:val="2"/>
            <w:vMerge w:val="restart"/>
          </w:tcPr>
          <w:p>
            <w:pPr>
              <w:jc w:val="center"/>
              <w:ind w:right="1588"/>
              <w:spacing w:after="0"/>
              <w:rPr>
                <w:sz w:val="20"/>
                <w:szCs w:val="20"/>
                <w:color w:val="auto"/>
              </w:rPr>
            </w:pPr>
            <w:r>
              <w:rPr>
                <w:rFonts w:ascii="Arial" w:cs="Arial" w:eastAsia="Arial" w:hAnsi="Arial"/>
                <w:sz w:val="14"/>
                <w:szCs w:val="14"/>
                <w:b w:val="1"/>
                <w:bCs w:val="1"/>
                <w:color w:val="auto"/>
                <w:w w:val="97"/>
              </w:rPr>
              <w:t>Pro Forma</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Historical</w:t>
            </w:r>
          </w:p>
        </w:tc>
        <w:tc>
          <w:tcPr>
            <w:tcW w:w="2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Historical</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Historical</w:t>
            </w:r>
          </w:p>
        </w:tc>
        <w:tc>
          <w:tcPr>
            <w:tcW w:w="246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IFRS</w:t>
            </w:r>
          </w:p>
        </w:tc>
        <w:tc>
          <w:tcPr>
            <w:tcW w:w="2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U.S. GAAP</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U.S. GAAP</w:t>
            </w:r>
          </w:p>
        </w:tc>
        <w:tc>
          <w:tcPr>
            <w:tcW w:w="2460" w:type="dxa"/>
            <w:vAlign w:val="bottom"/>
            <w:gridSpan w:val="2"/>
          </w:tcPr>
          <w:p>
            <w:pPr>
              <w:jc w:val="center"/>
              <w:ind w:right="1568"/>
              <w:spacing w:after="0" w:line="149" w:lineRule="exact"/>
              <w:rPr>
                <w:sz w:val="20"/>
                <w:szCs w:val="20"/>
                <w:color w:val="auto"/>
              </w:rPr>
            </w:pPr>
            <w:r>
              <w:rPr>
                <w:rFonts w:ascii="Arial" w:cs="Arial" w:eastAsia="Arial" w:hAnsi="Arial"/>
                <w:sz w:val="14"/>
                <w:szCs w:val="14"/>
                <w:b w:val="1"/>
                <w:bCs w:val="1"/>
                <w:color w:val="auto"/>
                <w:w w:val="91"/>
              </w:rPr>
              <w:t>Adjustments</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EUR</w:t>
            </w:r>
          </w:p>
        </w:tc>
        <w:tc>
          <w:tcPr>
            <w:tcW w:w="22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USD</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2460" w:type="dxa"/>
            <w:vAlign w:val="bottom"/>
            <w:gridSpan w:val="2"/>
          </w:tcPr>
          <w:p>
            <w:pPr>
              <w:jc w:val="center"/>
              <w:ind w:right="1588"/>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72,202</w:t>
            </w:r>
          </w:p>
        </w:tc>
        <w:tc>
          <w:tcPr>
            <w:tcW w:w="1620" w:type="dxa"/>
            <w:vAlign w:val="bottom"/>
            <w:gridSpan w:val="3"/>
          </w:tcPr>
          <w:p>
            <w:pPr>
              <w:ind w:left="720"/>
              <w:spacing w:after="0"/>
              <w:rPr>
                <w:sz w:val="20"/>
                <w:szCs w:val="20"/>
                <w:color w:val="auto"/>
              </w:rPr>
            </w:pPr>
            <w:r>
              <w:rPr>
                <w:rFonts w:ascii="Arial" w:cs="Arial" w:eastAsia="Arial" w:hAnsi="Arial"/>
                <w:sz w:val="18"/>
                <w:szCs w:val="18"/>
                <w:color w:val="auto"/>
              </w:rPr>
              <w:t>702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2460" w:type="dxa"/>
            <w:vAlign w:val="bottom"/>
            <w:gridSpan w:val="2"/>
          </w:tcPr>
          <w:p>
            <w:pPr>
              <w:jc w:val="right"/>
              <w:ind w:right="1168"/>
              <w:spacing w:after="0"/>
              <w:rPr>
                <w:sz w:val="20"/>
                <w:szCs w:val="20"/>
                <w:color w:val="auto"/>
              </w:rPr>
            </w:pPr>
            <w:r>
              <w:rPr>
                <w:rFonts w:ascii="Arial" w:cs="Arial" w:eastAsia="Arial" w:hAnsi="Arial"/>
                <w:sz w:val="18"/>
                <w:szCs w:val="18"/>
                <w:color w:val="auto"/>
              </w:rPr>
              <w:t>230,786(b)(c)</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303,628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center"/>
              <w:ind w:right="1128"/>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37,203</w:t>
            </w: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83</w:t>
            </w:r>
            <w:r>
              <w:rPr>
                <w:rFonts w:ascii="Arial" w:cs="Arial" w:eastAsia="Arial" w:hAnsi="Arial"/>
                <w:sz w:val="15"/>
                <w:szCs w:val="15"/>
                <w:color w:val="auto"/>
              </w:rPr>
              <w:t>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2460" w:type="dxa"/>
            <w:vAlign w:val="bottom"/>
            <w:gridSpan w:val="2"/>
          </w:tcPr>
          <w:p>
            <w:pPr>
              <w:ind w:left="480"/>
              <w:spacing w:after="0"/>
              <w:rPr>
                <w:sz w:val="20"/>
                <w:szCs w:val="20"/>
                <w:color w:val="auto"/>
              </w:rPr>
            </w:pPr>
            <w:r>
              <w:rPr>
                <w:rFonts w:ascii="Arial" w:cs="Arial" w:eastAsia="Arial" w:hAnsi="Arial"/>
                <w:sz w:val="18"/>
                <w:szCs w:val="18"/>
                <w:color w:val="auto"/>
              </w:rPr>
              <w:t>(511)(d)</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36,768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109,737</w:t>
            </w:r>
          </w:p>
        </w:tc>
        <w:tc>
          <w:tcPr>
            <w:tcW w:w="1620" w:type="dxa"/>
            <w:vAlign w:val="bottom"/>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785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716</w:t>
            </w:r>
          </w:p>
        </w:tc>
        <w:tc>
          <w:tcPr>
            <w:tcW w:w="2460" w:type="dxa"/>
            <w:vAlign w:val="bottom"/>
            <w:gridSpan w:val="2"/>
            <w:shd w:val="clear" w:color="auto" w:fill="CCEEFF"/>
          </w:tcPr>
          <w:p>
            <w:pPr>
              <w:jc w:val="right"/>
              <w:ind w:right="1588"/>
              <w:spacing w:after="0"/>
              <w:rPr>
                <w:sz w:val="20"/>
                <w:szCs w:val="20"/>
                <w:color w:val="auto"/>
              </w:rPr>
            </w:pPr>
            <w:r>
              <w:rPr>
                <w:rFonts w:ascii="Arial" w:cs="Arial" w:eastAsia="Arial" w:hAnsi="Arial"/>
                <w:sz w:val="18"/>
                <w:szCs w:val="18"/>
                <w:b w:val="1"/>
                <w:bCs w:val="1"/>
                <w:color w:val="auto"/>
              </w:rPr>
              <w:t>230,275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340,728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620"/>
              <w:spacing w:after="0"/>
              <w:rPr>
                <w:sz w:val="20"/>
                <w:szCs w:val="20"/>
                <w:color w:val="auto"/>
              </w:rPr>
            </w:pPr>
            <w:r>
              <w:rPr>
                <w:rFonts w:ascii="Arial" w:cs="Arial" w:eastAsia="Arial" w:hAnsi="Arial"/>
                <w:sz w:val="18"/>
                <w:szCs w:val="18"/>
                <w:color w:val="auto"/>
              </w:rPr>
              <w:t>148,699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135,724</w:t>
            </w:r>
          </w:p>
        </w:tc>
        <w:tc>
          <w:tcPr>
            <w:tcW w:w="2460" w:type="dxa"/>
            <w:vAlign w:val="bottom"/>
            <w:gridSpan w:val="2"/>
          </w:tcPr>
          <w:p>
            <w:pPr>
              <w:jc w:val="center"/>
              <w:ind w:right="1148"/>
              <w:spacing w:after="0"/>
              <w:rPr>
                <w:sz w:val="20"/>
                <w:szCs w:val="20"/>
                <w:color w:val="auto"/>
              </w:rPr>
            </w:pPr>
            <w:r>
              <w:rPr>
                <w:rFonts w:ascii="Arial" w:cs="Arial" w:eastAsia="Arial" w:hAnsi="Arial"/>
                <w:sz w:val="18"/>
                <w:szCs w:val="18"/>
                <w:color w:val="auto"/>
                <w:w w:val="92"/>
              </w:rPr>
              <w:t>(135,724)(b)</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5,961</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center"/>
              <w:ind w:right="1128"/>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Intangible assets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center"/>
              <w:ind w:right="1128"/>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3,914</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center"/>
              <w:ind w:right="1128"/>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1,151</w:t>
            </w:r>
          </w:p>
        </w:tc>
        <w:tc>
          <w:tcPr>
            <w:tcW w:w="22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center"/>
              <w:ind w:right="1128"/>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12,032</w:t>
            </w:r>
          </w:p>
        </w:tc>
        <w:tc>
          <w:tcPr>
            <w:tcW w:w="16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148,699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135,724</w:t>
            </w:r>
          </w:p>
        </w:tc>
        <w:tc>
          <w:tcPr>
            <w:tcW w:w="2460" w:type="dxa"/>
            <w:vAlign w:val="bottom"/>
            <w:gridSpan w:val="2"/>
            <w:shd w:val="clear" w:color="auto" w:fill="CCEEFF"/>
          </w:tcPr>
          <w:p>
            <w:pPr>
              <w:jc w:val="right"/>
              <w:ind w:right="1528"/>
              <w:spacing w:after="0"/>
              <w:rPr>
                <w:sz w:val="20"/>
                <w:szCs w:val="20"/>
                <w:color w:val="auto"/>
              </w:rPr>
            </w:pPr>
            <w:r>
              <w:rPr>
                <w:rFonts w:ascii="Arial" w:cs="Arial" w:eastAsia="Arial" w:hAnsi="Arial"/>
                <w:sz w:val="18"/>
                <w:szCs w:val="18"/>
                <w:b w:val="1"/>
                <w:bCs w:val="1"/>
                <w:color w:val="auto"/>
              </w:rPr>
              <w:t>(135,724)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12,032</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121,769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149,484</w:t>
            </w:r>
          </w:p>
        </w:tc>
        <w:tc>
          <w:tcPr>
            <w:tcW w:w="6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136,440</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94,551</w:t>
            </w:r>
          </w:p>
        </w:tc>
        <w:tc>
          <w:tcPr>
            <w:tcW w:w="1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center"/>
              <w:ind w:right="1128"/>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8,668</w:t>
            </w:r>
          </w:p>
        </w:tc>
        <w:tc>
          <w:tcPr>
            <w:tcW w:w="1620" w:type="dxa"/>
            <w:vAlign w:val="bottom"/>
            <w:gridSpan w:val="3"/>
          </w:tcPr>
          <w:p>
            <w:pPr>
              <w:ind w:left="720"/>
              <w:spacing w:after="0"/>
              <w:rPr>
                <w:sz w:val="20"/>
                <w:szCs w:val="20"/>
                <w:color w:val="auto"/>
              </w:rPr>
            </w:pPr>
            <w:r>
              <w:rPr>
                <w:rFonts w:ascii="Arial" w:cs="Arial" w:eastAsia="Arial" w:hAnsi="Arial"/>
                <w:sz w:val="18"/>
                <w:szCs w:val="18"/>
                <w:color w:val="auto"/>
              </w:rPr>
              <w:t>194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2460" w:type="dxa"/>
            <w:vAlign w:val="bottom"/>
            <w:gridSpan w:val="2"/>
          </w:tcPr>
          <w:p>
            <w:pPr>
              <w:jc w:val="right"/>
              <w:ind w:right="1388"/>
              <w:spacing w:after="0"/>
              <w:rPr>
                <w:sz w:val="20"/>
                <w:szCs w:val="20"/>
                <w:color w:val="auto"/>
              </w:rPr>
            </w:pPr>
            <w:r>
              <w:rPr>
                <w:rFonts w:ascii="Arial" w:cs="Arial" w:eastAsia="Arial" w:hAnsi="Arial"/>
                <w:sz w:val="18"/>
                <w:szCs w:val="18"/>
                <w:color w:val="auto"/>
              </w:rPr>
              <w:t>18,648(e)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27,493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65,280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center"/>
              <w:ind w:right="1128"/>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65,280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Lease liabilities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1,450</w:t>
            </w:r>
          </w:p>
        </w:tc>
        <w:tc>
          <w:tcPr>
            <w:tcW w:w="22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center"/>
              <w:ind w:right="1128"/>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w:t>
            </w: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4,165</w:t>
            </w:r>
            <w:r>
              <w:rPr>
                <w:rFonts w:ascii="Arial" w:cs="Arial" w:eastAsia="Arial" w:hAnsi="Arial"/>
                <w:sz w:val="15"/>
                <w:szCs w:val="15"/>
                <w:color w:val="auto"/>
              </w:rPr>
              <w:t>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3,802</w:t>
            </w:r>
          </w:p>
        </w:tc>
        <w:tc>
          <w:tcPr>
            <w:tcW w:w="2460" w:type="dxa"/>
            <w:vAlign w:val="bottom"/>
            <w:gridSpan w:val="2"/>
            <w:shd w:val="clear" w:color="auto" w:fill="CCEEFF"/>
          </w:tcPr>
          <w:p>
            <w:pPr>
              <w:jc w:val="right"/>
              <w:ind w:right="1208"/>
              <w:spacing w:after="0"/>
              <w:rPr>
                <w:sz w:val="20"/>
                <w:szCs w:val="20"/>
                <w:color w:val="auto"/>
              </w:rPr>
            </w:pPr>
            <w:r>
              <w:rPr>
                <w:rFonts w:ascii="Arial" w:cs="Arial" w:eastAsia="Arial" w:hAnsi="Arial"/>
                <w:sz w:val="18"/>
                <w:szCs w:val="18"/>
                <w:color w:val="auto"/>
              </w:rPr>
              <w:t>14,219(e)(f)</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19,171</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77,263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4,359</w:t>
            </w:r>
          </w:p>
        </w:tc>
        <w:tc>
          <w:tcPr>
            <w:tcW w:w="6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3,979</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32,867</w:t>
            </w:r>
          </w:p>
        </w:tc>
        <w:tc>
          <w:tcPr>
            <w:tcW w:w="1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Deferred revenue</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89,369</w:t>
            </w:r>
          </w:p>
        </w:tc>
        <w:tc>
          <w:tcPr>
            <w:tcW w:w="22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center"/>
              <w:ind w:right="1128"/>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89,369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center"/>
              <w:ind w:right="1128"/>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2,772</w:t>
            </w:r>
          </w:p>
        </w:tc>
        <w:tc>
          <w:tcPr>
            <w:tcW w:w="22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340"/>
              <w:spacing w:after="0"/>
              <w:rPr>
                <w:sz w:val="20"/>
                <w:szCs w:val="20"/>
                <w:color w:val="auto"/>
              </w:rPr>
            </w:pPr>
            <w:r>
              <w:rPr>
                <w:rFonts w:ascii="Arial" w:cs="Arial" w:eastAsia="Arial" w:hAnsi="Arial"/>
                <w:sz w:val="18"/>
                <w:szCs w:val="18"/>
                <w:color w:val="auto"/>
              </w:rPr>
              <w:t>(2,772)(f)</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4,674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4,264</w:t>
            </w:r>
          </w:p>
        </w:tc>
        <w:tc>
          <w:tcPr>
            <w:tcW w:w="2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(4,264)(e)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94,537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4,674</w:t>
            </w:r>
          </w:p>
        </w:tc>
        <w:tc>
          <w:tcPr>
            <w:tcW w:w="6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4,264</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(7,036)</w:t>
            </w:r>
          </w:p>
        </w:tc>
        <w:tc>
          <w:tcPr>
            <w:tcW w:w="1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Class A ordinary shares, $0.0001 par value;</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13,545,245 shares subject to possible redemption</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at redemption value</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620"/>
              <w:spacing w:after="0"/>
              <w:rPr>
                <w:sz w:val="20"/>
                <w:szCs w:val="20"/>
                <w:color w:val="auto"/>
              </w:rPr>
            </w:pPr>
            <w:r>
              <w:rPr>
                <w:rFonts w:ascii="Arial" w:cs="Arial" w:eastAsia="Arial" w:hAnsi="Arial"/>
                <w:sz w:val="18"/>
                <w:szCs w:val="18"/>
                <w:color w:val="auto"/>
              </w:rPr>
              <w:t>135,452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123,633</w:t>
            </w:r>
          </w:p>
        </w:tc>
        <w:tc>
          <w:tcPr>
            <w:tcW w:w="2460" w:type="dxa"/>
            <w:vAlign w:val="bottom"/>
            <w:gridSpan w:val="2"/>
          </w:tcPr>
          <w:p>
            <w:pPr>
              <w:jc w:val="center"/>
              <w:ind w:right="1148"/>
              <w:spacing w:after="0"/>
              <w:rPr>
                <w:sz w:val="20"/>
                <w:szCs w:val="20"/>
                <w:color w:val="auto"/>
              </w:rPr>
            </w:pPr>
            <w:r>
              <w:rPr>
                <w:rFonts w:ascii="Arial" w:cs="Arial" w:eastAsia="Arial" w:hAnsi="Arial"/>
                <w:sz w:val="18"/>
                <w:szCs w:val="18"/>
                <w:color w:val="auto"/>
                <w:w w:val="92"/>
              </w:rPr>
              <w:t>(123,633)(b)</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Share capital</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480"/>
              <w:spacing w:after="0"/>
              <w:rPr>
                <w:sz w:val="20"/>
                <w:szCs w:val="20"/>
                <w:color w:val="auto"/>
              </w:rPr>
            </w:pPr>
            <w:r>
              <w:rPr>
                <w:rFonts w:ascii="Arial" w:cs="Arial" w:eastAsia="Arial" w:hAnsi="Arial"/>
                <w:sz w:val="18"/>
                <w:szCs w:val="18"/>
                <w:color w:val="auto"/>
              </w:rPr>
              <w:t>(535)(a)(b)(c)(f)</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190,984</w:t>
            </w: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5,064</w:t>
            </w:r>
            <w:r>
              <w:rPr>
                <w:rFonts w:ascii="Arial" w:cs="Arial" w:eastAsia="Arial" w:hAnsi="Arial"/>
                <w:sz w:val="15"/>
                <w:szCs w:val="15"/>
                <w:color w:val="auto"/>
              </w:rPr>
              <w:t>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4,622</w:t>
            </w:r>
          </w:p>
        </w:tc>
        <w:tc>
          <w:tcPr>
            <w:tcW w:w="24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379,349(a)(b)(c)(d)(e)(f)</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574,955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(241,500)</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(65)</w:t>
            </w:r>
            <w:r>
              <w:rPr>
                <w:rFonts w:ascii="Arial" w:cs="Arial" w:eastAsia="Arial" w:hAnsi="Arial"/>
                <w:sz w:val="15"/>
                <w:szCs w:val="15"/>
                <w:color w:val="auto"/>
              </w:rPr>
              <w:t>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2460" w:type="dxa"/>
            <w:vAlign w:val="bottom"/>
            <w:gridSpan w:val="2"/>
          </w:tcPr>
          <w:p>
            <w:pPr>
              <w:jc w:val="right"/>
              <w:ind w:right="928"/>
              <w:spacing w:after="0"/>
              <w:rPr>
                <w:sz w:val="20"/>
                <w:szCs w:val="20"/>
                <w:color w:val="auto"/>
              </w:rPr>
            </w:pPr>
            <w:r>
              <w:rPr>
                <w:rFonts w:ascii="Arial" w:cs="Arial" w:eastAsia="Arial" w:hAnsi="Arial"/>
                <w:sz w:val="18"/>
                <w:szCs w:val="18"/>
                <w:color w:val="auto"/>
              </w:rPr>
              <w:t>(185,677)(b)(e)(f)</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(427,235)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center"/>
              <w:ind w:right="1128"/>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05"/>
        </w:trPr>
        <w:tc>
          <w:tcPr>
            <w:tcW w:w="4200" w:type="dxa"/>
            <w:vAlign w:val="bottom"/>
          </w:tcPr>
          <w:p>
            <w:pPr>
              <w:spacing w:after="0" w:line="205" w:lineRule="exact"/>
              <w:rPr>
                <w:sz w:val="20"/>
                <w:szCs w:val="20"/>
                <w:color w:val="auto"/>
              </w:rPr>
            </w:pPr>
            <w:r>
              <w:rPr>
                <w:rFonts w:ascii="Arial" w:cs="Arial" w:eastAsia="Arial" w:hAnsi="Arial"/>
                <w:sz w:val="18"/>
                <w:szCs w:val="18"/>
                <w:b w:val="1"/>
                <w:bCs w:val="1"/>
                <w:color w:val="auto"/>
              </w:rPr>
              <w:t>Total equity attributable to shareholders of the</w:t>
            </w:r>
          </w:p>
        </w:tc>
        <w:tc>
          <w:tcPr>
            <w:tcW w:w="7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80"/>
              <w:spacing w:after="0"/>
              <w:rPr>
                <w:sz w:val="20"/>
                <w:szCs w:val="20"/>
                <w:color w:val="auto"/>
              </w:rPr>
            </w:pPr>
            <w:r>
              <w:rPr>
                <w:rFonts w:ascii="Arial" w:cs="Arial" w:eastAsia="Arial" w:hAnsi="Arial"/>
                <w:sz w:val="18"/>
                <w:szCs w:val="18"/>
                <w:b w:val="1"/>
                <w:bCs w:val="1"/>
                <w:color w:val="auto"/>
              </w:rPr>
              <w:t>parent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(50,814)</w:t>
            </w:r>
          </w:p>
        </w:tc>
        <w:tc>
          <w:tcPr>
            <w:tcW w:w="16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4,999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4,564</w:t>
            </w:r>
          </w:p>
        </w:tc>
        <w:tc>
          <w:tcPr>
            <w:tcW w:w="2460" w:type="dxa"/>
            <w:vAlign w:val="bottom"/>
            <w:gridSpan w:val="2"/>
          </w:tcPr>
          <w:p>
            <w:pPr>
              <w:jc w:val="right"/>
              <w:ind w:right="1588"/>
              <w:spacing w:after="0"/>
              <w:rPr>
                <w:sz w:val="20"/>
                <w:szCs w:val="20"/>
                <w:color w:val="auto"/>
              </w:rPr>
            </w:pPr>
            <w:r>
              <w:rPr>
                <w:rFonts w:ascii="Arial" w:cs="Arial" w:eastAsia="Arial" w:hAnsi="Arial"/>
                <w:sz w:val="18"/>
                <w:szCs w:val="18"/>
                <w:b w:val="1"/>
                <w:bCs w:val="1"/>
                <w:color w:val="auto"/>
              </w:rPr>
              <w:t>193,136</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146,887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(783)(a)</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(50,031)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4,999</w:t>
            </w:r>
          </w:p>
        </w:tc>
        <w:tc>
          <w:tcPr>
            <w:tcW w:w="6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4,564</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192,353</w:t>
            </w:r>
          </w:p>
        </w:tc>
        <w:tc>
          <w:tcPr>
            <w:tcW w:w="1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deficit/equity</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121,769</w:t>
            </w:r>
          </w:p>
        </w:tc>
        <w:tc>
          <w:tcPr>
            <w:tcW w:w="16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149,484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136,440</w:t>
            </w:r>
          </w:p>
        </w:tc>
        <w:tc>
          <w:tcPr>
            <w:tcW w:w="2460" w:type="dxa"/>
            <w:vAlign w:val="bottom"/>
            <w:gridSpan w:val="2"/>
            <w:shd w:val="clear" w:color="auto" w:fill="CCEEFF"/>
          </w:tcPr>
          <w:p>
            <w:pPr>
              <w:jc w:val="right"/>
              <w:ind w:right="1588"/>
              <w:spacing w:after="0"/>
              <w:rPr>
                <w:sz w:val="20"/>
                <w:szCs w:val="20"/>
                <w:color w:val="auto"/>
              </w:rPr>
            </w:pPr>
            <w:r>
              <w:rPr>
                <w:rFonts w:ascii="Arial" w:cs="Arial" w:eastAsia="Arial" w:hAnsi="Arial"/>
                <w:sz w:val="18"/>
                <w:szCs w:val="18"/>
                <w:b w:val="1"/>
                <w:bCs w:val="1"/>
                <w:color w:val="auto"/>
              </w:rPr>
              <w:t>94,551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352,760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515"/>
              <w:spacing w:after="0"/>
              <w:rPr>
                <w:sz w:val="20"/>
                <w:szCs w:val="20"/>
                <w:color w:val="auto"/>
              </w:rPr>
            </w:pPr>
            <w:r>
              <w:rPr>
                <w:rFonts w:ascii="Arial" w:cs="Arial" w:eastAsia="Arial" w:hAnsi="Arial"/>
                <w:sz w:val="18"/>
                <w:szCs w:val="18"/>
                <w:color w:val="auto"/>
              </w:rPr>
              <w:t>82</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5"/>
          <w:szCs w:val="15"/>
          <w:color w:val="auto"/>
        </w:rPr>
      </w:pPr>
      <w:r>
        <w:rPr>
          <w:rFonts w:ascii="Arial" w:cs="Arial" w:eastAsia="Arial" w:hAnsi="Arial"/>
          <w:sz w:val="18"/>
          <w:szCs w:val="18"/>
          <w:color w:val="auto"/>
        </w:rPr>
        <w:t>Refer to note 4 (foreign currency adjustments).</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49"/>
        </w:numPr>
        <w:rPr>
          <w:rFonts w:ascii="Arial" w:cs="Arial" w:eastAsia="Arial" w:hAnsi="Arial"/>
          <w:sz w:val="15"/>
          <w:szCs w:val="15"/>
          <w:color w:val="auto"/>
        </w:rPr>
      </w:pPr>
      <w:r>
        <w:rPr>
          <w:rFonts w:ascii="Arial" w:cs="Arial" w:eastAsia="Arial" w:hAnsi="Arial"/>
          <w:sz w:val="18"/>
          <w:szCs w:val="18"/>
          <w:color w:val="auto"/>
        </w:rPr>
        <w:t>Amount classified as prepaid expenses in ARYA’s historical financial statements.</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49"/>
        </w:numPr>
        <w:rPr>
          <w:rFonts w:ascii="Arial" w:cs="Arial" w:eastAsia="Arial" w:hAnsi="Arial"/>
          <w:sz w:val="15"/>
          <w:szCs w:val="15"/>
          <w:color w:val="auto"/>
        </w:rPr>
      </w:pPr>
      <w:r>
        <w:rPr>
          <w:rFonts w:ascii="Arial" w:cs="Arial" w:eastAsia="Arial" w:hAnsi="Arial"/>
          <w:sz w:val="18"/>
          <w:szCs w:val="18"/>
          <w:color w:val="auto"/>
        </w:rPr>
        <w:t>Amount classified as accrued expenses in ARYA’s historical financial statements.</w:t>
      </w:r>
    </w:p>
    <w:p>
      <w:pPr>
        <w:spacing w:after="0" w:line="9" w:lineRule="exact"/>
        <w:rPr>
          <w:rFonts w:ascii="Arial" w:cs="Arial" w:eastAsia="Arial" w:hAnsi="Arial"/>
          <w:sz w:val="15"/>
          <w:szCs w:val="15"/>
          <w:color w:val="auto"/>
        </w:rPr>
      </w:pPr>
    </w:p>
    <w:p>
      <w:pPr>
        <w:ind w:left="540" w:hanging="424"/>
        <w:spacing w:after="0" w:line="250" w:lineRule="auto"/>
        <w:tabs>
          <w:tab w:leader="none" w:pos="540" w:val="left"/>
        </w:tabs>
        <w:numPr>
          <w:ilvl w:val="0"/>
          <w:numId w:val="49"/>
        </w:numPr>
        <w:rPr>
          <w:rFonts w:ascii="Arial" w:cs="Arial" w:eastAsia="Arial" w:hAnsi="Arial"/>
          <w:sz w:val="15"/>
          <w:szCs w:val="15"/>
          <w:color w:val="auto"/>
        </w:rPr>
      </w:pPr>
      <w:r>
        <w:rPr>
          <w:rFonts w:ascii="Arial" w:cs="Arial" w:eastAsia="Arial" w:hAnsi="Arial"/>
          <w:sz w:val="18"/>
          <w:szCs w:val="18"/>
          <w:color w:val="auto"/>
        </w:rPr>
        <w:t>Amount includes ARYA’s Class A ordinary shares and Class B ordinary shares historically classified within equity in ARYA’s historical financial statements.</w:t>
      </w:r>
    </w:p>
    <w:p>
      <w:pPr>
        <w:ind w:left="540" w:hanging="424"/>
        <w:spacing w:after="0"/>
        <w:tabs>
          <w:tab w:leader="none" w:pos="540" w:val="left"/>
        </w:tabs>
        <w:numPr>
          <w:ilvl w:val="0"/>
          <w:numId w:val="49"/>
        </w:numPr>
        <w:rPr>
          <w:rFonts w:ascii="Arial" w:cs="Arial" w:eastAsia="Arial" w:hAnsi="Arial"/>
          <w:sz w:val="15"/>
          <w:szCs w:val="15"/>
          <w:color w:val="auto"/>
        </w:rPr>
      </w:pPr>
      <w:r>
        <w:rPr>
          <w:rFonts w:ascii="Arial" w:cs="Arial" w:eastAsia="Arial" w:hAnsi="Arial"/>
          <w:sz w:val="18"/>
          <w:szCs w:val="18"/>
          <w:color w:val="auto"/>
        </w:rPr>
        <w:t>Amount classified as additional paid-in capital in ARYA’s historical financial statements.</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49"/>
        </w:numPr>
        <w:rPr>
          <w:rFonts w:ascii="Arial" w:cs="Arial" w:eastAsia="Arial" w:hAnsi="Arial"/>
          <w:sz w:val="15"/>
          <w:szCs w:val="15"/>
          <w:color w:val="auto"/>
        </w:rPr>
      </w:pPr>
      <w:r>
        <w:rPr>
          <w:rFonts w:ascii="Arial" w:cs="Arial" w:eastAsia="Arial" w:hAnsi="Arial"/>
          <w:sz w:val="18"/>
          <w:szCs w:val="18"/>
          <w:color w:val="auto"/>
        </w:rPr>
        <w:t>Amount classified as retained earnings in ARYA’s historical financial statements.</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320" w:top="459" w:right="5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 FORMA CONDENSED COMBINED STATEMENT OF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THREE MONTHS ENDED MARCH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ARYA</w:t>
            </w: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ARYA</w:t>
            </w:r>
          </w:p>
        </w:tc>
        <w:tc>
          <w:tcPr>
            <w:tcW w:w="28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Pro Forma Adjustment</w:t>
            </w:r>
          </w:p>
        </w:tc>
        <w:tc>
          <w:tcPr>
            <w:tcW w:w="0" w:type="dxa"/>
            <w:vAlign w:val="bottom"/>
          </w:tcPr>
          <w:p>
            <w:pPr>
              <w:spacing w:after="0"/>
              <w:rPr>
                <w:sz w:val="1"/>
                <w:szCs w:val="1"/>
                <w:color w:val="auto"/>
              </w:rPr>
            </w:pPr>
          </w:p>
        </w:tc>
      </w:tr>
      <w:tr>
        <w:trPr>
          <w:trHeight w:val="106"/>
        </w:trPr>
        <w:tc>
          <w:tcPr>
            <w:tcW w:w="4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Sciences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Sciences</w:t>
            </w: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5"/>
              </w:rPr>
              <w:t>Immatics</w:t>
            </w: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Corp.</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Corp.</w:t>
            </w:r>
          </w:p>
        </w:tc>
        <w:tc>
          <w:tcPr>
            <w:tcW w:w="1880" w:type="dxa"/>
            <w:vAlign w:val="bottom"/>
            <w:gridSpan w:val="3"/>
            <w:vMerge w:val="restart"/>
          </w:tcPr>
          <w:p>
            <w:pPr>
              <w:jc w:val="center"/>
              <w:ind w:right="1020"/>
              <w:spacing w:after="0"/>
              <w:rPr>
                <w:sz w:val="20"/>
                <w:szCs w:val="20"/>
                <w:color w:val="auto"/>
              </w:rPr>
            </w:pPr>
            <w:r>
              <w:rPr>
                <w:rFonts w:ascii="Arial" w:cs="Arial" w:eastAsia="Arial" w:hAnsi="Arial"/>
                <w:sz w:val="14"/>
                <w:szCs w:val="14"/>
                <w:b w:val="1"/>
                <w:bCs w:val="1"/>
                <w:color w:val="auto"/>
                <w:w w:val="94"/>
              </w:rPr>
              <w:t>Pro Forma</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 except share and per share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9"/>
              </w:rPr>
              <w:t>GmbH</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Historical</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Historical</w:t>
            </w:r>
          </w:p>
        </w:tc>
        <w:tc>
          <w:tcPr>
            <w:tcW w:w="188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U.S. GAAP</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U.S. GAAP</w:t>
            </w:r>
          </w:p>
        </w:tc>
        <w:tc>
          <w:tcPr>
            <w:tcW w:w="188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220" w:type="dxa"/>
            <w:vAlign w:val="bottom"/>
          </w:tcPr>
          <w:p>
            <w:pPr>
              <w:spacing w:after="0"/>
              <w:rPr>
                <w:sz w:val="14"/>
                <w:szCs w:val="14"/>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IFRS EUR</w:t>
            </w: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USD</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EUR</w:t>
            </w:r>
            <w:r>
              <w:rPr>
                <w:rFonts w:ascii="Arial" w:cs="Arial" w:eastAsia="Arial" w:hAnsi="Arial"/>
                <w:sz w:val="12"/>
                <w:szCs w:val="12"/>
                <w:b w:val="1"/>
                <w:bCs w:val="1"/>
                <w:color w:val="auto"/>
              </w:rPr>
              <w:t>2</w:t>
            </w:r>
          </w:p>
        </w:tc>
        <w:tc>
          <w:tcPr>
            <w:tcW w:w="188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rPr>
              <w:t>EUR</w:t>
            </w:r>
            <w:r>
              <w:rPr>
                <w:rFonts w:ascii="Arial" w:cs="Arial" w:eastAsia="Arial" w:hAnsi="Arial"/>
                <w:sz w:val="12"/>
                <w:szCs w:val="12"/>
                <w:b w:val="1"/>
                <w:bCs w:val="1"/>
                <w:color w:val="auto"/>
              </w:rPr>
              <w:t>2</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5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(12,246)</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(956)(f)(g)</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(13,202)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(6,188)</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(4,127)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(3,743)</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1,962d)(f)(g)</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(11,281)</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(4,127)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(3,743)</w:t>
            </w:r>
          </w:p>
        </w:tc>
        <w:tc>
          <w:tcPr>
            <w:tcW w:w="17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1,006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(14,018)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Financial income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2,730</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857</w:t>
            </w:r>
            <w:r>
              <w:rPr>
                <w:rFonts w:ascii="Arial" w:cs="Arial" w:eastAsia="Arial" w:hAnsi="Arial"/>
                <w:sz w:val="15"/>
                <w:szCs w:val="15"/>
                <w:color w:val="auto"/>
              </w:rPr>
              <w:t>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777</w:t>
            </w:r>
          </w:p>
        </w:tc>
        <w:tc>
          <w:tcPr>
            <w:tcW w:w="18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5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857</w:t>
            </w:r>
          </w:p>
        </w:tc>
        <w:tc>
          <w:tcPr>
            <w:tcW w:w="5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777</w:t>
            </w: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(8,580)</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(3,270)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(2,966)</w:t>
            </w:r>
          </w:p>
        </w:tc>
        <w:tc>
          <w:tcPr>
            <w:tcW w:w="17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1,006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(10,540)</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Taxes on income</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(8,580)</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(3,270)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(2,966)</w:t>
            </w:r>
          </w:p>
        </w:tc>
        <w:tc>
          <w:tcPr>
            <w:tcW w:w="17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1,006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(10,540)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Attributable to:</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Equityholders of the parent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(8,306)</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(3,270)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(2,966)</w:t>
            </w:r>
          </w:p>
        </w:tc>
        <w:tc>
          <w:tcPr>
            <w:tcW w:w="18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732(a)</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(274)</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600"/>
              <w:spacing w:after="0"/>
              <w:rPr>
                <w:sz w:val="20"/>
                <w:szCs w:val="20"/>
                <w:color w:val="auto"/>
              </w:rPr>
            </w:pPr>
            <w:r>
              <w:rPr>
                <w:rFonts w:ascii="Arial" w:cs="Arial" w:eastAsia="Arial" w:hAnsi="Arial"/>
                <w:sz w:val="18"/>
                <w:szCs w:val="18"/>
                <w:color w:val="auto"/>
              </w:rPr>
              <w:t>274(a)</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(8,580)</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(3,270)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(2,966)</w:t>
            </w:r>
          </w:p>
        </w:tc>
        <w:tc>
          <w:tcPr>
            <w:tcW w:w="17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1,006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(10,540)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w w:val="93"/>
              </w:rPr>
              <w:t>Weighted average shares outstanding — basic and diluted</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1,163,625</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61,744,992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62,908,617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(7.14)</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5"/>
          <w:szCs w:val="15"/>
          <w:color w:val="auto"/>
        </w:rPr>
      </w:pPr>
      <w:r>
        <w:rPr>
          <w:rFonts w:ascii="Arial" w:cs="Arial" w:eastAsia="Arial" w:hAnsi="Arial"/>
          <w:sz w:val="18"/>
          <w:szCs w:val="18"/>
          <w:color w:val="auto"/>
        </w:rPr>
        <w:t>Amount classified as investment income on ARYA’s trust account (the “Trust Account”) in ARYA’s historical financial statements.</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50"/>
        </w:numPr>
        <w:rPr>
          <w:rFonts w:ascii="Arial" w:cs="Arial" w:eastAsia="Arial" w:hAnsi="Arial"/>
          <w:sz w:val="15"/>
          <w:szCs w:val="15"/>
          <w:color w:val="auto"/>
        </w:rPr>
      </w:pPr>
      <w:r>
        <w:rPr>
          <w:rFonts w:ascii="Arial" w:cs="Arial" w:eastAsia="Arial" w:hAnsi="Arial"/>
          <w:sz w:val="18"/>
          <w:szCs w:val="18"/>
          <w:color w:val="auto"/>
        </w:rPr>
        <w:t>Refer to note 4 (foreign currency adjustments).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 FORMA CONDENSED COMBINED STATEMENT OF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ARYA</w:t>
            </w: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ARYA</w:t>
            </w:r>
          </w:p>
        </w:tc>
        <w:tc>
          <w:tcPr>
            <w:tcW w:w="30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Pro Forma Adjustment</w:t>
            </w:r>
          </w:p>
        </w:tc>
        <w:tc>
          <w:tcPr>
            <w:tcW w:w="0" w:type="dxa"/>
            <w:vAlign w:val="bottom"/>
          </w:tcPr>
          <w:p>
            <w:pPr>
              <w:spacing w:after="0"/>
              <w:rPr>
                <w:sz w:val="1"/>
                <w:szCs w:val="1"/>
                <w:color w:val="auto"/>
              </w:rPr>
            </w:pPr>
          </w:p>
        </w:tc>
      </w:tr>
      <w:tr>
        <w:trPr>
          <w:trHeight w:val="106"/>
        </w:trPr>
        <w:tc>
          <w:tcPr>
            <w:tcW w:w="3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5"/>
              </w:rPr>
              <w:t>Immatics</w:t>
            </w: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Sciences</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Sciences</w:t>
            </w: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9"/>
              </w:rPr>
              <w:t>GmbH</w:t>
            </w: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Corp.</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Corp.</w:t>
            </w:r>
          </w:p>
        </w:tc>
        <w:tc>
          <w:tcPr>
            <w:tcW w:w="2140" w:type="dxa"/>
            <w:vAlign w:val="bottom"/>
            <w:gridSpan w:val="3"/>
            <w:vMerge w:val="restart"/>
          </w:tcPr>
          <w:p>
            <w:pPr>
              <w:jc w:val="right"/>
              <w:ind w:right="1380"/>
              <w:spacing w:after="0"/>
              <w:rPr>
                <w:sz w:val="20"/>
                <w:szCs w:val="20"/>
                <w:color w:val="auto"/>
              </w:rPr>
            </w:pPr>
            <w:r>
              <w:rPr>
                <w:rFonts w:ascii="Arial" w:cs="Arial" w:eastAsia="Arial" w:hAnsi="Arial"/>
                <w:sz w:val="14"/>
                <w:szCs w:val="14"/>
                <w:b w:val="1"/>
                <w:bCs w:val="1"/>
                <w:color w:val="auto"/>
              </w:rPr>
              <w:t>Pro Forma</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 except share and per share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Historical</w:t>
            </w: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Historical</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Historical</w:t>
            </w:r>
          </w:p>
        </w:tc>
        <w:tc>
          <w:tcPr>
            <w:tcW w:w="214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IFRS</w:t>
            </w: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U.S. GAAP</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U.S. GAAP</w:t>
            </w:r>
          </w:p>
        </w:tc>
        <w:tc>
          <w:tcPr>
            <w:tcW w:w="2140" w:type="dxa"/>
            <w:vAlign w:val="bottom"/>
            <w:gridSpan w:val="3"/>
          </w:tcPr>
          <w:p>
            <w:pPr>
              <w:jc w:val="center"/>
              <w:ind w:right="128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EUR</w:t>
            </w: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USD</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EUR2</w:t>
            </w:r>
          </w:p>
        </w:tc>
        <w:tc>
          <w:tcPr>
            <w:tcW w:w="214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rPr>
              <w:t>EUR2</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18,449</w:t>
            </w:r>
          </w:p>
        </w:tc>
        <w:tc>
          <w:tcPr>
            <w:tcW w:w="5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ind w:left="3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(40,091)</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140" w:type="dxa"/>
            <w:vAlign w:val="bottom"/>
            <w:gridSpan w:val="3"/>
          </w:tcPr>
          <w:p>
            <w:pPr>
              <w:ind w:left="400"/>
              <w:spacing w:after="0"/>
              <w:rPr>
                <w:sz w:val="20"/>
                <w:szCs w:val="20"/>
                <w:color w:val="auto"/>
              </w:rPr>
            </w:pPr>
            <w:r>
              <w:rPr>
                <w:rFonts w:ascii="Arial" w:cs="Arial" w:eastAsia="Arial" w:hAnsi="Arial"/>
                <w:sz w:val="18"/>
                <w:szCs w:val="18"/>
                <w:color w:val="auto"/>
              </w:rPr>
              <w:t>(3,824)(f)(g)</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(43,915)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(11,756)</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21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(2,851)(d)(f)(g)</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(15,299)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w:t>
            </w:r>
          </w:p>
        </w:tc>
        <w:tc>
          <w:tcPr>
            <w:tcW w:w="560" w:type="dxa"/>
            <w:vAlign w:val="bottom"/>
          </w:tcPr>
          <w:p>
            <w:pPr>
              <w:spacing w:after="0"/>
              <w:rPr>
                <w:sz w:val="18"/>
                <w:szCs w:val="18"/>
                <w:color w:val="auto"/>
              </w:rPr>
            </w:pPr>
          </w:p>
        </w:tc>
        <w:tc>
          <w:tcPr>
            <w:tcW w:w="780" w:type="dxa"/>
            <w:vAlign w:val="bottom"/>
          </w:tcPr>
          <w:p>
            <w:pPr>
              <w:jc w:val="center"/>
              <w:ind w:left="316"/>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(33,013)</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(775)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(692)</w:t>
            </w:r>
          </w:p>
        </w:tc>
        <w:tc>
          <w:tcPr>
            <w:tcW w:w="204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rPr>
              <w:t>(6,675)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(40,380)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Financial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790</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3,353</w:t>
            </w:r>
            <w:r>
              <w:rPr>
                <w:rFonts w:ascii="Arial" w:cs="Arial" w:eastAsia="Arial" w:hAnsi="Arial"/>
                <w:sz w:val="15"/>
                <w:szCs w:val="15"/>
                <w:color w:val="auto"/>
                <w:w w:val="89"/>
              </w:rPr>
              <w:t>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2,995</w:t>
            </w:r>
          </w:p>
        </w:tc>
        <w:tc>
          <w:tcPr>
            <w:tcW w:w="214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(264)</w:t>
            </w: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5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3,353</w:t>
            </w:r>
          </w:p>
        </w:tc>
        <w:tc>
          <w:tcPr>
            <w:tcW w:w="5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2,995</w:t>
            </w: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(32,487)</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2,578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2,303</w:t>
            </w:r>
          </w:p>
        </w:tc>
        <w:tc>
          <w:tcPr>
            <w:tcW w:w="204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rPr>
              <w:t>(6,675)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(36,859)</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Taxes on income</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80" w:type="dxa"/>
            <w:vAlign w:val="bottom"/>
            <w:tcBorders>
              <w:bottom w:val="single" w:sz="8" w:color="auto"/>
            </w:tcBorders>
          </w:tcPr>
          <w:p>
            <w:pPr>
              <w:jc w:val="center"/>
              <w:ind w:left="316"/>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9"/>
                <w:szCs w:val="19"/>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(32,487)</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2,578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2,303</w:t>
            </w:r>
          </w:p>
        </w:tc>
        <w:tc>
          <w:tcPr>
            <w:tcW w:w="204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rPr>
              <w:t>(6,675)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(36,859)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Equityholders of the parent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(31,571)</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2,578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2,303</w:t>
            </w:r>
          </w:p>
        </w:tc>
        <w:tc>
          <w:tcPr>
            <w:tcW w:w="21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(7,591)(a)</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36,859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(916)</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ind w:right="1080"/>
              <w:spacing w:after="0"/>
              <w:rPr>
                <w:sz w:val="20"/>
                <w:szCs w:val="20"/>
                <w:color w:val="auto"/>
              </w:rPr>
            </w:pPr>
            <w:r>
              <w:rPr>
                <w:rFonts w:ascii="Arial" w:cs="Arial" w:eastAsia="Arial" w:hAnsi="Arial"/>
                <w:sz w:val="18"/>
                <w:szCs w:val="18"/>
                <w:color w:val="auto"/>
              </w:rPr>
              <w:t>916(a)</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(32,487)</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2,578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2,303</w:t>
            </w:r>
          </w:p>
        </w:tc>
        <w:tc>
          <w:tcPr>
            <w:tcW w:w="204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rPr>
              <w:t>(6,675)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(36,859)</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w w:val="96"/>
              </w:rPr>
              <w:t>Weighted average shares outstanding — basic and</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1,163,625</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2"/>
          </w:tcPr>
          <w:p>
            <w:pPr>
              <w:jc w:val="right"/>
              <w:ind w:right="1090"/>
              <w:spacing w:after="0"/>
              <w:rPr>
                <w:sz w:val="20"/>
                <w:szCs w:val="20"/>
                <w:color w:val="auto"/>
              </w:rPr>
            </w:pPr>
            <w:r>
              <w:rPr>
                <w:rFonts w:ascii="Arial" w:cs="Arial" w:eastAsia="Arial" w:hAnsi="Arial"/>
                <w:sz w:val="18"/>
                <w:szCs w:val="18"/>
                <w:color w:val="auto"/>
                <w:w w:val="93"/>
              </w:rPr>
              <w:t>61,744,992</w:t>
            </w: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62,908,617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(27.13)</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5"/>
          <w:szCs w:val="15"/>
          <w:color w:val="auto"/>
        </w:rPr>
      </w:pPr>
      <w:r>
        <w:rPr>
          <w:rFonts w:ascii="Arial" w:cs="Arial" w:eastAsia="Arial" w:hAnsi="Arial"/>
          <w:sz w:val="18"/>
          <w:szCs w:val="18"/>
          <w:color w:val="auto"/>
        </w:rPr>
        <w:t>Amount classified as investment income on Trust Account in ARYA’s historical financial statements.</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51"/>
        </w:numPr>
        <w:rPr>
          <w:rFonts w:ascii="Arial" w:cs="Arial" w:eastAsia="Arial" w:hAnsi="Arial"/>
          <w:sz w:val="15"/>
          <w:szCs w:val="15"/>
          <w:color w:val="auto"/>
        </w:rPr>
      </w:pPr>
      <w:r>
        <w:rPr>
          <w:rFonts w:ascii="Arial" w:cs="Arial" w:eastAsia="Arial" w:hAnsi="Arial"/>
          <w:sz w:val="18"/>
          <w:szCs w:val="18"/>
          <w:color w:val="auto"/>
        </w:rPr>
        <w:t>Refer to note 4 (foreign currency adjustments).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52"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to illustrate the effect of the Transaction and has been prepared for informational purposes only.</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historical consolidated financial statements of Immatics OpCo and the historical financial statements of ARYA have been adjusted in the pro forma condensed combined financial information to give effect to pro forma events that are (1) directly attributable to the Transaction, (2) factually supportable and (3) with respect to the pro forma condensed combined statement of loss, expected to have a continuing impact on the combined results following the Transaction. The adjustments presented in the unaudited pro forma condensed combined financial information are based on currently available information and certain information that management of Immatics OpCo and ARYA believe are reasonable under the circumstances. The unaudited condensed pro forma adjustments may be revised as additional information becomes available.</w:t>
      </w:r>
    </w:p>
    <w:p>
      <w:pPr>
        <w:spacing w:after="0" w:line="17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Immatics OpCo and ARYA did not have any historical relationship prior to the Transaction. Accordingly, no pro forma adjustments were required to eliminate activities between the companies.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holders of ARYA Class A shares exercised their redemption rights upon consummation of the Transaction.</w:t>
      </w:r>
    </w:p>
    <w:p>
      <w:pPr>
        <w:spacing w:after="0" w:line="370"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policy conformity changes</w:t>
      </w:r>
    </w:p>
    <w:p>
      <w:pPr>
        <w:spacing w:after="0" w:line="121"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The historical financial information of ARYA was prepared in accordance with U.S. GAAP. No adjustments were required to convert ARYA’s historical financial information from U.S. GAAP to IFRS or to align ARYA’s accounting policies to those applied by Immatics OpCo.</w:t>
      </w:r>
    </w:p>
    <w:p>
      <w:pPr>
        <w:spacing w:after="0" w:line="14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ARYA’s historical financial information is presented in accordance with the presentation of Immatics OpCo’s historical financial information, certain reclassifications of ARYA’s historical financial information are required, which are disclosed on the unaudited condensed combined statement of financial position and statement of loss.</w:t>
      </w:r>
    </w:p>
    <w:p>
      <w:pPr>
        <w:spacing w:after="0" w:line="328"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adjustments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historical financial statements of ARYA are presented in U.S. dollars. The historical financial information was translated from U.S. dollars to Euros using the following historical exchange rates: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Euros</w:t>
            </w:r>
          </w:p>
        </w:tc>
      </w:tr>
      <w:tr>
        <w:trPr>
          <w:trHeight w:val="148"/>
        </w:trPr>
        <w:tc>
          <w:tcPr>
            <w:tcW w:w="7680" w:type="dxa"/>
            <w:vAlign w:val="bottom"/>
          </w:tcPr>
          <w:p>
            <w:pPr>
              <w:spacing w:after="0"/>
              <w:rPr>
                <w:sz w:val="12"/>
                <w:szCs w:val="12"/>
                <w:color w:val="auto"/>
              </w:rPr>
            </w:pPr>
          </w:p>
        </w:tc>
        <w:tc>
          <w:tcPr>
            <w:tcW w:w="6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per</w:t>
            </w:r>
          </w:p>
        </w:tc>
      </w:tr>
      <w:tr>
        <w:trPr>
          <w:trHeight w:val="148"/>
        </w:trPr>
        <w:tc>
          <w:tcPr>
            <w:tcW w:w="7680" w:type="dxa"/>
            <w:vAlign w:val="bottom"/>
          </w:tcPr>
          <w:p>
            <w:pPr>
              <w:spacing w:after="0"/>
              <w:rPr>
                <w:sz w:val="12"/>
                <w:szCs w:val="12"/>
                <w:color w:val="auto"/>
              </w:rPr>
            </w:pPr>
          </w:p>
        </w:tc>
        <w:tc>
          <w:tcPr>
            <w:tcW w:w="6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U.S.</w:t>
            </w:r>
          </w:p>
        </w:tc>
      </w:tr>
      <w:tr>
        <w:trPr>
          <w:trHeight w:val="171"/>
        </w:trPr>
        <w:tc>
          <w:tcPr>
            <w:tcW w:w="768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w:t>
            </w:r>
          </w:p>
        </w:tc>
      </w:tr>
      <w:tr>
        <w:trPr>
          <w:trHeight w:val="210"/>
        </w:trPr>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exchange rate for three months ended March 31, 2020</w:t>
            </w:r>
          </w:p>
        </w:tc>
        <w:tc>
          <w:tcPr>
            <w:tcW w:w="6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0.9069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Period end exchange rate as of March 31, 2020</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w w:val="98"/>
              </w:rPr>
              <w:t>0.9127</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Average exchange rate for year ended December 31, 2019</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0.8932</w:t>
            </w:r>
          </w:p>
        </w:tc>
      </w:tr>
    </w:tbl>
    <w:p>
      <w:pPr>
        <w:spacing w:after="0" w:line="346"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financial information</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pro forma adjustments are based on preliminary estimates and assumptions that are subject to change. The following adjustments have been reflected in the unaudited pro forma condensed combined financial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w:t>
      </w:r>
    </w:p>
    <w:p>
      <w:pPr>
        <w:spacing w:after="0" w:line="131" w:lineRule="exact"/>
        <w:rPr>
          <w:sz w:val="20"/>
          <w:szCs w:val="20"/>
          <w:color w:val="auto"/>
        </w:rPr>
      </w:pPr>
    </w:p>
    <w:p>
      <w:pPr>
        <w:ind w:left="540" w:hanging="424"/>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Reflects the adjustments to share capital and share premium after the contribution of Immatics OpCo’s shares outstanding to Immatics in exchange for 33,093,838 ordinary shares, and the exchange of all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120"/>
        <w:spacing w:after="0" w:line="263" w:lineRule="auto"/>
        <w:rPr>
          <w:sz w:val="20"/>
          <w:szCs w:val="20"/>
          <w:color w:val="auto"/>
        </w:rPr>
      </w:pPr>
      <w:r>
        <w:rPr>
          <w:rFonts w:ascii="Arial" w:cs="Arial" w:eastAsia="Arial" w:hAnsi="Arial"/>
          <w:sz w:val="18"/>
          <w:szCs w:val="18"/>
          <w:color w:val="auto"/>
        </w:rPr>
        <w:t>in the share capital of Immatics US held by the Immatics US Co-Founder for 697,431 ordinary shares resulting in an increase to share capital and share premium of €338 thousand and €1.6 million, respectively. Immatics OpCo’s historical share capital of €1.2 million and the non-controlling interest of €783 are eliminated.</w:t>
      </w:r>
    </w:p>
    <w:p>
      <w:pPr>
        <w:spacing w:after="0" w:line="89" w:lineRule="exact"/>
        <w:rPr>
          <w:sz w:val="20"/>
          <w:szCs w:val="20"/>
          <w:color w:val="auto"/>
        </w:rPr>
      </w:pPr>
    </w:p>
    <w:p>
      <w:pPr>
        <w:ind w:left="540" w:right="20" w:hanging="424"/>
        <w:spacing w:after="0" w:line="291"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Reflects the contribution of all outstanding ARYA ordinary shares and ARYA public warrants to Immatics and the issuance of 17,968,750 ordinary shares and 7,187,500 public warrants in exchange. The Transaction is accounted for under IFRS 2 with an expense reflected for the difference between the fair value of ordinary shares and public warrants issued to ARYA shareholders and warrantholders and the fair value of ARYA’s net assets contributed. As the holders of redeemable ARYA Class A shares did not exercise their redemption rights, Immatics issued 17,968,750 ordinary shares and 7,187,500 public warrants and recognized share capital of €180 thousand and share premium of €123.4 million in exchange for all outstanding ARYA Class A shares, ARYA Class B shares and ARYA warrants. ARYA’s historical equity, including additional paid-in capital of €4.6 million, an accumulated deficit of €58 thousand, and ARYA Class A shares and ARYA Class B shares of €123.6 million are eliminated.</w:t>
      </w:r>
    </w:p>
    <w:p>
      <w:pPr>
        <w:spacing w:after="0" w:line="58" w:lineRule="exact"/>
        <w:rPr>
          <w:rFonts w:ascii="Arial" w:cs="Arial" w:eastAsia="Arial" w:hAnsi="Arial"/>
          <w:sz w:val="16"/>
          <w:szCs w:val="16"/>
          <w:color w:val="auto"/>
        </w:rPr>
      </w:pPr>
    </w:p>
    <w:p>
      <w:pPr>
        <w:ind w:left="560" w:right="80"/>
        <w:spacing w:after="0" w:line="293" w:lineRule="auto"/>
        <w:rPr>
          <w:rFonts w:ascii="Arial" w:cs="Arial" w:eastAsia="Arial" w:hAnsi="Arial"/>
          <w:sz w:val="16"/>
          <w:szCs w:val="16"/>
          <w:color w:val="auto"/>
        </w:rPr>
      </w:pPr>
      <w:r>
        <w:rPr>
          <w:rFonts w:ascii="Arial" w:cs="Arial" w:eastAsia="Arial" w:hAnsi="Arial"/>
          <w:sz w:val="16"/>
          <w:szCs w:val="16"/>
          <w:color w:val="auto"/>
        </w:rPr>
        <w:t>In accordance with IFRS 2, the difference between the fair value of ordinary shares issued and the fair value of ARYA’s identifiable net assets is reflected as an expense, resulting in a €155.8 million increase to accumulated deficit in accordance with the calculation described below. This IFRS 2 expense, which is non-recurring and therefore excluded from the unaudited pro forma condensed combined statement of loss, reflects increases in the prices for ARYA ordinary shares and ARYA public warrants during the time from the signing of the Business Combination Agreement on March 17, 2020 and the closing price on July 1, 2020. The book value of ARYA’s net assets are assumed to approximate fair value. ARYA’s net assets consist primarily of marketable securities, which are recorded at fair value, and current liabilities.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54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 except share and per share data)</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4"/>
        </w:trPr>
        <w:tc>
          <w:tcPr>
            <w:tcW w:w="8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76"/>
        </w:trPr>
        <w:tc>
          <w:tcPr>
            <w:tcW w:w="854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209"/>
        </w:trPr>
        <w:tc>
          <w:tcPr>
            <w:tcW w:w="8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 ARYA Ordinary Shares</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17,968,750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(b) Closing price of ARYA Ordinary Shares on Nasdaq as of July 1, 2020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13.83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 Fair value of ordinary shares issued to ARYA shareholders (a * b)</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248,473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 Outstanding ARYA Public Warrants</w:t>
            </w:r>
          </w:p>
        </w:tc>
        <w:tc>
          <w:tcPr>
            <w:tcW w:w="12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7,187,500</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 Closing price of ARYA Public Warrants on Nasdaq as of July 1, 2020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(f) Fair value of outstanding ARYA Public Warrants (d * 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35,491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ARYA Ordinary Shares and ARYA Public Warrants(c + f)</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2"/>
              </w:rPr>
              <w:t>283,964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ARYA’s identifiable net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128,197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IFRS 2 Expense on the closing date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2"/>
              </w:rPr>
              <w:t>155,767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color w:val="auto"/>
        </w:rPr>
        <w:t>The entire amount of cash and cash equivalents held in the ARYA Trust Account of €135.7 million (as of March 31, 2020) becomes available to Immatics following the transaction, and is reclassified to cash and cash equivalents.</w:t>
      </w:r>
    </w:p>
    <w:p>
      <w:pPr>
        <w:spacing w:after="0" w:line="76" w:lineRule="exact"/>
        <w:rPr>
          <w:sz w:val="20"/>
          <w:szCs w:val="20"/>
          <w:color w:val="auto"/>
        </w:rPr>
      </w:pPr>
    </w:p>
    <w:p>
      <w:pPr>
        <w:ind w:left="540" w:right="100" w:hanging="424"/>
        <w:spacing w:after="0" w:line="27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Reflects proceeds from the PIPE Financing, increasing cash and cash equivalents by €95.1 million ($104.2 million), with corresponding increases to share capital and share premium of €104 thousand and €95.0 million, respectively.</w:t>
      </w:r>
    </w:p>
    <w:p>
      <w:pPr>
        <w:spacing w:after="0" w:line="75" w:lineRule="exact"/>
        <w:rPr>
          <w:rFonts w:ascii="Arial" w:cs="Arial" w:eastAsia="Arial" w:hAnsi="Arial"/>
          <w:sz w:val="18"/>
          <w:szCs w:val="18"/>
          <w:color w:val="auto"/>
        </w:rPr>
      </w:pPr>
    </w:p>
    <w:p>
      <w:pPr>
        <w:jc w:val="both"/>
        <w:ind w:left="540" w:right="240" w:hanging="424"/>
        <w:spacing w:after="0" w:line="311"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Reflects the elimination of transaction-related costs of €2.7 million and €152 thousand for the three months ended March 31, 2020 and the year ended December 31, 2019, respectively, which are reflected in Immatics OpCo’s historical consolidated statement of loss and the elimination of €511 thousand of costs directly attributable to raising new capital, which had been capitalized within other current assets as of March 31, 2020.</w:t>
      </w:r>
    </w:p>
    <w:p>
      <w:pPr>
        <w:spacing w:after="0" w:line="54" w:lineRule="exact"/>
        <w:rPr>
          <w:rFonts w:ascii="Arial" w:cs="Arial" w:eastAsia="Arial" w:hAnsi="Arial"/>
          <w:sz w:val="16"/>
          <w:szCs w:val="16"/>
          <w:color w:val="auto"/>
        </w:rPr>
      </w:pPr>
    </w:p>
    <w:p>
      <w:pPr>
        <w:ind w:left="540" w:right="20" w:hanging="424"/>
        <w:spacing w:after="0" w:line="263"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Reflects €18.6 million of additional incremental costs incurred in the Transaction after March 31, 2020, which are classified in accounts payable in the unaudited pro forma condensed combined statement of financial position. The amount of transaction costs deemed directly attributable to raising new capital is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75" w:lineRule="auto"/>
        <w:rPr>
          <w:sz w:val="20"/>
          <w:szCs w:val="20"/>
          <w:color w:val="auto"/>
        </w:rPr>
      </w:pPr>
      <w:r>
        <w:rPr>
          <w:rFonts w:ascii="Arial" w:cs="Arial" w:eastAsia="Arial" w:hAnsi="Arial"/>
          <w:sz w:val="17"/>
          <w:szCs w:val="17"/>
          <w:color w:val="auto"/>
        </w:rPr>
        <w:t>determined based on the percentage of share capital held by ARYA shareholders and PIPE Investors immediately following the transaction. As a result, €5.7 million of the transaction costs were determined to be directly attributable to raising new capital in the Transaction, which is reflected as a decrease in share premium. The remaining €12.9 million, which is not directly related to raising new capital, is reflected as an increase to accumulated deficit. Deferred underwriting commissions of €4.3 million, which are reflected in ARYA’s historical statement of financial position and payable after the Transaction, are reclassified to other current liabilities.</w:t>
      </w:r>
    </w:p>
    <w:p>
      <w:pPr>
        <w:spacing w:after="0" w:line="82" w:lineRule="exact"/>
        <w:rPr>
          <w:sz w:val="20"/>
          <w:szCs w:val="20"/>
          <w:color w:val="auto"/>
        </w:rPr>
      </w:pPr>
    </w:p>
    <w:p>
      <w:pPr>
        <w:ind w:left="540" w:right="60" w:hanging="424"/>
        <w:spacing w:after="0" w:line="269"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Holders of vested Immatics OpCo stock appreciation rights (“SARs”) received for each vested Immatics OpCo SAR outstanding immediately prior to the Closing a right to receive a cash payment equal to the value, if any, of such vested Immatics OpCo SAR less the applicable exercise price of such vested Immatics OpCo SAR (“SAR Cash Proceeds”). Under the Business Combination Agreement, active employees and management members are required to re-invest a minimum of 25%-50% of the SAR Cash Proceeds, net of taxes, up to a maximum of 50%. The re-investment minimum is dependent on seniority, with management members required to re-invest a minimum of 50%. Recipients of SAR Cash Proceeds elected to re-invest approximately 48% of their SAR Cash Proceeds in exchange for ordinary shares. Therefore, the cash payment net of employee re-investment results in an increase to other current liabilities of €10.0 million, a decrease in other non-current liabilities related to the previously outstanding awards of €2.8 million, an increase to share capital of €7 thousand and share premium of €9.8 million, and an increase to accumulated deficit of €17.0 million. The increase to accumulated deficit represents the added expense from the accelerated vesting of the Immatics OpCo SARs.</w:t>
      </w:r>
    </w:p>
    <w:p>
      <w:pPr>
        <w:spacing w:after="0" w:line="77" w:lineRule="exact"/>
        <w:rPr>
          <w:rFonts w:ascii="Arial" w:cs="Arial" w:eastAsia="Arial" w:hAnsi="Arial"/>
          <w:sz w:val="17"/>
          <w:szCs w:val="17"/>
          <w:color w:val="auto"/>
        </w:rPr>
      </w:pPr>
    </w:p>
    <w:p>
      <w:pPr>
        <w:ind w:left="560" w:right="20"/>
        <w:spacing w:after="0" w:line="290" w:lineRule="auto"/>
        <w:rPr>
          <w:rFonts w:ascii="Arial" w:cs="Arial" w:eastAsia="Arial" w:hAnsi="Arial"/>
          <w:sz w:val="17"/>
          <w:szCs w:val="17"/>
          <w:color w:val="auto"/>
        </w:rPr>
      </w:pPr>
      <w:r>
        <w:rPr>
          <w:rFonts w:ascii="Arial" w:cs="Arial" w:eastAsia="Arial" w:hAnsi="Arial"/>
          <w:sz w:val="16"/>
          <w:szCs w:val="16"/>
          <w:color w:val="auto"/>
        </w:rPr>
        <w:t>For each ordinary share purchased by active employees and management members re-investing a portion of his or her SAR Cash Proceeds, Immatics granted two options to purchase one ordinary share under the 2020 Stock Option and Incentive Plan (the “2020 Equity Plan”), with an exercise price equal to $10.00 (or higher, as necessary to comply with Section 409A of the U.S. Tax Code). These options vest over a period of 12 months following the close of the Transaction. The award recipient must remain employed by Immatics or one of its affiliates through the vesting date to receive the option. As the options vest over 12 months and do not have a continuing impact on the combined results following the Transaction, no adjustment with respect to the options was reflected in the unaudited pro forma condensed combined statement of financial position or the unaudited pro forma condensed combined statement of loss. Based on the SAR re-investment, management expects Immatics to incur an additional €14.1 million in share-based compensation expense related to these options.</w:t>
      </w:r>
    </w:p>
    <w:p>
      <w:pPr>
        <w:spacing w:after="0" w:line="57" w:lineRule="exact"/>
        <w:rPr>
          <w:rFonts w:ascii="Arial" w:cs="Arial" w:eastAsia="Arial" w:hAnsi="Arial"/>
          <w:sz w:val="17"/>
          <w:szCs w:val="17"/>
          <w:color w:val="auto"/>
        </w:rPr>
      </w:pPr>
    </w:p>
    <w:p>
      <w:pPr>
        <w:ind w:left="560" w:right="40"/>
        <w:spacing w:after="0" w:line="270" w:lineRule="auto"/>
        <w:rPr>
          <w:rFonts w:ascii="Arial" w:cs="Arial" w:eastAsia="Arial" w:hAnsi="Arial"/>
          <w:sz w:val="17"/>
          <w:szCs w:val="17"/>
          <w:color w:val="auto"/>
        </w:rPr>
      </w:pPr>
      <w:r>
        <w:rPr>
          <w:rFonts w:ascii="Arial" w:cs="Arial" w:eastAsia="Arial" w:hAnsi="Arial"/>
          <w:sz w:val="17"/>
          <w:szCs w:val="17"/>
          <w:color w:val="auto"/>
        </w:rPr>
        <w:t>In addition, ARYA and Immatics OpCo granted performance-based options and service-based options out of the 2020 Equity Plan to Immatics OpCo’s executive officers and key personnel in connection with the Business Combination. The performance-based options vest based both on achievement of market capitalization milestones and satisfaction of a four-year time-based vesting schedule. As the market capitalization milestones represent market vesting conditions, the grant date fair value of these awards is reduced by the probability of not achieving each respective milestone. The service-based options will vest solely on a four-year time-based vesting schedule. The pro forma condensed combined statement of loss reflects additional research and development expenses and general and administrative expenses of €1.7 million and €2.3 million, respectively, in connection with these awards for the 12 months ended December 31, 2019. Additional research and development expenses and general and administrative expenses of €446 thousand and €592 thousand, respectively, are reflected in connection with these awards for the three months ended March 31, 2020.</w:t>
      </w:r>
    </w:p>
    <w:p>
      <w:pPr>
        <w:spacing w:after="0" w:line="86" w:lineRule="exact"/>
        <w:rPr>
          <w:rFonts w:ascii="Arial" w:cs="Arial" w:eastAsia="Arial" w:hAnsi="Arial"/>
          <w:sz w:val="17"/>
          <w:szCs w:val="17"/>
          <w:color w:val="auto"/>
        </w:rPr>
      </w:pPr>
    </w:p>
    <w:p>
      <w:pPr>
        <w:ind w:left="540" w:hanging="424"/>
        <w:spacing w:after="0" w:line="273"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Subject to the terms and conditions of the Business Combination Agreement and effective as of the Closing, solely with respect to Immatics OpCo SARs held by certain active employees and members of management, any Immatics OpCo SARs that would vest on or after January 1, 2021 each such Immatics OpCo SAR that was outstanding immediately prior to the Closing was cancelled in exchange for an option to purchase a certain number of ordinary shares under the 2020 Equity Plan. Shares under the 2020 Equity Plan have comparable terms as Immatics OpCo SAR, with revised exercise prices reflecting the reorganized capital structure of Immatics. The options granted under the 2020 Equity Plan are accounted for as a modification under IFRS 2, with the incremental fair value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expensed over the remaining vesting period. The incremental fair value is the difference between the fair value of the options to purchase ordinary shares under the 2020 Equity Plan and the net fair value of the exchanged unvested Immatics OpCo SAR (both measured at the date on which the replacement award is issued). The planned issuance of options to purchase ordinary shares under the 2020 Equity Plan results in an increase to research and development expenses of €512 thousand and €2.0 million and additional general and administrative expenses of €159 thousand and €638 thousand in the unaudited pro forma condensed combined statement of loss for the three months ended March 31, 2020 and the year ended December 31, 2019, respectively.</w:t>
      </w:r>
    </w:p>
    <w:p>
      <w:pPr>
        <w:spacing w:after="0" w:line="337"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pro forma basic and diluted net loss per share amounts presented in the unaudited pro forma condensed combined statement of loss are based upon the number of the ordinary shares outstanding as of March 31, 2020 and December 31, 2019, respectively, assuming the Transaction occurred on January 1, 2019. As the unaudited pro forma condensed combined statement of loss is in a loss position, anti-dilutive instruments are excluded in the calculation of diluted weighted average number of ordinary shares outstanding, including 7,187,500 public warrants, which are held by former holders of ARYA public warrants, and share-based awards issued under the 2020 Equity Plan.</w:t>
      </w:r>
    </w:p>
    <w:p>
      <w:pPr>
        <w:spacing w:after="0" w:line="176"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As the Transaction and related proposed equity transactions are being reflected as if they had occurred at the beginning of the period presented, the calculation of weighted average ordinary shares outstanding for basic and diluted net loss per share assumes that the shares issuable relating to the Transaction have been outstanding for the entire period presented.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 except share and per share data)</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1"/>
        </w:trPr>
        <w:tc>
          <w:tcPr>
            <w:tcW w:w="840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Adjustment</w:t>
            </w:r>
          </w:p>
        </w:tc>
        <w:tc>
          <w:tcPr>
            <w:tcW w:w="0" w:type="dxa"/>
            <w:vAlign w:val="bottom"/>
          </w:tcPr>
          <w:p>
            <w:pPr>
              <w:spacing w:after="0"/>
              <w:rPr>
                <w:sz w:val="1"/>
                <w:szCs w:val="1"/>
                <w:color w:val="auto"/>
              </w:rPr>
            </w:pPr>
          </w:p>
        </w:tc>
      </w:tr>
      <w:tr>
        <w:trPr>
          <w:trHeight w:val="196"/>
        </w:trPr>
        <w:tc>
          <w:tcPr>
            <w:tcW w:w="8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 forma weighted average number of ordinary shares outstanding</w:t>
            </w:r>
          </w:p>
        </w:tc>
        <w:tc>
          <w:tcPr>
            <w:tcW w:w="1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Immatics founder shares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shares issued to Immatics OpCo participating shareholders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33,093,838</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Ordinary shares issued to the Immatics US Co-Founder</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697,431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shares issued to ARYA Class A and Class B shareholders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17,968,750</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Ordinary shares issued to PIPE Investors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10,415,000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relation to the Immatics OpCo Equity Plan</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733,597</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b w:val="1"/>
                <w:bCs w:val="1"/>
                <w:color w:val="auto"/>
              </w:rPr>
              <w:t>Pro forma weighted average number of ordinary shares outstanding — basic and diluted</w:t>
            </w:r>
          </w:p>
        </w:tc>
        <w:tc>
          <w:tcPr>
            <w:tcW w:w="1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62,908,617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b w:val="1"/>
                <w:bCs w:val="1"/>
                <w:color w:val="auto"/>
              </w:rPr>
              <w:t>Pro forma net loss attributable to equityholders of the parent</w:t>
            </w:r>
          </w:p>
        </w:tc>
        <w:tc>
          <w:tcPr>
            <w:tcW w:w="1680" w:type="dxa"/>
            <w:vAlign w:val="bottom"/>
            <w:gridSpan w:val="2"/>
          </w:tcPr>
          <w:p>
            <w:pPr>
              <w:ind w:left="16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(10,540)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net loss per share — basic and diluted</w:t>
            </w:r>
          </w:p>
        </w:tc>
        <w:tc>
          <w:tcPr>
            <w:tcW w:w="1680" w:type="dxa"/>
            <w:vAlign w:val="bottom"/>
            <w:gridSpan w:val="2"/>
            <w:shd w:val="clear" w:color="auto" w:fill="CCEEFF"/>
          </w:tcPr>
          <w:p>
            <w:pPr>
              <w:ind w:left="160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b w:val="1"/>
                <w:bCs w:val="1"/>
                <w:color w:val="auto"/>
              </w:rPr>
              <w:t>Year ended December 31, 2019</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net loss attributable to equityholders of the parent</w:t>
            </w:r>
          </w:p>
        </w:tc>
        <w:tc>
          <w:tcPr>
            <w:tcW w:w="1680" w:type="dxa"/>
            <w:vAlign w:val="bottom"/>
            <w:gridSpan w:val="2"/>
            <w:shd w:val="clear" w:color="auto" w:fill="CCEEFF"/>
          </w:tcPr>
          <w:p>
            <w:pPr>
              <w:ind w:left="160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(36,859)</w:t>
            </w:r>
          </w:p>
        </w:tc>
        <w:tc>
          <w:tcPr>
            <w:tcW w:w="0" w:type="dxa"/>
            <w:vAlign w:val="bottom"/>
          </w:tcPr>
          <w:p>
            <w:pPr>
              <w:spacing w:after="0"/>
              <w:rPr>
                <w:sz w:val="1"/>
                <w:szCs w:val="1"/>
                <w:color w:val="auto"/>
              </w:rPr>
            </w:pPr>
          </w:p>
        </w:tc>
      </w:tr>
      <w:tr>
        <w:trPr>
          <w:trHeight w:val="234"/>
        </w:trPr>
        <w:tc>
          <w:tcPr>
            <w:tcW w:w="8400" w:type="dxa"/>
            <w:vAlign w:val="bottom"/>
          </w:tcPr>
          <w:p>
            <w:pPr>
              <w:spacing w:after="0"/>
              <w:rPr>
                <w:sz w:val="20"/>
                <w:szCs w:val="20"/>
                <w:color w:val="auto"/>
              </w:rPr>
            </w:pPr>
            <w:r>
              <w:rPr>
                <w:rFonts w:ascii="Arial" w:cs="Arial" w:eastAsia="Arial" w:hAnsi="Arial"/>
                <w:sz w:val="18"/>
                <w:szCs w:val="18"/>
                <w:b w:val="1"/>
                <w:bCs w:val="1"/>
                <w:color w:val="auto"/>
              </w:rPr>
              <w:t>Pro forma net loss per share — basic and diluted</w:t>
            </w:r>
          </w:p>
        </w:tc>
        <w:tc>
          <w:tcPr>
            <w:tcW w:w="1680" w:type="dxa"/>
            <w:vAlign w:val="bottom"/>
            <w:gridSpan w:val="2"/>
          </w:tcPr>
          <w:p>
            <w:pPr>
              <w:ind w:left="160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346"/>
        </w:trPr>
        <w:tc>
          <w:tcPr>
            <w:tcW w:w="8400" w:type="dxa"/>
            <w:vAlign w:val="bottom"/>
          </w:tcPr>
          <w:p>
            <w:pPr>
              <w:ind w:left="5420"/>
              <w:spacing w:after="0"/>
              <w:rPr>
                <w:sz w:val="20"/>
                <w:szCs w:val="20"/>
                <w:color w:val="auto"/>
              </w:rPr>
            </w:pPr>
            <w:r>
              <w:rPr>
                <w:rFonts w:ascii="Arial" w:cs="Arial" w:eastAsia="Arial" w:hAnsi="Arial"/>
                <w:sz w:val="18"/>
                <w:szCs w:val="18"/>
                <w:color w:val="auto"/>
              </w:rPr>
              <w:t>89</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are dedicated to the development of T cell receptor (“TCR”)-based immunotherapies for the treatment of cancer. We use our proprietary suite of technologies to identify intracellular drug targets, so called peptide-HLA or pHLA targets, as a basis for a broad range of potential immunotherapies designed to overcome the current limitations in immuno-oncology. Unlike CAR-T therapy and current antibody-based approaches, which can only target cell surface proteins, our technology enables the identification of otherwise inaccessible intercellular protein targets and thus significantly increases the diversity and novelty of the targets we can pursue. Such intracellular targets are generally recognized as one of the most important keys to</w:t>
      </w:r>
    </w:p>
    <w:p>
      <w:pPr>
        <w:spacing w:after="0" w:line="2" w:lineRule="exact"/>
        <w:rPr>
          <w:sz w:val="20"/>
          <w:szCs w:val="20"/>
          <w:color w:val="auto"/>
        </w:rPr>
      </w:pPr>
    </w:p>
    <w:p>
      <w:pPr>
        <w:ind w:left="120" w:right="280"/>
        <w:spacing w:after="0" w:line="290" w:lineRule="auto"/>
        <w:rPr>
          <w:sz w:val="20"/>
          <w:szCs w:val="20"/>
          <w:color w:val="auto"/>
        </w:rPr>
      </w:pPr>
      <w:r>
        <w:rPr>
          <w:rFonts w:ascii="Arial" w:cs="Arial" w:eastAsia="Arial" w:hAnsi="Arial"/>
          <w:sz w:val="17"/>
          <w:szCs w:val="17"/>
          <w:color w:val="auto"/>
        </w:rPr>
        <w:t>unlock hard-to-treat cancer, particularly solid cancers. We believe that the elucidation of these targets gives us an advantage that we are leveraging to develop a pipeline of novel TCR-based products designed to deliver a robust and specific T cell response against cancer cells.</w:t>
      </w:r>
    </w:p>
    <w:p>
      <w:pPr>
        <w:spacing w:after="0" w:line="16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are developing our targeted immunotherapy candidates with an emphasis on treating solid tumors through two distinct treatment modalities: Adoptive Cell Therapies (“ACT”) and antibody-like TCR Bispecifics (“TCER”). As of today, our wholly owned pipeline comprises eight therapeutic programs, of which four are in clinical trials and four are in preclinical stage. In addition to this proprietary pipeline, we are also developing some of our targets and TCRs through programs in alliances with global leaders, such as Amgen, Genmab, BMS and GlaxoSmithKline. In these collaborations, we seek to evaluate and enable the development of ten collaborative programs based on novel company-derived targets in a variety of immunotherapeutic approaches. From our research and development origins in Tübingen, Germany, to our cell therapy research and development (“R&amp;D”) and manufacturing center in Houston, Texas, our global team is committed to developing and advancing our therapeutic pipeline and collaboration programs to address significant unmet medical needs in oncology.</w:t>
      </w:r>
    </w:p>
    <w:p>
      <w:pPr>
        <w:spacing w:after="0" w:line="178"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 cells are critical actors in staging an effective immune response against diseased and abnormal cells, such as cancer cells. The human leukocyte antigen (“HLA”) system, also known as the major histocompatibility complex (“MHC”) in humans, is an important part of the immune system because it presents antigenic or foreign peptides on the surface of the cell to be recognized by the T cell receptor. Due to their biologic purpose to bind to peptides presented on HLA receptors (“pHLA targets”), we believe that TCRs represent a new therapeutic opportunity for leveraging the power of T cells. Our investigational immunotherapies are designed to use the potency and specificity of natural and engineered TCRs to attack and kill cancer cells and, in the case of solid tumors, invade the tumor, potentially overcoming significant hurdles for current immuno-oncology approaches.</w:t>
      </w:r>
    </w:p>
    <w:p>
      <w:pPr>
        <w:spacing w:after="0" w:line="164"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Our target discovery platform, called XPRESIDENT, is a high throughput quantitative and ultrasensitive mass spectrometry (LC-MS/MS) based approach, which we have utilized to conduct a comparative and HLA-focused proteomic analysis combined with a transcriptomic analysis on thousands of cancer and healthy tissues. Using XPRESIDENT we have identified cancer targets that are presented on tumors but not, or to a far lower extent, on healthy tissues. We believe that XPRESIDENT allows us to confirm that these targets are naturally presented — in contrast to typical discovery methodologies relying on artificially cultured cell lines or in silico prediction algorithms. We delineate these mass spectrometry validated cancer targets into three classes: (1) peptides of well-known and characterized cancer target proteins; (2) unknown or poorly characterized proteins; and (3) crypto targets/neoantigens. Following analysis of over 400,000,000 MS/MS spectra and an initial long-list of 8,000 tumor-associated pHLA targets, we have focused on a prioritized short-list of over 200 tumor-associated and tumor-selected targets from these three categories and developed an extensive intellectual property portfolio to protect our discoveries.</w:t>
      </w:r>
    </w:p>
    <w:p>
      <w:pPr>
        <w:spacing w:after="0" w:line="18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Once a suitable target is identified, we leverage our XCEPTOR TCR discovery platform to develop, engineer and validate cognate TCRs for these targets. A rigorous process of assessing and optimizing the specificity and affinity of TCRs is critical for selecting the right TCR which, as part of an immunotherapeutic approach, 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designed to focus an immune system attack on the tumor and confer a potent and well-tolerated therapeutic effect. Our XCEPTOR platform is differentiated from other TCR discovery platforms through leveraging the XPRESIDENT target database to generate highly specific TCRs, as a result of our capabilities to screen for off-target toxicity and cross-reactivity.</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1. Proprietary pipeline and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1714500</wp:posOffset>
            </wp:positionV>
            <wp:extent cx="6995160" cy="2828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fully-owned pipeline consists of two distinct modalities: Adoptive Cell Therapies (ACT) and antibody-like TCR Bispecifics (TCER) directed against various targets relevant in a broad range of cancers. We expect several clinical and preclinical milestones in the near term and expects to further advance part of our preclinical programs towards clinical stage within the next two years.</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Each therapeutic modality is designed with distinct attributes to produce the desired therapeutic effect for patients at different disease stages and with different types of tumors:</w:t>
      </w:r>
    </w:p>
    <w:p>
      <w:pPr>
        <w:spacing w:after="0" w:line="72" w:lineRule="exact"/>
        <w:rPr>
          <w:sz w:val="20"/>
          <w:szCs w:val="20"/>
          <w:color w:val="auto"/>
        </w:rPr>
      </w:pPr>
    </w:p>
    <w:p>
      <w:pPr>
        <w:ind w:left="1080" w:right="80" w:hanging="424"/>
        <w:spacing w:after="0" w:line="256"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Adoptive Cell Therapy (ACT)</w:t>
      </w:r>
      <w:r>
        <w:rPr>
          <w:rFonts w:ascii="Arial" w:cs="Arial" w:eastAsia="Arial" w:hAnsi="Arial"/>
          <w:sz w:val="18"/>
          <w:szCs w:val="18"/>
          <w:color w:val="auto"/>
        </w:rPr>
        <w:t>: Our clinical ACTengine program is a personalized approach for which the patient’s own T cells are</w:t>
      </w:r>
      <w:r>
        <w:rPr>
          <w:rFonts w:ascii="Arial" w:cs="Arial" w:eastAsia="Arial" w:hAnsi="Arial"/>
          <w:sz w:val="18"/>
          <w:szCs w:val="18"/>
          <w:b w:val="1"/>
          <w:bCs w:val="1"/>
          <w:color w:val="auto"/>
        </w:rPr>
        <w:t xml:space="preserve"> </w:t>
      </w:r>
      <w:r>
        <w:rPr>
          <w:rFonts w:ascii="Arial" w:cs="Arial" w:eastAsia="Arial" w:hAnsi="Arial"/>
          <w:sz w:val="18"/>
          <w:szCs w:val="18"/>
          <w:color w:val="auto"/>
        </w:rPr>
        <w:t>genetically modified to express a novel proprietary TCR created by us and then reinfused, this approach is also known as TCR-T. The ACTallo program is advancing the ACT concept beyond individualized manufacturing and is being developed to generate “off-the-shelf” cellular therapy product candidates. The ACTolog program is a pilot approach for ultra-personalized, multi-target immunotherapy product candidates utilizing endogenous (non-genetically engineered) T cells with the goal of paving the way for a next step of enabling a fully engineered multi-TCR-T.</w:t>
      </w:r>
    </w:p>
    <w:p>
      <w:pPr>
        <w:spacing w:after="0" w:line="92" w:lineRule="exact"/>
        <w:rPr>
          <w:rFonts w:ascii="Arial" w:cs="Arial" w:eastAsia="Arial" w:hAnsi="Arial"/>
          <w:sz w:val="18"/>
          <w:szCs w:val="18"/>
          <w:color w:val="auto"/>
        </w:rPr>
      </w:pPr>
    </w:p>
    <w:p>
      <w:pPr>
        <w:ind w:left="1080" w:hanging="424"/>
        <w:spacing w:after="0" w:line="266"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TCR Bispecifics (TCER)</w:t>
      </w:r>
      <w:r>
        <w:rPr>
          <w:rFonts w:ascii="Arial" w:cs="Arial" w:eastAsia="Arial" w:hAnsi="Arial"/>
          <w:sz w:val="18"/>
          <w:szCs w:val="18"/>
          <w:color w:val="auto"/>
        </w:rPr>
        <w:t>: TCER are engineered ‘off-the-shelf’ biologics consisting of a portion of the TCR which directly recognizes</w:t>
      </w:r>
      <w:r>
        <w:rPr>
          <w:rFonts w:ascii="Arial" w:cs="Arial" w:eastAsia="Arial" w:hAnsi="Arial"/>
          <w:sz w:val="18"/>
          <w:szCs w:val="18"/>
          <w:b w:val="1"/>
          <w:bCs w:val="1"/>
          <w:color w:val="auto"/>
        </w:rPr>
        <w:t xml:space="preserve"> </w:t>
      </w:r>
      <w:r>
        <w:rPr>
          <w:rFonts w:ascii="Arial" w:cs="Arial" w:eastAsia="Arial" w:hAnsi="Arial"/>
          <w:sz w:val="18"/>
          <w:szCs w:val="18"/>
          <w:color w:val="auto"/>
        </w:rPr>
        <w:t>cancer cells and a T cell recruiter domain which recruits and activates T cells. TCER are designed to attract any patient’s circulating T cells to bind and come into direct proximity with the cancer to destroy it.</w:t>
      </w:r>
    </w:p>
    <w:p>
      <w:pPr>
        <w:sectPr>
          <w:pgSz w:w="11900" w:h="16838" w:orient="portrait"/>
          <w:cols w:equalWidth="0" w:num="1">
            <w:col w:w="11120"/>
          </w:cols>
          <w:pgMar w:left="320" w:top="459" w:right="459" w:bottom="52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120"/>
          </w:cols>
          <w:pgMar w:left="320" w:top="459" w:right="459" w:bottom="52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Figure 2. Lead product classes: Personalized engineered Adoptive Cell Therapy (ACTengine) and antibody-like TCR Bispecifics (TCER).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1429385</wp:posOffset>
            </wp:positionV>
            <wp:extent cx="6995160" cy="3437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We are advancing two distinct therapeutic modalities of Adoptive Cell Therapies and TCR Bispecifics, ACTengine and TCER. While the ACTengine approach is based on engineering a patient’s own T cells to specifically attack the patient’s tumor, our TCER molecules are off-the-shelf biologics designed to re-direct any T cell in a patient’s body against the tumor and for immediate treatment of the patient. ACTengine and TCER provide two distinct mechanisms of actions suitable for patients at different cancer stages.</w:t>
      </w:r>
    </w:p>
    <w:p>
      <w:pPr>
        <w:spacing w:after="0" w:line="18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We are pursuing a clinical development strategy that accelerates product candidates toward pivotal trials preceding submission of a Biologics License Application (“BLA”) with regulatory authorities. Each program enters clinical development initially in a “basket trial” to broadly investigate safety, tolerability and initial signs of efficacy in patients with various types of solid tumors confirmed to be expressing the specific cancer target tested in a tumor biopsy taken from the patient. Assuming favorable results from these trials, we plan to expand our Phase 1 clinical trials to enable fast entry into pivotal clinical trials and potentially achieve an accelerated approval pathway.</w:t>
      </w:r>
    </w:p>
    <w:p>
      <w:pPr>
        <w:spacing w:after="0" w:line="17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Initial biological data from the first patients treated in the ACTengine trials demonstrated very high frequencies of persisting target-specific T cell in the bloodstream as well as their infiltration in tumor lesions even at the lowest treatment dose. We expect a combined initial data read-out for the ACTengine trials by early 2021.</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We have developed a proprietary manufacturing process, optimized to generate T cell products within a short manufacturing period of only 6 days, utilizing a proprietary cytokine cocktail. The process is designed to rapidly produce younger, better-persisting T cells, capable of “serial” killing of tumor cells </w:t>
      </w:r>
      <w:r>
        <w:rPr>
          <w:rFonts w:ascii="Arial" w:cs="Arial" w:eastAsia="Arial" w:hAnsi="Arial"/>
          <w:sz w:val="18"/>
          <w:szCs w:val="18"/>
          <w:i w:val="1"/>
          <w:iCs w:val="1"/>
          <w:color w:val="auto"/>
        </w:rPr>
        <w:t>in vitro</w:t>
      </w:r>
      <w:r>
        <w:rPr>
          <w:rFonts w:ascii="Arial" w:cs="Arial" w:eastAsia="Arial" w:hAnsi="Arial"/>
          <w:sz w:val="18"/>
          <w:szCs w:val="18"/>
          <w:color w:val="auto"/>
        </w:rPr>
        <w:t>. Processing time compares favorably to published reports by other companies operating in the CAR and TCR sectors. T cell products are manufactured by our personnel at the UTHealth Evelyn H. Griffin Stem Cell Therapeutics Research Laboratory in a 1,850 square foot state-of-the-art cGMP facility exclusively used by us in Houston, Texas.</w:t>
      </w:r>
    </w:p>
    <w:p>
      <w:pPr>
        <w:spacing w:after="0" w:line="18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Immatics OpCo was founded in 2000 in Tübingen, Germany by Harpreet Singh, Toni Weinschenk and others based on the revolutionary research of Professor Hans-Georg Rammensee at the University of Tübingen. In 2015, Immatics OpCo co-launched Immatics US as part of a strategic collaboration with the University of Texas MD Anderson Cancer Center and entered an agreement with UTHealth. These collaborations have allowed us to gain access to critical cell therapy expertise and cGMP manufacturing infrastructure. Since Immatics OpCo’s inception, we have raised more than $200.0 million through equity financing and have also added more than $250.0 million in nondilutive capital through our collaborations and public</w:t>
      </w:r>
    </w:p>
    <w:p>
      <w:pPr>
        <w:sectPr>
          <w:pgSz w:w="11900" w:h="16838" w:orient="portrait"/>
          <w:cols w:equalWidth="0" w:num="1">
            <w:col w:w="11120"/>
          </w:cols>
          <w:pgMar w:left="320" w:top="459" w:right="459" w:bottom="0" w:gutter="0" w:footer="0" w:header="0"/>
        </w:sectPr>
      </w:pPr>
    </w:p>
    <w:bookmarkStart w:id="98" w:name="page99"/>
    <w:bookmarkEnd w:id="98"/>
    <w:p>
      <w:pPr>
        <w:spacing w:after="0" w:line="263" w:lineRule="auto"/>
        <w:rPr>
          <w:sz w:val="20"/>
          <w:szCs w:val="20"/>
          <w:color w:val="auto"/>
        </w:rPr>
      </w:pPr>
      <w:r>
        <w:rPr>
          <w:rFonts w:ascii="Arial" w:cs="Arial" w:eastAsia="Arial" w:hAnsi="Arial"/>
          <w:sz w:val="18"/>
          <w:szCs w:val="18"/>
          <w:color w:val="auto"/>
        </w:rPr>
        <w:t>grants. We have applied this capital toward our strategy to identify, deliver and pioneer new treatments for cancer patients through identifying tumor-associated pHLA targets recognized by T cells. We believe that identifying true cancer targets that are presented on tumor tissue but not on healthy cells and the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40"/>
          </w:cols>
          <w:pgMar w:left="440" w:top="125" w:right="5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subsequent discovery, selection, and engineering of the right TCRs are central to our mission: delivering the power of T cells to cancer patients and advancing the next wave in cancer immunotherapy.</w:t>
      </w:r>
    </w:p>
    <w:p>
      <w:pPr>
        <w:spacing w:after="0" w:line="170"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We have a highly experienced global leadership team that operates seamlessly between our locations in Germany and the United States, and currently employ more than 200 people. Our management consists of an interdisciplinary team that includes medical and scientific experts, as well as accomplished business leaders, and collectively has multiple decades of experience in the pharmaceutical and biotechnology industries. In addition, our management team includes the creators and developers of our core technologies, and benefits from their continued contributions.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Current Cancer Immunotherapies</w:t>
      </w:r>
    </w:p>
    <w:p>
      <w:pPr>
        <w:spacing w:after="0" w:line="12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Cancer incidence continues to increase globally and despite advances in treatment options, cancer remains a major health problem and ranks second to cardiovascular disease as an overall cause of mortality. It is characterized by the uncontrolled growth of abnormal cells whose ability to evade the immune system’s surveillance is a key factor in their proliferation and persistence. In particular, patients with advanced, recurrent or refractory solid tumors have a generally poor prognosis and there remains for these patients a very high unmet medical need.</w:t>
      </w:r>
    </w:p>
    <w:p>
      <w:pPr>
        <w:spacing w:after="0" w:line="17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recent years, the field of immunotherapy, a form of cancer treatment utilizing the patients’ own immune system to specifically seek and destroy cancer cells, has significantly changed the standard of care in many segments of oncology and emerged as a major pillar in the treatment of cancer. Terminally ill cancer patients have experienced tumor reductions, long term benefits, and even cure in some cases through immunotherapy. Although treatment with immunotherapy including checkpoint inhibitors, CAR-T cells and monoclonal antibodies has resulted in durable responses in some tumor types, a majority of cancers do not respond to current immunotherapeutic approaches. Explanations for the lack of effective therapies in many cancers are summarized below:</w:t>
      </w:r>
    </w:p>
    <w:p>
      <w:pPr>
        <w:spacing w:after="0" w:line="98" w:lineRule="exact"/>
        <w:rPr>
          <w:sz w:val="20"/>
          <w:szCs w:val="20"/>
          <w:color w:val="auto"/>
        </w:rPr>
      </w:pPr>
    </w:p>
    <w:p>
      <w:pPr>
        <w:ind w:left="1080" w:hanging="424"/>
        <w:spacing w:after="0" w:line="25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Limited to specific patient populations</w:t>
      </w:r>
      <w:r>
        <w:rPr>
          <w:rFonts w:ascii="Arial" w:cs="Arial" w:eastAsia="Arial" w:hAnsi="Arial"/>
          <w:sz w:val="18"/>
          <w:szCs w:val="18"/>
          <w:color w:val="auto"/>
        </w:rPr>
        <w:t>: Checkpoint inhibitors have proven to be highly effective against particular cancers while being</w:t>
      </w:r>
      <w:r>
        <w:rPr>
          <w:rFonts w:ascii="Arial" w:cs="Arial" w:eastAsia="Arial" w:hAnsi="Arial"/>
          <w:sz w:val="18"/>
          <w:szCs w:val="18"/>
          <w:i w:val="1"/>
          <w:iCs w:val="1"/>
          <w:color w:val="auto"/>
        </w:rPr>
        <w:t xml:space="preserve"> </w:t>
      </w:r>
      <w:r>
        <w:rPr>
          <w:rFonts w:ascii="Arial" w:cs="Arial" w:eastAsia="Arial" w:hAnsi="Arial"/>
          <w:sz w:val="18"/>
          <w:szCs w:val="18"/>
          <w:color w:val="auto"/>
        </w:rPr>
        <w:t>ineffective against the majority of solid cancers. Checkpoint inhibitors are thought to be effective predominantly in tumors with high mutational burden, which account for less than 10% of all cancer types. However, the market and medical need for tumors without high mutational burden is significantly larger. We believe such tumors with low mutational burden will be best addressed with targeted therapies to non-mutated antigens covering various target classes.</w:t>
      </w:r>
    </w:p>
    <w:p>
      <w:pPr>
        <w:spacing w:after="0" w:line="93"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Limited target space</w:t>
      </w:r>
      <w:r>
        <w:rPr>
          <w:rFonts w:ascii="Arial" w:cs="Arial" w:eastAsia="Arial" w:hAnsi="Arial"/>
          <w:sz w:val="18"/>
          <w:szCs w:val="18"/>
          <w:color w:val="auto"/>
        </w:rPr>
        <w:t>: The limited target space is a major constraint to CAR-T cell therapies and classical monoclonal antibody-based</w:t>
      </w:r>
      <w:r>
        <w:rPr>
          <w:rFonts w:ascii="Arial" w:cs="Arial" w:eastAsia="Arial" w:hAnsi="Arial"/>
          <w:sz w:val="18"/>
          <w:szCs w:val="18"/>
          <w:i w:val="1"/>
          <w:iCs w:val="1"/>
          <w:color w:val="auto"/>
        </w:rPr>
        <w:t xml:space="preserve"> </w:t>
      </w:r>
      <w:r>
        <w:rPr>
          <w:rFonts w:ascii="Arial" w:cs="Arial" w:eastAsia="Arial" w:hAnsi="Arial"/>
          <w:sz w:val="18"/>
          <w:szCs w:val="18"/>
          <w:color w:val="auto"/>
        </w:rPr>
        <w:t>targeted therapies. Both of these approaches target surface proteins on cancer cells, which constitute only ~25% of the human proteome, leaving ~75% of intracellular proteins not accessible for these types of treatments.</w:t>
      </w:r>
    </w:p>
    <w:p>
      <w:pPr>
        <w:spacing w:after="0" w:line="89" w:lineRule="exact"/>
        <w:rPr>
          <w:rFonts w:ascii="Arial" w:cs="Arial" w:eastAsia="Arial" w:hAnsi="Arial"/>
          <w:sz w:val="18"/>
          <w:szCs w:val="18"/>
          <w:color w:val="auto"/>
        </w:rPr>
      </w:pPr>
    </w:p>
    <w:p>
      <w:pPr>
        <w:ind w:left="1080" w:right="260" w:hanging="424"/>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Limited success in solid cancers</w:t>
      </w:r>
      <w:r>
        <w:rPr>
          <w:rFonts w:ascii="Arial" w:cs="Arial" w:eastAsia="Arial" w:hAnsi="Arial"/>
          <w:sz w:val="18"/>
          <w:szCs w:val="18"/>
          <w:color w:val="auto"/>
        </w:rPr>
        <w:t>: CAR-T cell therapies have demonstrated antitumor activity in hematological cancers, including B-cell</w:t>
      </w:r>
      <w:r>
        <w:rPr>
          <w:rFonts w:ascii="Arial" w:cs="Arial" w:eastAsia="Arial" w:hAnsi="Arial"/>
          <w:sz w:val="18"/>
          <w:szCs w:val="18"/>
          <w:i w:val="1"/>
          <w:iCs w:val="1"/>
          <w:color w:val="auto"/>
        </w:rPr>
        <w:t xml:space="preserve"> </w:t>
      </w:r>
      <w:r>
        <w:rPr>
          <w:rFonts w:ascii="Arial" w:cs="Arial" w:eastAsia="Arial" w:hAnsi="Arial"/>
          <w:sz w:val="18"/>
          <w:szCs w:val="18"/>
          <w:color w:val="auto"/>
        </w:rPr>
        <w:t>acute lymphoblastic leukemia (“ALL”) and subtypes of non-Hodgkin’s lymphoma (“NHL”), such as diffuse large B cell lymphoma (“DLBCL”). However, clinical success in the majority of solid cancers, which represent a larger patient population and market, has not been achieved to date.</w:t>
      </w:r>
    </w:p>
    <w:p>
      <w:pPr>
        <w:spacing w:after="0" w:line="92" w:lineRule="exact"/>
        <w:rPr>
          <w:rFonts w:ascii="Arial" w:cs="Arial" w:eastAsia="Arial" w:hAnsi="Arial"/>
          <w:sz w:val="18"/>
          <w:szCs w:val="18"/>
          <w:color w:val="auto"/>
        </w:rPr>
      </w:pPr>
    </w:p>
    <w:p>
      <w:pPr>
        <w:ind w:left="1080" w:right="200" w:hanging="424"/>
        <w:spacing w:after="0" w:line="279"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Inhibitory tumor microenvironment (“TME”)</w:t>
      </w:r>
      <w:r>
        <w:rPr>
          <w:rFonts w:ascii="Arial" w:cs="Arial" w:eastAsia="Arial" w:hAnsi="Arial"/>
          <w:sz w:val="17"/>
          <w:szCs w:val="17"/>
          <w:color w:val="auto"/>
        </w:rPr>
        <w:t>: The tumor microenvironment is a dynamic network composed of immune cells, blood</w:t>
      </w:r>
      <w:r>
        <w:rPr>
          <w:rFonts w:ascii="Arial" w:cs="Arial" w:eastAsia="Arial" w:hAnsi="Arial"/>
          <w:sz w:val="17"/>
          <w:szCs w:val="17"/>
          <w:i w:val="1"/>
          <w:iCs w:val="1"/>
          <w:color w:val="auto"/>
        </w:rPr>
        <w:t xml:space="preserve"> </w:t>
      </w:r>
      <w:r>
        <w:rPr>
          <w:rFonts w:ascii="Arial" w:cs="Arial" w:eastAsia="Arial" w:hAnsi="Arial"/>
          <w:sz w:val="17"/>
          <w:szCs w:val="17"/>
          <w:color w:val="auto"/>
        </w:rPr>
        <w:t>vessels, stromal cells, signaling molecules and the extracellular matrix imposing a significant barrier to effective therapeutic approaches. Immunosuppressive cells and immunomodulatory factors build an immunosuppressive environment and together with the rigid extracellular matrix are thought to inhibit drugs and T cells from accessing the tumor.</w:t>
      </w:r>
    </w:p>
    <w:p>
      <w:pPr>
        <w:spacing w:after="0" w:line="76" w:lineRule="exact"/>
        <w:rPr>
          <w:rFonts w:ascii="Arial" w:cs="Arial" w:eastAsia="Arial" w:hAnsi="Arial"/>
          <w:sz w:val="17"/>
          <w:szCs w:val="17"/>
          <w:color w:val="auto"/>
        </w:rPr>
      </w:pPr>
    </w:p>
    <w:p>
      <w:pPr>
        <w:ind w:left="1080" w:right="100" w:hanging="424"/>
        <w:spacing w:after="0" w:line="286"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Tumor Heterogeneity</w:t>
      </w:r>
      <w:r>
        <w:rPr>
          <w:rFonts w:ascii="Arial" w:cs="Arial" w:eastAsia="Arial" w:hAnsi="Arial"/>
          <w:sz w:val="17"/>
          <w:szCs w:val="17"/>
          <w:color w:val="auto"/>
        </w:rPr>
        <w:t>: The tumor of each cancer patient evolves during the course of the disease. As a result, the tumor becomes more</w:t>
      </w:r>
      <w:r>
        <w:rPr>
          <w:rFonts w:ascii="Arial" w:cs="Arial" w:eastAsia="Arial" w:hAnsi="Arial"/>
          <w:sz w:val="17"/>
          <w:szCs w:val="17"/>
          <w:i w:val="1"/>
          <w:iCs w:val="1"/>
          <w:color w:val="auto"/>
        </w:rPr>
        <w:t xml:space="preserve"> </w:t>
      </w:r>
      <w:r>
        <w:rPr>
          <w:rFonts w:ascii="Arial" w:cs="Arial" w:eastAsia="Arial" w:hAnsi="Arial"/>
          <w:sz w:val="17"/>
          <w:szCs w:val="17"/>
          <w:color w:val="auto"/>
        </w:rPr>
        <w:t>heterogenous with co-existing sub-populations of tumor cell clones. The associated intra-tumoral heterogeneity of target expression might contribute to tumor evasion and consequently to treatment failures and recurrence of the tumor.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believe that our approach might be able to overcome the current challenges of immunotherapy and develop truly novel opportunities for patients.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560"/>
        <w:spacing w:after="0" w:line="286" w:lineRule="auto"/>
        <w:rPr>
          <w:sz w:val="20"/>
          <w:szCs w:val="20"/>
          <w:color w:val="auto"/>
        </w:rPr>
      </w:pPr>
      <w:r>
        <w:rPr>
          <w:rFonts w:ascii="Arial" w:cs="Arial" w:eastAsia="Arial" w:hAnsi="Arial"/>
          <w:sz w:val="17"/>
          <w:szCs w:val="17"/>
          <w:color w:val="auto"/>
        </w:rPr>
        <w:t>Our mission is to become a leading oncology-focused biopharmaceutical company by developing differentiated TCR-based immunotherapies, particularly for solid tumors that are inadequately addressed with existing treatment modalities. Specifically, we seek to execute on the following strategy to maximize the value of our technology platforms and broad portfolio of product candidates:</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 3. Differentiated approach to deliver novel TCR-based immunotherapies to cancer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1885950</wp:posOffset>
            </wp:positionV>
            <wp:extent cx="6995160" cy="24942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combine the discovery of true targets (via XPRESIDENT) with the development of the right TCRs (via XCEPTOR) to generate Adoptive Cell Therapies (ACT) (</w:t>
      </w:r>
      <w:r>
        <w:rPr>
          <w:rFonts w:ascii="Arial" w:cs="Arial" w:eastAsia="Arial" w:hAnsi="Arial"/>
          <w:sz w:val="18"/>
          <w:szCs w:val="18"/>
          <w:i w:val="1"/>
          <w:iCs w:val="1"/>
          <w:color w:val="auto"/>
        </w:rPr>
        <w:t>e.g.</w:t>
      </w:r>
      <w:r>
        <w:rPr>
          <w:rFonts w:ascii="Arial" w:cs="Arial" w:eastAsia="Arial" w:hAnsi="Arial"/>
          <w:sz w:val="18"/>
          <w:szCs w:val="18"/>
          <w:color w:val="auto"/>
        </w:rPr>
        <w:t>, ACTengine) and TCR Bispecifics (TCER). Our product candidates pass through a comprehensive preclinical characterization and validation process before entering the manufacturing phase and clinical trials.</w:t>
      </w:r>
    </w:p>
    <w:p>
      <w:pPr>
        <w:spacing w:after="0" w:line="85" w:lineRule="exact"/>
        <w:rPr>
          <w:sz w:val="20"/>
          <w:szCs w:val="20"/>
          <w:color w:val="auto"/>
        </w:rPr>
      </w:pPr>
    </w:p>
    <w:p>
      <w:pPr>
        <w:ind w:left="1080" w:hanging="424"/>
        <w:spacing w:after="0" w:line="269"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Advance the proprietary pipeline of product candidates focusing on ACTengine and TCR Bispecifics through clinical development. </w:t>
      </w:r>
      <w:r>
        <w:rPr>
          <w:rFonts w:ascii="Arial" w:cs="Arial" w:eastAsia="Arial" w:hAnsi="Arial"/>
          <w:sz w:val="17"/>
          <w:szCs w:val="17"/>
          <w:color w:val="auto"/>
        </w:rPr>
        <w:t>Our ACTengine IMA200 Series includes three product candidates in Phase 1 clinical trials (IMA201, IMA202, IMA203) and one preclinical stage product candidate (IMA204). The Phase 1 trials are investigating safety, tolerability and initial signs of efficacy in patients suffering from solid cancers such as head and neck cancer, non-small cell lung cancer, liver cancer, uterine and ovarian carcinoma and several other tumor types. After FDA approval and start of patient recruitment at the University of Texas MD Anderson Cancer Center, we received regulatory approval to initiate the first ACTengine trial in Germany. To facilitate clinical development, four additional clinical centers have been opened in the United States and Europe and initiation of a further three sites is planned in 2020. Should the trials demonstrate safety and evidence of significant tumor control and tumor reduction, we may request FDA Fast Track designation and start pivotal trials with any of our ACTengine programs. We are also advancing two preclinical TCR Bispecifics candidates towards the IND stage of development and first-in-human clinical trials. IND filing for the lead program IMA401 is planned for year-end 2021 and preclinical proof of concept for the second program IMA402 for year-end 2020.</w:t>
      </w:r>
    </w:p>
    <w:p>
      <w:pPr>
        <w:sectPr>
          <w:pgSz w:w="11900" w:h="16838" w:orient="portrait"/>
          <w:cols w:equalWidth="0" w:num="1">
            <w:col w:w="11120"/>
          </w:cols>
          <w:pgMar w:left="320" w:top="459" w:right="459" w:bottom="296" w:gutter="0" w:footer="0" w:header="0"/>
        </w:sectPr>
      </w:pPr>
    </w:p>
    <w:bookmarkStart w:id="101" w:name="page102"/>
    <w:bookmarkEnd w:id="101"/>
    <w:p>
      <w:pPr>
        <w:ind w:left="424" w:hanging="424"/>
        <w:spacing w:after="0" w:line="261" w:lineRule="auto"/>
        <w:tabs>
          <w:tab w:leader="none" w:pos="424"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Develop cell therapies and biologics providing two distinct mechanisms of actions suitable for different cancer stages. </w:t>
      </w:r>
      <w:r>
        <w:rPr>
          <w:rFonts w:ascii="Arial" w:cs="Arial" w:eastAsia="Arial" w:hAnsi="Arial"/>
          <w:sz w:val="18"/>
          <w:szCs w:val="18"/>
          <w:color w:val="auto"/>
        </w:rPr>
        <w:t>We intend to</w:t>
      </w:r>
      <w:r>
        <w:rPr>
          <w:rFonts w:ascii="Arial" w:cs="Arial" w:eastAsia="Arial" w:hAnsi="Arial"/>
          <w:sz w:val="18"/>
          <w:szCs w:val="18"/>
          <w:b w:val="1"/>
          <w:bCs w:val="1"/>
          <w:color w:val="auto"/>
        </w:rPr>
        <w:t xml:space="preserve"> </w:t>
      </w:r>
      <w:r>
        <w:rPr>
          <w:rFonts w:ascii="Arial" w:cs="Arial" w:eastAsia="Arial" w:hAnsi="Arial"/>
          <w:sz w:val="18"/>
          <w:szCs w:val="18"/>
          <w:color w:val="auto"/>
        </w:rPr>
        <w:t>leverage our technology and know-how to expand the potential therapeutic value for patients across a broad range of tumor types and stages. Both ACT and TCR Bispecifics programs are designed to overcome the limitation of CAR-T programs and improve the outcome for patients in solid cancers.</w:t>
      </w:r>
    </w:p>
    <w:p>
      <w:pPr>
        <w:spacing w:after="0" w:line="11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344"/>
          </w:cols>
          <w:pgMar w:left="976" w:top="121" w:right="5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line="263"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Our proprietary class of engineered T cell therapy has the potential to provide cancer patients with a potent therapy that infiltrates the tumor. Our clinical ACT programs aim to improve patient benefit even in advanced stage disease, which is often accompanied with high tumor burden that is difficult to treat with other approaches.</w:t>
      </w:r>
    </w:p>
    <w:p>
      <w:pPr>
        <w:spacing w:after="0" w:line="89" w:lineRule="exact"/>
        <w:rPr>
          <w:rFonts w:ascii="Arial" w:cs="Arial" w:eastAsia="Arial" w:hAnsi="Arial"/>
          <w:sz w:val="18"/>
          <w:szCs w:val="18"/>
          <w:color w:val="auto"/>
        </w:rPr>
      </w:pPr>
    </w:p>
    <w:p>
      <w:pPr>
        <w:ind w:left="1540" w:right="120" w:hanging="331"/>
        <w:spacing w:after="0" w:line="286" w:lineRule="auto"/>
        <w:tabs>
          <w:tab w:leader="none" w:pos="1540" w:val="left"/>
        </w:tabs>
        <w:numPr>
          <w:ilvl w:val="1"/>
          <w:numId w:val="65"/>
        </w:numPr>
        <w:rPr>
          <w:rFonts w:ascii="Arial" w:cs="Arial" w:eastAsia="Arial" w:hAnsi="Arial"/>
          <w:sz w:val="17"/>
          <w:szCs w:val="17"/>
          <w:color w:val="auto"/>
        </w:rPr>
      </w:pPr>
      <w:r>
        <w:rPr>
          <w:rFonts w:ascii="Arial" w:cs="Arial" w:eastAsia="Arial" w:hAnsi="Arial"/>
          <w:sz w:val="17"/>
          <w:szCs w:val="17"/>
          <w:color w:val="auto"/>
        </w:rPr>
        <w:t>Our novel class of TCR Bispecifics are designed to re-direct any T cell in a patient’s body against the tumor. TCER have the potential to be cost-effective biologic drug candidates, due to their off-the-shelf availability and simple treatment regimen. They are designed to treat advanced cancers with reduced (“debulked”) tumor burden as well as earlier stages of cancer.</w:t>
      </w:r>
    </w:p>
    <w:p>
      <w:pPr>
        <w:spacing w:after="0" w:line="66" w:lineRule="exact"/>
        <w:rPr>
          <w:rFonts w:ascii="Arial" w:cs="Arial" w:eastAsia="Arial" w:hAnsi="Arial"/>
          <w:sz w:val="17"/>
          <w:szCs w:val="17"/>
          <w:color w:val="auto"/>
        </w:rPr>
      </w:pPr>
    </w:p>
    <w:p>
      <w:pPr>
        <w:ind w:left="1080" w:right="100" w:hanging="424"/>
        <w:spacing w:after="0" w:line="289"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Enhance potency, usability and commercial viability. </w:t>
      </w:r>
      <w:r>
        <w:rPr>
          <w:rFonts w:ascii="Arial" w:cs="Arial" w:eastAsia="Arial" w:hAnsi="Arial"/>
          <w:sz w:val="16"/>
          <w:szCs w:val="16"/>
          <w:color w:val="auto"/>
        </w:rPr>
        <w:t>Our latest proprietary ACTengine manufacturing processes are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generate cell product candidates within a short six-day manufacturing window and deliver high proliferative capacity T cells, with the capability to infiltrate the patient’s tumor and function in a challenging solid tumor microenvironment. We are actively investigating multiple next-generation enhancement strategies to render T cells even more potent to combat solid tumors. For advanced-stage clinical trials and commercial supply, manufacturing processes are planned to be further optimized to ensure a robust manufacturing capability incorporating functionally closed and automated manufacturing systems as well as the use of serum free, chemically defined media. In addition, we are advancing our first allogeneic, off-the-shelf product candidate IMA301 towards the IND stage of development and a first-in-human clinical trial. IMA301 utilizes TCR-transduced gd (gamma-delta) T cells derived from healthy donors as allogeneic TCR-T products. This off-the-shelf product candidate would not require cell harvesting from the immune-compromised patient, thus could be infused directly and is expected to have significantly decreased cost of goods compared to autologous cell products.</w:t>
      </w:r>
    </w:p>
    <w:p>
      <w:pPr>
        <w:spacing w:after="0" w:line="66" w:lineRule="exact"/>
        <w:rPr>
          <w:rFonts w:ascii="Arial" w:cs="Arial" w:eastAsia="Arial" w:hAnsi="Arial"/>
          <w:sz w:val="16"/>
          <w:szCs w:val="16"/>
          <w:color w:val="auto"/>
        </w:rPr>
      </w:pPr>
    </w:p>
    <w:p>
      <w:pPr>
        <w:ind w:left="1080" w:right="20" w:hanging="424"/>
        <w:spacing w:after="0" w:line="269"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Enhance the competitive edge of our technology platforms. </w:t>
      </w:r>
      <w:r>
        <w:rPr>
          <w:rFonts w:ascii="Arial" w:cs="Arial" w:eastAsia="Arial" w:hAnsi="Arial"/>
          <w:sz w:val="17"/>
          <w:szCs w:val="17"/>
          <w:color w:val="auto"/>
        </w:rPr>
        <w:t>XPRESIDENT offers the potential exploitation of the whole tumor-associated antigen repertoire exhibiting an approximately 300% increased cancer target space and greater application potential compared to CAR-T and classical antibody approaches which can target surface antigens only. Beyond the identification of true targets from well-known tumor antigens (such as the MAGE antigen family used in IMA201 and IMA202), XPRESIDENT also identifies novel cancer targets (such as the tumor stroma target COL6A3 exon 6 used in IMA204 designed to disrupt the tumor microenvironment). In addition, we are utilizing XPRESIDENT to unlock new target spaces through novel target classes such as crypto-targets and shared neoantigens. Based on the unique interplay between our target and TCR discovery platforms XPRESIDENT and XCEPTOR, we have the capability to identify and engineer the right T cell receptors with the desired affinity and specificity. These technology platforms are the foundation for strengthening the product pipeline and our leading position in the field of TCR-based therapies. Over time, we have published our discoveries in multiple peer-reviewed, high-impact publications in Nature, Nature Medicine, Nature Biotechnology, Nature Communications and Lancet Oncology.</w:t>
      </w:r>
    </w:p>
    <w:p>
      <w:pPr>
        <w:spacing w:after="0" w:line="87" w:lineRule="exact"/>
        <w:rPr>
          <w:rFonts w:ascii="Arial" w:cs="Arial" w:eastAsia="Arial" w:hAnsi="Arial"/>
          <w:sz w:val="17"/>
          <w:szCs w:val="17"/>
          <w:color w:val="auto"/>
        </w:rPr>
      </w:pPr>
    </w:p>
    <w:p>
      <w:pPr>
        <w:ind w:left="1080" w:right="20" w:hanging="424"/>
        <w:spacing w:after="0" w:line="25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Expand our leading intellectual property portfolio. </w:t>
      </w:r>
      <w:r>
        <w:rPr>
          <w:rFonts w:ascii="Arial" w:cs="Arial" w:eastAsia="Arial" w:hAnsi="Arial"/>
          <w:sz w:val="18"/>
          <w:szCs w:val="18"/>
          <w:color w:val="auto"/>
        </w:rPr>
        <w:t>We intend to continue building on our extensive intellectual property portfolio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field of cancer targets, TCRs and technologies. Our portfolio currently includes over 3,000 worldwide active patent applications and more than 1,550 secured patents, of which over 230 are granted in the United States. The protection of our intellectual property assets is a foundational element of our ability to not only strengthen our product pipeline, but also to successfully defend and expand our position as a leader in the field of TCR therapies.</w:t>
      </w:r>
    </w:p>
    <w:p>
      <w:pPr>
        <w:spacing w:after="0" w:line="88" w:lineRule="exact"/>
        <w:rPr>
          <w:rFonts w:ascii="Arial" w:cs="Arial" w:eastAsia="Arial" w:hAnsi="Arial"/>
          <w:sz w:val="18"/>
          <w:szCs w:val="18"/>
          <w:color w:val="auto"/>
        </w:rPr>
      </w:pPr>
    </w:p>
    <w:p>
      <w:pPr>
        <w:ind w:left="1080" w:right="80" w:hanging="424"/>
        <w:spacing w:after="0" w:line="261"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Leverage the full potential of strategic collaborations. </w:t>
      </w:r>
      <w:r>
        <w:rPr>
          <w:rFonts w:ascii="Arial" w:cs="Arial" w:eastAsia="Arial" w:hAnsi="Arial"/>
          <w:sz w:val="18"/>
          <w:szCs w:val="18"/>
          <w:color w:val="auto"/>
        </w:rPr>
        <w:t>The differentiated nature of our discovery programs has been validated by recent</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collaborations including Amgen, Genmab, BMS and GlaxoSmithKline and which involve a total of ten company targets. We will seek to capitalize on the respective collaborator’s drug development and regulatory expertise and commercial capabilities to bring our collaboration product candidates to market.</w:t>
      </w:r>
    </w:p>
    <w:p>
      <w:pPr>
        <w:spacing w:after="0" w:line="85" w:lineRule="exact"/>
        <w:rPr>
          <w:rFonts w:ascii="Arial" w:cs="Arial" w:eastAsia="Arial" w:hAnsi="Arial"/>
          <w:sz w:val="18"/>
          <w:szCs w:val="18"/>
          <w:color w:val="auto"/>
        </w:rPr>
      </w:pPr>
    </w:p>
    <w:p>
      <w:pPr>
        <w:ind w:left="1080" w:right="340" w:hanging="424"/>
        <w:spacing w:after="0" w:line="282"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Extend the impact of immunotherapy through a novel ultra-personalized multi-TCR warehouse approach. </w:t>
      </w:r>
      <w:r>
        <w:rPr>
          <w:rFonts w:ascii="Arial" w:cs="Arial" w:eastAsia="Arial" w:hAnsi="Arial"/>
          <w:sz w:val="18"/>
          <w:szCs w:val="18"/>
          <w:color w:val="auto"/>
        </w:rPr>
        <w:t>We will take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step towards multi-TCR-T immunotherapy through combinatorial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2" w:lineRule="auto"/>
        <w:rPr>
          <w:sz w:val="20"/>
          <w:szCs w:val="20"/>
          <w:color w:val="auto"/>
        </w:rPr>
      </w:pPr>
      <w:r>
        <w:rPr>
          <w:rFonts w:ascii="Arial" w:cs="Arial" w:eastAsia="Arial" w:hAnsi="Arial"/>
          <w:sz w:val="17"/>
          <w:szCs w:val="17"/>
          <w:color w:val="auto"/>
        </w:rPr>
        <w:t>treatment of patients using anti-tumor and anti-stroma ACTengine products. This will enable attacking different compartments of the tumor and its microenvironment through different target classes, thereby aiming to avoid the tumor adjusting to and escaping from a single cancer target attack. With the portfolio of more than 200 prioritized cancer targets and the high-throughput capabilities in TCR discovery and characterization, we are well-positioned to build a broad library of TCR product candidates (TCR warehouse) aimed at delivering a pioneering, ultra-personalized cancer treatment. A treatment algorithm to select and deliver multiple TCR-based cell therapy products for any cancer patient will not only expand the treatable patient population, but is designed to ultimately reduce the likelihood for tumors to evade immunotherapy and prolong durability of clinical responses, possibly even resulting in cure.</w:t>
      </w:r>
    </w:p>
    <w:p>
      <w:pPr>
        <w:spacing w:after="0" w:line="79" w:lineRule="exact"/>
        <w:rPr>
          <w:sz w:val="20"/>
          <w:szCs w:val="20"/>
          <w:color w:val="auto"/>
        </w:rPr>
      </w:pPr>
    </w:p>
    <w:p>
      <w:pPr>
        <w:ind w:left="1080" w:right="160" w:hanging="424"/>
        <w:spacing w:after="0" w:line="261"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Further developing the qualities and capabilities of our organization and realizing the potential of our exceptional people. </w:t>
      </w:r>
      <w:r>
        <w:rPr>
          <w:rFonts w:ascii="Arial" w:cs="Arial" w:eastAsia="Arial" w:hAnsi="Arial"/>
          <w:sz w:val="18"/>
          <w:szCs w:val="18"/>
          <w:color w:val="auto"/>
        </w:rPr>
        <w:t>We are</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by people passionately dedicated to delivering the power of T cells to cancer patients. We have a long-term management and employee base that is the backbone of our past and future achievements. We will continue to rely on this foundation and to support and develop our outstanding team to elevate the organization to the next level.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THERAPEUTIC PIPELINE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ACT</w:t>
      </w:r>
      <w:r>
        <w:rPr>
          <w:rFonts w:ascii="Arial" w:cs="Arial" w:eastAsia="Arial" w:hAnsi="Arial"/>
          <w:sz w:val="14"/>
          <w:szCs w:val="14"/>
          <w:b w:val="1"/>
          <w:bCs w:val="1"/>
          <w:color w:val="auto"/>
        </w:rPr>
        <w:t>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92710</wp:posOffset>
            </wp:positionV>
            <wp:extent cx="6998970" cy="32873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8970" cy="3287395"/>
                    </a:xfrm>
                    <a:prstGeom prst="rect">
                      <a:avLst/>
                    </a:prstGeom>
                    <a:noFill/>
                  </pic:spPr>
                </pic:pic>
              </a:graphicData>
            </a:graphic>
          </wp:anchor>
        </w:drawing>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ACTengine at a glance</w:t>
      </w:r>
    </w:p>
    <w:p>
      <w:pPr>
        <w:spacing w:after="0" w:line="131" w:lineRule="exact"/>
        <w:rPr>
          <w:sz w:val="20"/>
          <w:szCs w:val="20"/>
          <w:color w:val="auto"/>
        </w:rPr>
      </w:pPr>
    </w:p>
    <w:p>
      <w:pPr>
        <w:ind w:left="1100" w:right="280" w:hanging="431"/>
        <w:spacing w:after="0" w:line="347" w:lineRule="auto"/>
        <w:tabs>
          <w:tab w:leader="none" w:pos="110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Expanded target space compared to CAR-T. </w:t>
      </w:r>
      <w:r>
        <w:rPr>
          <w:rFonts w:ascii="Arial" w:cs="Arial" w:eastAsia="Arial" w:hAnsi="Arial"/>
          <w:sz w:val="16"/>
          <w:szCs w:val="16"/>
          <w:color w:val="auto"/>
        </w:rPr>
        <w:t>ACTengine TCR-T targets tumor-associated peptides presented by HLA-molecules on</w:t>
      </w:r>
      <w:r>
        <w:rPr>
          <w:rFonts w:ascii="Arial" w:cs="Arial" w:eastAsia="Arial" w:hAnsi="Arial"/>
          <w:sz w:val="16"/>
          <w:szCs w:val="16"/>
          <w:b w:val="1"/>
          <w:bCs w:val="1"/>
          <w:color w:val="auto"/>
        </w:rPr>
        <w:t xml:space="preserve"> </w:t>
      </w:r>
      <w:r>
        <w:rPr>
          <w:rFonts w:ascii="Arial" w:cs="Arial" w:eastAsia="Arial" w:hAnsi="Arial"/>
          <w:sz w:val="16"/>
          <w:szCs w:val="16"/>
          <w:color w:val="auto"/>
        </w:rPr>
        <w:t>the tumor cell surface. Most relevant solid cancer targets are of intracellular nature and thus only accessible by TCR-based approaches.</w:t>
      </w:r>
    </w:p>
    <w:p>
      <w:pPr>
        <w:spacing w:after="0" w:line="21" w:lineRule="exact"/>
        <w:rPr>
          <w:rFonts w:ascii="Arial" w:cs="Arial" w:eastAsia="Arial" w:hAnsi="Arial"/>
          <w:sz w:val="16"/>
          <w:szCs w:val="16"/>
          <w:color w:val="auto"/>
        </w:rPr>
      </w:pPr>
    </w:p>
    <w:p>
      <w:pPr>
        <w:ind w:left="1100" w:right="360" w:hanging="431"/>
        <w:spacing w:after="0" w:line="314" w:lineRule="auto"/>
        <w:tabs>
          <w:tab w:leader="none" w:pos="110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TCRs with desirable affinity and specificity. </w:t>
      </w:r>
      <w:r>
        <w:rPr>
          <w:rFonts w:ascii="Arial" w:cs="Arial" w:eastAsia="Arial" w:hAnsi="Arial"/>
          <w:sz w:val="16"/>
          <w:szCs w:val="16"/>
          <w:color w:val="auto"/>
        </w:rPr>
        <w:t>ACTengine TCRs identified via XCEPTOR TCR discovery and characterized via</w:t>
      </w:r>
      <w:r>
        <w:rPr>
          <w:rFonts w:ascii="Arial" w:cs="Arial" w:eastAsia="Arial" w:hAnsi="Arial"/>
          <w:sz w:val="16"/>
          <w:szCs w:val="16"/>
          <w:b w:val="1"/>
          <w:bCs w:val="1"/>
          <w:color w:val="auto"/>
        </w:rPr>
        <w:t xml:space="preserve"> </w:t>
      </w:r>
      <w:r>
        <w:rPr>
          <w:rFonts w:ascii="Arial" w:cs="Arial" w:eastAsia="Arial" w:hAnsi="Arial"/>
          <w:sz w:val="16"/>
          <w:szCs w:val="16"/>
          <w:color w:val="auto"/>
        </w:rPr>
        <w:t>XPRESIDENT guided on- and off-target toxicity screening show desirable affinity and high specificity. Our competitive advantage to other TCR-T approaches is the combination of the suitable target (via XPRESIDENT) with the right TCR (via XCEPTOR).</w:t>
      </w:r>
    </w:p>
    <w:p>
      <w:pPr>
        <w:spacing w:after="0" w:line="47" w:lineRule="exact"/>
        <w:rPr>
          <w:rFonts w:ascii="Arial" w:cs="Arial" w:eastAsia="Arial" w:hAnsi="Arial"/>
          <w:sz w:val="16"/>
          <w:szCs w:val="16"/>
          <w:color w:val="auto"/>
        </w:rPr>
      </w:pPr>
    </w:p>
    <w:p>
      <w:pPr>
        <w:ind w:left="1100" w:right="280" w:hanging="431"/>
        <w:spacing w:after="0" w:line="266" w:lineRule="auto"/>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Active at physiological levels of target expression. </w:t>
      </w:r>
      <w:r>
        <w:rPr>
          <w:rFonts w:ascii="Arial" w:cs="Arial" w:eastAsia="Arial" w:hAnsi="Arial"/>
          <w:sz w:val="18"/>
          <w:szCs w:val="18"/>
          <w:color w:val="auto"/>
        </w:rPr>
        <w:t>We believe that ACTengine TCR-T products are highly potent and capable of</w:t>
      </w:r>
      <w:r>
        <w:rPr>
          <w:rFonts w:ascii="Arial" w:cs="Arial" w:eastAsia="Arial" w:hAnsi="Arial"/>
          <w:sz w:val="18"/>
          <w:szCs w:val="18"/>
          <w:b w:val="1"/>
          <w:bCs w:val="1"/>
          <w:color w:val="auto"/>
        </w:rPr>
        <w:t xml:space="preserve"> </w:t>
      </w:r>
      <w:r>
        <w:rPr>
          <w:rFonts w:ascii="Arial" w:cs="Arial" w:eastAsia="Arial" w:hAnsi="Arial"/>
          <w:sz w:val="18"/>
          <w:szCs w:val="18"/>
          <w:color w:val="auto"/>
        </w:rPr>
        <w:t>inducing the killing of tumor cells presenting physiological target copy numbers identified by quantitative mass spectrometry and TCR validation.</w:t>
      </w:r>
    </w:p>
    <w:p>
      <w:pPr>
        <w:spacing w:after="0" w:line="81" w:lineRule="exact"/>
        <w:rPr>
          <w:rFonts w:ascii="Arial" w:cs="Arial" w:eastAsia="Arial" w:hAnsi="Arial"/>
          <w:sz w:val="18"/>
          <w:szCs w:val="18"/>
          <w:color w:val="auto"/>
        </w:rPr>
      </w:pPr>
    </w:p>
    <w:p>
      <w:pPr>
        <w:ind w:left="1100" w:right="180" w:hanging="431"/>
        <w:spacing w:after="0" w:line="289"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Optimized manufacturing. </w:t>
      </w:r>
      <w:r>
        <w:rPr>
          <w:rFonts w:ascii="Arial" w:cs="Arial" w:eastAsia="Arial" w:hAnsi="Arial"/>
          <w:sz w:val="17"/>
          <w:szCs w:val="17"/>
          <w:color w:val="auto"/>
        </w:rPr>
        <w:t>Our proprietary short manufacturing process including a significantly shorter manufacturing period (6 days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IMA203) and a proprietary cytokine cocktail used to promote T cell expansion in culture is designed to produce younger, less differentiated T cell phenotypes which are associated with better engraftment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persistence.</w:t>
      </w:r>
    </w:p>
    <w:p>
      <w:pPr>
        <w:spacing w:after="0" w:line="63" w:lineRule="exact"/>
        <w:rPr>
          <w:rFonts w:ascii="Arial" w:cs="Arial" w:eastAsia="Arial" w:hAnsi="Arial"/>
          <w:sz w:val="17"/>
          <w:szCs w:val="17"/>
          <w:color w:val="auto"/>
        </w:rPr>
      </w:pPr>
    </w:p>
    <w:p>
      <w:pPr>
        <w:ind w:left="1100" w:right="240" w:hanging="431"/>
        <w:spacing w:after="0" w:line="277"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Patient recruitment. </w:t>
      </w:r>
      <w:r>
        <w:rPr>
          <w:rFonts w:ascii="Arial" w:cs="Arial" w:eastAsia="Arial" w:hAnsi="Arial"/>
          <w:sz w:val="17"/>
          <w:szCs w:val="17"/>
          <w:color w:val="auto"/>
        </w:rPr>
        <w:t>Patient recruitment is underway in three Phase 1 clinical trials. First combined initial data read-out is expected by</w:t>
      </w:r>
      <w:r>
        <w:rPr>
          <w:rFonts w:ascii="Arial" w:cs="Arial" w:eastAsia="Arial" w:hAnsi="Arial"/>
          <w:sz w:val="17"/>
          <w:szCs w:val="17"/>
          <w:b w:val="1"/>
          <w:bCs w:val="1"/>
          <w:color w:val="auto"/>
        </w:rPr>
        <w:t xml:space="preserve"> </w:t>
      </w:r>
      <w:r>
        <w:rPr>
          <w:rFonts w:ascii="Arial" w:cs="Arial" w:eastAsia="Arial" w:hAnsi="Arial"/>
          <w:sz w:val="17"/>
          <w:szCs w:val="17"/>
          <w:color w:val="auto"/>
        </w:rPr>
        <w:t>early 2021 and further results are expected throughout 2021. The clinical trials are investigating safety, tolerability and initial signs of efficacy in patients and are designed to include potential expansion cohorts in the case of initial signs of clinical efficacy. This may enable a fast way forward towards pivotal clinical trials in specific indications. In case the data allow, we may seek fast track designation(s) as accelerated approval pathway(s) to bring the product candidate(s) to the market.</w:t>
      </w:r>
    </w:p>
    <w:p>
      <w:pPr>
        <w:spacing w:after="0" w:line="73" w:lineRule="exact"/>
        <w:rPr>
          <w:rFonts w:ascii="Arial" w:cs="Arial" w:eastAsia="Arial" w:hAnsi="Arial"/>
          <w:sz w:val="17"/>
          <w:szCs w:val="17"/>
          <w:color w:val="auto"/>
        </w:rPr>
      </w:pPr>
    </w:p>
    <w:p>
      <w:pPr>
        <w:jc w:val="both"/>
        <w:ind w:left="1100" w:right="400" w:hanging="431"/>
        <w:spacing w:after="0" w:line="314" w:lineRule="auto"/>
        <w:tabs>
          <w:tab w:leader="none" w:pos="110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Early biological data from first patients treated. </w:t>
      </w:r>
      <w:r>
        <w:rPr>
          <w:rFonts w:ascii="Arial" w:cs="Arial" w:eastAsia="Arial" w:hAnsi="Arial"/>
          <w:sz w:val="16"/>
          <w:szCs w:val="16"/>
          <w:color w:val="auto"/>
        </w:rPr>
        <w:t>Initial biological data from the first patients treated in the ACTengine trials (N=4)</w:t>
      </w:r>
      <w:r>
        <w:rPr>
          <w:rFonts w:ascii="Arial" w:cs="Arial" w:eastAsia="Arial" w:hAnsi="Arial"/>
          <w:sz w:val="16"/>
          <w:szCs w:val="16"/>
          <w:b w:val="1"/>
          <w:bCs w:val="1"/>
          <w:color w:val="auto"/>
        </w:rPr>
        <w:t xml:space="preserve"> </w:t>
      </w:r>
      <w:r>
        <w:rPr>
          <w:rFonts w:ascii="Arial" w:cs="Arial" w:eastAsia="Arial" w:hAnsi="Arial"/>
          <w:sz w:val="16"/>
          <w:szCs w:val="16"/>
          <w:color w:val="auto"/>
        </w:rPr>
        <w:t>suggest a high persistence of target-specific T cells after infusion, already at the first low-dose level, which constitutes approximately 5-10% of our anticipated target dose. These target-specific T cells can also be detected in post-treatment tumor biopsies.</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are developing Adoptive Cell Therapies, which are designed to leverage the power of T cells to actively infiltrate tumor tissue and kill tumor cells in a specific and serial fashion.</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Figure 4. Mechanism of action of our ACTengine product candidate: from infusion to tumor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1706245</wp:posOffset>
            </wp:positionV>
            <wp:extent cx="6995160" cy="28543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Upon infusion of an ACTengine product, T cells “equipped” with the cancer target-specific TCR, are supposed to bind to the pHLA target on the tumor.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Subsequent activation of the T cell induces release of cytotoxic granules which might ultimately lead to tumor killing.</w:t>
      </w:r>
    </w:p>
    <w:p>
      <w:pPr>
        <w:spacing w:after="0" w:line="21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There are several reasons why a patient’s own T cells are often not able to protect the body against cancer, such as unavailability of activated tumor antigen specific T cells or insufficient affinity of endogenous target-specific TCRs to properly activate the T cell and fight the tumor. We believe that these problems can be overcome by engineering of autologous T cells with a well characterized and potent TCR, an approach used in our ACTengine program.</w:t>
      </w:r>
    </w:p>
    <w:p>
      <w:pPr>
        <w:spacing w:after="0" w:line="18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 xml:space="preserve">ACTengine is based on genetically engineering a patient’s own T cells with a novel TCR designed to recognize the cancer target identified by our XPRESIDENT platform. If the target of interest is confirmed on a patient’s tumor by the IMADetect companion diagnostic device candidate, lentiviral transduction of the patient’s autologous T cells with a target-specific exogenous TCR aims to essentially “reprogram” the T cells to attack the tumor. The engineered T cells are then multiplied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reinfused back into the patient for the treatment of the tumor.</w:t>
      </w:r>
    </w:p>
    <w:p>
      <w:pPr>
        <w:spacing w:after="0" w:line="17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our current ACTengine clinical trials, infusion of the engineered T cells is preceded by a preconditioning lymphodepleting chemotherapy to activate proliferation, facilitate T cell engrafting and persistence. Post-infusion of the T cell product, low-dose IL-2 is administered for 14 days to further enhance persistence of the transferred cells.</w:t>
      </w:r>
    </w:p>
    <w:p>
      <w:pPr>
        <w:sectPr>
          <w:pgSz w:w="11900" w:h="16838" w:orient="portrait"/>
          <w:cols w:equalWidth="0" w:num="1">
            <w:col w:w="11100"/>
          </w:cols>
          <w:pgMar w:left="320" w:top="459" w:right="479" w:bottom="763" w:gutter="0" w:footer="0" w:header="0"/>
        </w:sectPr>
      </w:pP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00"/>
          </w:cols>
          <w:pgMar w:left="320" w:top="459" w:right="479" w:bottom="763"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Figure 5. Schematic representation of our ACTengine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171450</wp:posOffset>
            </wp:positionV>
            <wp:extent cx="6943725" cy="59150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43725"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Process overview on how we generate a personalized ACTengine T cell product from leukapheresis to patient treatment. If the target of interest is present on the patient’s tumor as demonstrated by biomarker profiling, the patient undergoes leukapheresis followed by genetic engineering of the patient’s own (autologous) T cells with a proprietary TCR. T cells engineered with the TCR are supposed to recognize the biomarker tested target on the tumor and are expanded to larger numbers prior to re-infusion into the patient.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Development of ACTengine Product Candidates</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Our preclinical activities for ACTengine programs aim to reduce the risk of on- and off-target toxicity by careful selection and validation of targets and powerful TCRs. All ACTengine targets demonstrate high prevalence in major solid cancer indications as well as in niche indications with high medical need and limited available treatment options. We selected the highly tumor-associated ACTengine targets based on XPRESIDENT’s comprehensive dataset on mass spectrometry-based peptide presentation, as well as on mRNA expression levels for the respective source genes at the exon level. T cell activation assays with target expressing tumor cell lines further confirm that the targets are endogenously processed, naturally presented peptides. Thus, we believe the targets are promising for T cell-based immunotherapies.</w:t>
      </w:r>
    </w:p>
    <w:p>
      <w:pPr>
        <w:sectPr>
          <w:pgSz w:w="11900" w:h="16838" w:orient="portrait"/>
          <w:cols w:equalWidth="0" w:num="1">
            <w:col w:w="11100"/>
          </w:cols>
          <w:pgMar w:left="320" w:top="459" w:right="479" w:bottom="1440" w:gutter="0" w:footer="0" w:header="0"/>
        </w:sectPr>
      </w:pP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100"/>
          </w:cols>
          <w:pgMar w:left="320" w:top="459" w:right="47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6. Target characteristics of ACTengine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1671955</wp:posOffset>
            </wp:positionV>
            <wp:extent cx="6995160" cy="2922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ACTengine targets are expressed in a broad range of tumor indications. Comparison of our ACTengine targets to clinically</w:t>
      </w:r>
    </w:p>
    <w:p>
      <w:pPr>
        <w:spacing w:after="0" w:line="23"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validated NY-ESO-1 demonstrates that IMA201, IMA202 and IMA203 targets show specificity profiles similar to NY-ESO-1 while having significantly higher peptide copy numbers.</w:t>
      </w:r>
    </w:p>
    <w:p>
      <w:pPr>
        <w:spacing w:after="0" w:line="91"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5"/>
          <w:szCs w:val="15"/>
          <w:color w:val="auto"/>
        </w:rPr>
      </w:pPr>
      <w:r>
        <w:rPr>
          <w:rFonts w:ascii="Arial" w:cs="Arial" w:eastAsia="Arial" w:hAnsi="Arial"/>
          <w:sz w:val="18"/>
          <w:szCs w:val="18"/>
          <w:color w:val="auto"/>
        </w:rPr>
        <w:t>Natural presentation of this peptide has been validated by clinical data,</w:t>
      </w:r>
    </w:p>
    <w:p>
      <w:pPr>
        <w:spacing w:after="0" w:line="131"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5"/>
          <w:szCs w:val="15"/>
          <w:color w:val="auto"/>
        </w:rPr>
      </w:pPr>
      <w:r>
        <w:rPr>
          <w:rFonts w:ascii="Arial" w:cs="Arial" w:eastAsia="Arial" w:hAnsi="Arial"/>
          <w:sz w:val="18"/>
          <w:szCs w:val="18"/>
          <w:color w:val="auto"/>
        </w:rPr>
        <w:t>Validated by XPRESIDENT mass spectrometry. Target peptide copy numbers per cell were determined by AbsQuant technology,</w:t>
      </w:r>
    </w:p>
    <w:p>
      <w:pPr>
        <w:spacing w:after="0" w:line="131"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3"/>
          <w:szCs w:val="13"/>
          <w:color w:val="auto"/>
        </w:rPr>
      </w:pPr>
      <w:r>
        <w:rPr>
          <w:rFonts w:ascii="Arial" w:cs="Arial" w:eastAsia="Arial" w:hAnsi="Arial"/>
          <w:sz w:val="16"/>
          <w:szCs w:val="16"/>
          <w:color w:val="auto"/>
        </w:rPr>
        <w:t>Internal specificity categorization used by us. Specificity class 1: peptide not routinely found on any normal tissue; no relevant RNA expression</w:t>
      </w:r>
    </w:p>
    <w:p>
      <w:pPr>
        <w:spacing w:after="0" w:line="46" w:lineRule="exact"/>
        <w:rPr>
          <w:rFonts w:ascii="Arial" w:cs="Arial" w:eastAsia="Arial" w:hAnsi="Arial"/>
          <w:sz w:val="13"/>
          <w:szCs w:val="13"/>
          <w:color w:val="auto"/>
        </w:rPr>
      </w:pPr>
    </w:p>
    <w:p>
      <w:pPr>
        <w:ind w:left="540" w:right="260"/>
        <w:spacing w:after="0" w:line="260" w:lineRule="auto"/>
        <w:rPr>
          <w:rFonts w:ascii="Arial" w:cs="Arial" w:eastAsia="Arial" w:hAnsi="Arial"/>
          <w:sz w:val="13"/>
          <w:szCs w:val="13"/>
          <w:color w:val="auto"/>
        </w:rPr>
      </w:pPr>
      <w:r>
        <w:rPr>
          <w:rFonts w:ascii="Arial" w:cs="Arial" w:eastAsia="Arial" w:hAnsi="Arial"/>
          <w:sz w:val="18"/>
          <w:szCs w:val="18"/>
          <w:color w:val="auto"/>
        </w:rPr>
        <w:t>detected on critical organs, Specificity class 2: peptide showing a large therapeutic window with rare detections on normal tissue and low RNA expression on critical organs.</w:t>
      </w:r>
    </w:p>
    <w:p>
      <w:pPr>
        <w:spacing w:after="0" w:line="18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target-specific TCRs identified via our XCEPTOR technology are designed to recognize their targets with high specificity. XPRESIDENT-guided specificity testing confirmed that there have been no peptides identified in the natural HLA peptidome that cross-react with these TCRs. In addition, all TCRs are tested against a human primary cell panel of various healthy donors to reaffirm specificity and the absence of cross-reactivity. The panel covers critical organs (such as brain, heart, lung, liver, kidney) and multiple different cell types (such as endothelial cells, epithelial cells, smooth muscle cell) as well as organ-specific cell types (such as cardiomyocytes, hepatocytes, astrocytes, neurons, osteoblasts, keratinocytes). Finally, all TCRs used in current ACTengine programs were able to mediate the robust functional activation of T cells as evidenced by recognition of calibrated target cell lines presenting the target peptides at physiological levels. In contrast to IMA201 and IMA202, which use naturally occurring TCRs isolated from healthy donors, the TCR used in IMA203 is a pairing-optimized variant of a naturally occurring TCR which shows higher expression levels in T cells and increased affinity for its target.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Delivery of ACTengine Product Candidates to Patients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Patients eligible for clinical trials with ACTengine product candidates have a portion of their white blood cells collected using a well-established process called leukapheresis, a procedure in which a fraction of the white blood cells of a patient are extracted from their peripheral blood. These white blood cells are transferred to a manufacturing facility where peripheral blood mononuclear cells (“PBMCs”), which are a subset of white blood cells, are</w:t>
      </w:r>
    </w:p>
    <w:p>
      <w:pPr>
        <w:sectPr>
          <w:pgSz w:w="11900" w:h="16838" w:orient="portrait"/>
          <w:cols w:equalWidth="0" w:num="1">
            <w:col w:w="11120"/>
          </w:cols>
          <w:pgMar w:left="320" w:top="459" w:right="459" w:bottom="0" w:gutter="0" w:footer="0" w:header="0"/>
        </w:sectPr>
      </w:pPr>
    </w:p>
    <w:bookmarkStart w:id="107" w:name="page108"/>
    <w:bookmarkEnd w:id="107"/>
    <w:p>
      <w:pPr>
        <w:spacing w:after="0" w:line="308" w:lineRule="auto"/>
        <w:rPr>
          <w:sz w:val="20"/>
          <w:szCs w:val="20"/>
          <w:color w:val="auto"/>
        </w:rPr>
      </w:pPr>
      <w:r>
        <w:rPr>
          <w:rFonts w:ascii="Arial" w:cs="Arial" w:eastAsia="Arial" w:hAnsi="Arial"/>
          <w:sz w:val="17"/>
          <w:szCs w:val="17"/>
          <w:color w:val="auto"/>
        </w:rPr>
        <w:t>isolated from the leukapheresis product. PBMCs or a selected subset of T cells (e.g. CD8+ T cells) form the starting point of the ACTengine manufacturing process, which is currently being conducted at a central manufacturing site in the United States by us.</w:t>
      </w:r>
    </w:p>
    <w:p>
      <w:pPr>
        <w:spacing w:after="0" w:line="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080"/>
          </w:cols>
          <w:pgMar w:left="440" w:top="125" w:right="13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 cells contained within PBMCs are activated and subsequently mixed with a lentiviral vector to transduce the T cells with the genes encoding the target-specific TCR. The transduced cells are expanded in the presence of a cytokine mixture, concentrated and frozen before undergoing quality control release testing. The resulting cell product can be stored frozen long-term until the patient is ready to receive the infusion. The manufacturing time is 7-10 days for IMA201/202 and 6 days for IMA203.</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the introduction of the engineered TCR into the cells, our manufacturing process utilizes a third generation, self-inactivating lentiviral vector that is designed to improve the safety and eliminate the risk of replication-competent viral particles, as well as produce stable integration of the TCR sequences in the modified cells. The lentiviral vector includes the transgene required for production of engineered TCRs along with other additional elements necessary for producing the lentiviral particles needed for the delivery of the TCR genes.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Enhancing Commercial Application of Autologous Cell Therapies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are using a semi-closed, partially automated manufacturing process for IMA203 and is currently moving towards a commercially compatible manufacturing process for all ACTengine programs that is automated and utilizes closed manufacturing systems available on the market. Additional manufacturing improvements being developed include the use of selected T cell subsets, as well as manufacturing processes that use chemically defined media free from human or animal derived serum. Proof of concept studies for multiple manufacturing systems, including automated devices, have already been carried out to prepare for implementation.</w:t>
      </w:r>
    </w:p>
    <w:p>
      <w:pPr>
        <w:spacing w:after="0" w:line="188" w:lineRule="exact"/>
        <w:rPr>
          <w:sz w:val="20"/>
          <w:szCs w:val="20"/>
          <w:color w:val="auto"/>
        </w:rPr>
      </w:pPr>
    </w:p>
    <w:p>
      <w:pPr>
        <w:ind w:left="120" w:right="880"/>
        <w:spacing w:after="0" w:line="311" w:lineRule="auto"/>
        <w:rPr>
          <w:sz w:val="20"/>
          <w:szCs w:val="20"/>
          <w:color w:val="auto"/>
        </w:rPr>
      </w:pPr>
      <w:r>
        <w:rPr>
          <w:rFonts w:ascii="Arial" w:cs="Arial" w:eastAsia="Arial" w:hAnsi="Arial"/>
          <w:sz w:val="16"/>
          <w:szCs w:val="16"/>
          <w:color w:val="auto"/>
        </w:rPr>
        <w:t>We will continue manufacturing for Phase 1 clinical trials at the current cGMP manufacturing facility through clinical proof of concept for a given TCR-T cell product. For pivotal trials and commercial scale manufacturing, we are evaluating the use of commercial scale Contract Manufacturing Organizations (“CMOs”) in addition to evaluating building a dedicated commercial facility for launching our products.</w:t>
      </w:r>
    </w:p>
    <w:p>
      <w:pPr>
        <w:spacing w:after="0" w:line="14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current time from leukapheresis collection until infusion ready for our T cell products varies between 20 and 24 days, depending on the manufacturing length and including 14-day full sterility testing according to United States Pharmacopeial Convention standards. However, we are already working with regulatory authorities in the United States and Europe to release the T cell products for infusion on interim (7-day) sterility results while continuing the testing for 14-days. By further reducing the sterility testing for infusion to five days, the commercial manufacturing duration is expected to be reduced to eleven days.</w:t>
      </w: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7. Schematic overview of our manufacturing process.</w:t>
      </w:r>
    </w:p>
    <w:p>
      <w:pPr>
        <w:sectPr>
          <w:pgSz w:w="11900" w:h="16838" w:orient="portrait"/>
          <w:cols w:equalWidth="0" w:num="1">
            <w:col w:w="11100"/>
          </w:cols>
          <w:pgMar w:left="320" w:top="459" w:right="47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2326005</wp:posOffset>
            </wp:positionV>
            <wp:extent cx="6995160" cy="1440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Upon leukapheresis, our manufacturing duration to generate a personalized IMA203 ACTengine product is 6 days followed by 14-day sterility testing.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commercial ACTengine products, we plan to implement an accelerated 5-day sterility testing, reducing the overall manufacturing time to 11 days.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ACTengine Clinical Trials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three Phase 1 clinical trials IMA201-101, IMA202-101 and IMA203-101 are open for patient recruitment and are currently in the dose escalation phase. We plan to enroll 12-15 patients for each trial and will evaluate up</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840"/>
          </w:cols>
          <w:pgMar w:left="440" w:top="1440" w:right="6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to four dose levels of each ACTengine product (50x10</w:t>
      </w:r>
      <w:r>
        <w:rPr>
          <w:rFonts w:ascii="Arial" w:cs="Arial" w:eastAsia="Arial" w:hAnsi="Arial"/>
          <w:sz w:val="15"/>
          <w:szCs w:val="15"/>
          <w:color w:val="auto"/>
        </w:rPr>
        <w:t>6</w:t>
      </w:r>
      <w:r>
        <w:rPr>
          <w:rFonts w:ascii="Arial" w:cs="Arial" w:eastAsia="Arial" w:hAnsi="Arial"/>
          <w:sz w:val="18"/>
          <w:szCs w:val="18"/>
          <w:color w:val="auto"/>
        </w:rPr>
        <w:t xml:space="preserve"> to 1,000x10</w:t>
      </w:r>
      <w:r>
        <w:rPr>
          <w:rFonts w:ascii="Arial" w:cs="Arial" w:eastAsia="Arial" w:hAnsi="Arial"/>
          <w:sz w:val="15"/>
          <w:szCs w:val="15"/>
          <w:color w:val="auto"/>
        </w:rPr>
        <w:t>6</w:t>
      </w:r>
      <w:r>
        <w:rPr>
          <w:rFonts w:ascii="Arial" w:cs="Arial" w:eastAsia="Arial" w:hAnsi="Arial"/>
          <w:sz w:val="18"/>
          <w:szCs w:val="18"/>
          <w:color w:val="auto"/>
        </w:rPr>
        <w:t xml:space="preserve"> target-specific T cells/m²). Upon signs of clinical activity we may extend clinical trials in a certain or several cancer subtypes, and recruit additional patients of the respective indications to access anti-tumor activity of product candidates in more detail.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IMA201-101</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IMA201-101 trial (NCT03247309) is a Phase 1 dose-escalating trial evaluating safety, tolerability and initial signs of clinical efficacy of our IMA201 ACTengine product, which targets melanoma-associated antigen 4 or 8 (“MAGEA4/A8”) in patients with solid tumors. Among the range of solid cancer indications being studied, this trial is focused on, but not limited to, squamous non-small cell lung carcinoma (“squamous NSCLC”), head and neck squamous cell carcinoma (“HNSCC”), and subtypes of sarcoma due to the high frequency of MAGEA4/8 expression in these tumors.</w:t>
      </w:r>
    </w:p>
    <w:p>
      <w:pPr>
        <w:spacing w:after="0" w:line="15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Lung cancer is the second most common cancer in the United States and the leading cause of cancer-related deaths. It is estimated that there were 228,000 new cases and 143,000 deaths of lung cancer in 2019. NSCLC accounts for about 85% of all lung cancers, while squamous cell NSCLC accounts for approximately 35% (estimated 66,000 patients) of NSCLC. The 5-year survival rate for NSCLC is 23%, but varies materially by the stage of the disease. For localized NSCLC, the overall 5-year survival rate is about 60%, whereas patients with metastatic lung cancer have a 5-year survival rate of only 6%. Treatment options for NSCLC also depend on the stage of the disease. Compared to non-squamous NSCLC, recurrent or refractory squamous NSCLC has fewer treatment options and typically leads to unfavorable outcomes despite recent advances.</w:t>
      </w:r>
    </w:p>
    <w:p>
      <w:pPr>
        <w:spacing w:after="0" w:line="16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HNSCC comprises a heterogeneous group of cancers at different anatomic locations, which can be found in the oral cavity, the pharyngeal area, and the larynx. Approximately 65,000 Americans are diagnosed with HNSCC each year and around 15,000 die from this disease annually. The 5-year survival for laryngeal cancer, one of the most common types of HNSCC, has not significantly changed over the past 30 years. Despite several treatment options, overall long-term survival rates for recurrent/metastatic HNSCC remain low. Thus, recurrent or metastatic HNSCC is a severely underserved patient population with limited treatment options. Despite all the advances made recently, these cancer patients have a very poor prognosis with a short median survival of 4-6 months and no available and approved standard treatment. Thus, the target population for IMA201-101 consists of patients with an urgent unmet need for new treatment options.</w:t>
      </w:r>
    </w:p>
    <w:p>
      <w:pPr>
        <w:spacing w:after="0" w:line="17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ACTengine IMA201-101 study is actively recruiting in its dose-escalation phase. To be eligible for IMA201-101, adult patients with pathologically confirmed advanced/metastatic cancer must be HLA-A*02:01 positive and MAGEA4/A8 needs to be present in a biopsy of the patient’s tumor. Upon successful manufacturing and release testing of the IMA201, the patient can be treated, given that all treatment eligibility criteria are fulfilled. IMA201 is administered when disease recurs/progresses, or becomes refractory, no indicated standard of care treatment is available, or if this treatment is no longer warranted. The primary study purpose is to establish the safety and tolerability of the treatment with IMA201 T cell products. Thus, the primary outcome is to determine the incidence of adverse events (“AE”) upon treatment including dose limiting toxicity (“DLT”) and determination of recommended Phase 2 dose. Secondary outcomes are the evaluation of T cell persistence of the TCR engineered T cells within the patient’s blood after T cell infusion, as well as the evaluation of anti-tumor activity (tumor response and duration of response). T cell persistence is considered as a major pre-requisite to obtain anti-tumor response.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IMA202-101</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IMA202-101 trial (NCT03441100) is a Phase 1 dose-escalating trial evaluating safety, tolerability and initial signs of clinical efficacy of our IMA202 ACTengine product, which targets melanoma-associated antigen 1 (“MAGEA1”) in patients with various solid tumors, including NSCLC and hepatocellular carcinoma (“HCC”).</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HCC is the most common type of primary liver cancer. According to the World Health Organization liver cancer is one of the top five causes of cancer-related death worldwide and it is estimated that there were 42,000 new</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40"/>
          </w:cols>
          <w:pgMar w:left="320" w:top="459" w:right="5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cases of liver cancer in the Unites States in 2019. Death rates from liver cancer have been steadily increasing over the last decades and the 5-year survival rate for liver cancer remains low at approximately 18%.</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standard care therapies for unresectable HCC patients are very limited and comprise various local therapies for early and intermediate patients and systemic therapies for advanced HCC patients. Thus, the target patient population for IMA202-101 is comprised of patients with very poor prognosis and high unmet medical need for new treatment options.</w:t>
      </w:r>
    </w:p>
    <w:p>
      <w:pPr>
        <w:spacing w:after="0" w:line="184"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ACTengine IMA202-101 study is actively recruiting in its dose-escalation phase. The study is targeting patients with recurrent or refractory solid tumors including, but not limited to unresectable advanced HCC. To be eligible for IMA202-101, adult patients with pathologically confirmed advanced/metastatic cancer including HCC not amenable to resection are considered for enrollment into the trial if they are tested to be HLA-A*02:01 positive and MAGEA1 was found to be present in a biopsy of the patient’s tumor. The patients have relapsed and/or have refractory solid cancers with no established treatment available. Upon successful manufacturing and release testing of the IMA202 product the patient can be treated, given that all treatment eligibility criteria are fulfilled.</w:t>
      </w:r>
    </w:p>
    <w:p>
      <w:pPr>
        <w:spacing w:after="0" w:line="19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study purpose is to evaluate the safety and tolerability of the treatment with IMA202 T cell products. Thus, the primary outcome is to determine the incidence of AE upon treatment including DLT and determination of recommended Phase 2 dose. Secondary outcomes are the evaluation of T cell persistence of the TCR engineered T cells within the patient’s blood after T cell infusion, as well as the evaluation of anti-tumor activity (tumor response and duration of response). T cell persistence is considered as a major pre-requisite to obtain anti-tumor response.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IMA203-101</w:t>
      </w:r>
    </w:p>
    <w:p>
      <w:pPr>
        <w:spacing w:after="0" w:line="11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IMA203-101 trial (NCT03686124) is a Phase 1 dose-escalating trial evaluating safety, tolerability and initial signs of clinical efficacy of our IMA203 ACTengine product, which targets preferentially expressed antigen in melanoma (“PRAME”) in adult patients with relapsed and/or refractory solid tumors. Among a broad range of solid cancer indications, uterine cancer (endometrial cancer and uterine carcinoma), ovarian cancer, melanoma, several subtypes of sarcoma and squamous NSCLC are of special interest because PRAME is expressed in these tumors at a very high frequency.</w:t>
      </w:r>
    </w:p>
    <w:p>
      <w:pPr>
        <w:spacing w:after="0" w:line="15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According to estimates for 2019, ovarian cancer accounted for 23,000 new cases per year in the United States. Approximately 14,000 patients died from this disease in 2019, being the fifth most common cause of cancer-related deaths in women. Beside ovarian cancer, uterine cancer is another common cancer in women with unfavorable prognosis and where advances in available treatments are urgently needed. Melanoma is the fifth most common cancer type in the United States and has an incidence of approximately 96,000 new cases and 7,000 estimated deaths per year. While localized melanoma has a very favorable prognosis with a 5-year survival rate of 99%, metastasized melanoma has a 5-year survival rate of only 25%. Despite recent advances in treatment approaches the prognosis for advanced melanoma remains poor. Thus, the target population for IMA203-101 is cancer patients with no or limited treatments available.</w:t>
      </w:r>
    </w:p>
    <w:p>
      <w:pPr>
        <w:spacing w:after="0" w:line="195"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The ACTengine IMA203-101 study is actively recruiting in its dose-escalation phase. Before start of study treatment, patients must have recurrent and/or refractory solid tumors and must have received or not be eligible for all available indicated standard-of-care treatments known to confer clinical benefit (e.g., surgery, radiation therapy, chemotherapy, immunotherapy or targeted therapy). Thus, IMA203 is administered if the last available indicated standard-of-care treatment is no longer warranted. For a patient to be eligible for this study, there is no limitation on either the type or the number of prior anti-tumor treatments they may have received. These cancer patients have a very poor prognosis and an urgent unmet medical need for new treatment options. Moreover, patients are eligible for inclusion into the trial if they are tested to be HLA-A*02:01 positive and PRAME was found to be present in a biopsy of the patient’s tumor. Upon successful manufacturing and release testing of the IMA203 product, the patient can be treated, given that all treatment eligibility criteria are fulfilled.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The study purpose is to evaluate the safety and tolerability of the treatment with IMA203 T cell products. Thus, the primary outcome is the determination of the incidence of AE upon treatment including DLT and determination of recommended Phase 2 dose. Secondary outcomes are the evaluation of T cell persistence of the TCR engineered T cells within the patient’s blood after T cell infusion, as well as the evaluation of anti-tumor activity (tumor response and duration of response). T cell persistence is considered as a major pre-requisite to obtain anti-tumor response. After establishing the initial safety profile, we plan to add atezolizumab to a cohort of patients to test the safety of the IMA203-atezolizumab combination.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Results from Ongoing Clinical Trials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recruitment status as of January 2020 is the following: 22 HLA-A*02:01-positive patients were found to express one of the three targets (for IMA201, IMA202 or IMA203) in their tumor biopsy. 13 of those patients have been enrolled into the manufacturing phase of the trials. Manufacturing was successful for all 10 patients for which manufacturing has already been completed. Four patients (IMA201-101: n=1; IMA202-101: n=2; IMA203-101: n=1) have been infused at the lowest dose (50 million specific T cells/m²) of the dose escalation scheme in their respective trial. So far, ACTengine treatment has been tolerated well. The most frequent adverse events observed to date included cytopenias associated with the lymphodepleting regimen and Grade 1-2 cytokine release syndrome.</w:t>
      </w:r>
    </w:p>
    <w:p>
      <w:pPr>
        <w:spacing w:after="0" w:line="19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Preliminary biological data indicate very high frequencies of target-specific T cells (up to 45% of CD8+ T cells) in the patient’s blood after T cell infusion even at the lowest dose level. Target-specific T cells persisted until the end of the observation period (up to 12 weeks, immunomonitoring is still ongoing).</w:t>
      </w:r>
    </w:p>
    <w:p>
      <w:pPr>
        <w:spacing w:after="0" w:line="28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Figure 8. Initial biological activity data in first ACTengine patients.</w:t>
      </w:r>
    </w:p>
    <w:p>
      <w:pPr>
        <w:sectPr>
          <w:pgSz w:w="11900" w:h="16838" w:orient="portrait"/>
          <w:cols w:equalWidth="0" w:num="1">
            <w:col w:w="10980"/>
          </w:cols>
          <w:pgMar w:left="320" w:top="459" w:right="599" w:bottom="1440" w:gutter="0" w:footer="0" w:header="0"/>
        </w:sectPr>
      </w:pPr>
    </w:p>
    <w:p>
      <w:pPr>
        <w:spacing w:after="0" w:line="252"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auto"/>
        </w:rPr>
        <w:t>Cellular immunomonitoring in Blood</w:t>
      </w:r>
    </w:p>
    <w:p>
      <w:pPr>
        <w:spacing w:after="0" w:line="50"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IMA203 Patient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160020</wp:posOffset>
            </wp:positionV>
            <wp:extent cx="2948940" cy="15087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48940" cy="1508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Molecular immunomonitoring in blood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186055</wp:posOffset>
            </wp:positionV>
            <wp:extent cx="1825625" cy="16287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25625" cy="1628775"/>
                    </a:xfrm>
                    <a:prstGeom prst="rect">
                      <a:avLst/>
                    </a:prstGeom>
                    <a:noFill/>
                  </pic:spPr>
                </pic:pic>
              </a:graphicData>
            </a:graphic>
          </wp:anchor>
        </w:drawing>
      </w:r>
    </w:p>
    <w:p>
      <w:pPr>
        <w:spacing w:after="0" w:line="457" w:lineRule="exact"/>
        <w:rPr>
          <w:sz w:val="20"/>
          <w:szCs w:val="20"/>
          <w:color w:val="auto"/>
        </w:rPr>
      </w:pPr>
    </w:p>
    <w:p>
      <w:pPr>
        <w:sectPr>
          <w:pgSz w:w="11900" w:h="16838" w:orient="portrait"/>
          <w:cols w:equalWidth="0" w:num="2">
            <w:col w:w="6940" w:space="720"/>
            <w:col w:w="3320"/>
          </w:cols>
          <w:pgMar w:left="320" w:top="459"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Initial data for biological activity in ACTengine patient (status January 2020). Left panel: Representative plot for cellular immunomonitoring of target-specific T cells in the blood of IMA203 patient #1 one week after infusion. Right panel: Molecular immunomonitoring in the blood of n=4 ACTengine patients. Target-specific T cells were determined in the patient’s blood for up to 12 weeks after infusion.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Additionally, target-specific T cells were detected in tumor biopsies that were taken after T cell infusion, indicating their infiltration into the tumor.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Biological activity is the prerequisite for clinical efficacy, which will likely be assessed in the forthcoming months.</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80"/>
          </w:cols>
          <w:pgMar w:left="320" w:top="459" w:right="599" w:bottom="1440" w:gutter="0" w:footer="0" w:header="0"/>
          <w:type w:val="continuous"/>
        </w:sectPr>
      </w:pPr>
    </w:p>
    <w:bookmarkStart w:id="113" w:name="page114"/>
    <w:bookmarkEnd w:id="113"/>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9. Detection of target-specific T cells in the tumor.</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Molecular immunomonitoring in Tumor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IMA202 Patient #2, IMA203 Patient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931545</wp:posOffset>
            </wp:positionV>
            <wp:extent cx="6995160" cy="43802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Initial data for detection of target-specific T cells within post-treatment biopsies six weeks after infusion for n=2 ACTengine patients (status January 2020).</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After completion of the dose-escalation phase, assuming favorable safety profiles of the IMA201, IMA202 and IMA203 product candidates and signs of clinical activity in a certain or several cancer subtypes, we may extend the described clinical trials and recruit patients of a respective indication in an extension cohort to assess potential anti-tumor activity in more detail, both as a single agent and in combination therapy with atezolizumab. We may target Fast Track designation(s) and Accelerated Approval(s) to bring the product candidate(s) to the market.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NEXT-GENERATION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92710</wp:posOffset>
            </wp:positionV>
            <wp:extent cx="6998970" cy="18421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8970" cy="1842135"/>
                    </a:xfrm>
                    <a:prstGeom prst="rect">
                      <a:avLst/>
                    </a:prstGeom>
                    <a:noFill/>
                  </pic:spPr>
                </pic:pic>
              </a:graphicData>
            </a:graphic>
          </wp:anchor>
        </w:drawing>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Next-Generation ACT at a glance</w:t>
      </w:r>
    </w:p>
    <w:p>
      <w:pPr>
        <w:spacing w:after="0" w:line="121" w:lineRule="exact"/>
        <w:rPr>
          <w:sz w:val="20"/>
          <w:szCs w:val="20"/>
          <w:color w:val="auto"/>
        </w:rPr>
      </w:pPr>
    </w:p>
    <w:p>
      <w:pPr>
        <w:ind w:left="240" w:right="160"/>
        <w:spacing w:after="0" w:line="286" w:lineRule="auto"/>
        <w:rPr>
          <w:sz w:val="20"/>
          <w:szCs w:val="20"/>
          <w:color w:val="auto"/>
        </w:rPr>
      </w:pPr>
      <w:r>
        <w:rPr>
          <w:rFonts w:ascii="Arial" w:cs="Arial" w:eastAsia="Arial" w:hAnsi="Arial"/>
          <w:sz w:val="17"/>
          <w:szCs w:val="17"/>
          <w:color w:val="auto"/>
        </w:rPr>
        <w:t>We are committed to developing our ACTengine programs, with the goal to deliver the potential benefits of our innovative science to cancer patients as soon as possible. At the same time, in order to achieve the best outcomes for cancer patients in the longer term, we strive to enhance the tolerability, potency and ease of use of our product candidates. To accomplish these goals, we have taken the following steps:</w:t>
      </w:r>
    </w:p>
    <w:p>
      <w:pPr>
        <w:spacing w:after="0" w:line="67" w:lineRule="exact"/>
        <w:rPr>
          <w:sz w:val="20"/>
          <w:szCs w:val="20"/>
          <w:color w:val="auto"/>
        </w:rPr>
      </w:pPr>
    </w:p>
    <w:p>
      <w:pPr>
        <w:jc w:val="both"/>
        <w:ind w:left="1100" w:right="520" w:hanging="431"/>
        <w:spacing w:after="0" w:line="314" w:lineRule="auto"/>
        <w:tabs>
          <w:tab w:leader="none" w:pos="110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Addressing the tumor stroma and microenvironment. </w:t>
      </w:r>
      <w:r>
        <w:rPr>
          <w:rFonts w:ascii="Arial" w:cs="Arial" w:eastAsia="Arial" w:hAnsi="Arial"/>
          <w:sz w:val="16"/>
          <w:szCs w:val="16"/>
          <w:color w:val="auto"/>
        </w:rPr>
        <w:t>The complex tumor microenvironment is currently regarded as one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biggest challenges to the success of immunotherapies in solid tumors. We believe that the combination of stroma targets with tumor targets, as well as our second-generation enhancements to generate more potent T cells, may address this unmet need.</w:t>
      </w:r>
    </w:p>
    <w:p>
      <w:pPr>
        <w:spacing w:after="0" w:line="47" w:lineRule="exact"/>
        <w:rPr>
          <w:rFonts w:ascii="Arial" w:cs="Arial" w:eastAsia="Arial" w:hAnsi="Arial"/>
          <w:sz w:val="16"/>
          <w:szCs w:val="16"/>
          <w:color w:val="auto"/>
        </w:rPr>
      </w:pPr>
    </w:p>
    <w:p>
      <w:pPr>
        <w:ind w:left="1100" w:right="880" w:hanging="431"/>
        <w:spacing w:after="0" w:line="282"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Combating target heterogeneity and tumor evasion. </w:t>
      </w:r>
      <w:r>
        <w:rPr>
          <w:rFonts w:ascii="Arial" w:cs="Arial" w:eastAsia="Arial" w:hAnsi="Arial"/>
          <w:sz w:val="18"/>
          <w:szCs w:val="18"/>
          <w:color w:val="auto"/>
        </w:rPr>
        <w:t>Our next-generation multi-target approach is designed to combat target</w:t>
      </w:r>
      <w:r>
        <w:rPr>
          <w:rFonts w:ascii="Arial" w:cs="Arial" w:eastAsia="Arial" w:hAnsi="Arial"/>
          <w:sz w:val="18"/>
          <w:szCs w:val="18"/>
          <w:b w:val="1"/>
          <w:bCs w:val="1"/>
          <w:color w:val="auto"/>
        </w:rPr>
        <w:t xml:space="preserve"> </w:t>
      </w:r>
      <w:r>
        <w:rPr>
          <w:rFonts w:ascii="Arial" w:cs="Arial" w:eastAsia="Arial" w:hAnsi="Arial"/>
          <w:sz w:val="18"/>
          <w:szCs w:val="18"/>
          <w:color w:val="auto"/>
        </w:rPr>
        <w:t>heterogeneity and tumor escape for deeper and longer clinical responses.</w:t>
      </w:r>
    </w:p>
    <w:p>
      <w:pPr>
        <w:spacing w:after="0" w:line="67" w:lineRule="exact"/>
        <w:rPr>
          <w:rFonts w:ascii="Arial" w:cs="Arial" w:eastAsia="Arial" w:hAnsi="Arial"/>
          <w:sz w:val="18"/>
          <w:szCs w:val="18"/>
          <w:color w:val="auto"/>
        </w:rPr>
      </w:pPr>
    </w:p>
    <w:p>
      <w:pPr>
        <w:ind w:left="1100" w:right="680" w:hanging="431"/>
        <w:spacing w:after="0" w:line="282" w:lineRule="auto"/>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Enhancing commercial viability. </w:t>
      </w:r>
      <w:r>
        <w:rPr>
          <w:rFonts w:ascii="Arial" w:cs="Arial" w:eastAsia="Arial" w:hAnsi="Arial"/>
          <w:sz w:val="18"/>
          <w:szCs w:val="18"/>
          <w:color w:val="auto"/>
        </w:rPr>
        <w:t>Aside from improving commercially compatible manufacturing of autologous ACT, we aim to</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the cost of goods and to reach patients more quickly with our off-the-shelf cell therapy, ACTallo.</w:t>
      </w:r>
    </w:p>
    <w:p>
      <w:pPr>
        <w:sectPr>
          <w:pgSz w:w="11900" w:h="16941" w:orient="portrait"/>
          <w:cols w:equalWidth="0" w:num="1">
            <w:col w:w="11100"/>
          </w:cols>
          <w:pgMar w:left="320" w:top="459" w:right="479" w:bottom="0" w:gutter="0" w:footer="0" w:header="0"/>
        </w:sectPr>
      </w:pPr>
    </w:p>
    <w:bookmarkStart w:id="114" w:name="page115"/>
    <w:bookmarkEnd w:id="114"/>
    <w:p>
      <w:pPr>
        <w:ind w:left="440" w:hanging="431"/>
        <w:spacing w:after="0" w:line="256" w:lineRule="auto"/>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274955</wp:posOffset>
            </wp:positionH>
            <wp:positionV relativeFrom="page">
              <wp:posOffset>88900</wp:posOffset>
            </wp:positionV>
            <wp:extent cx="6998970" cy="9448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8970" cy="944880"/>
                    </a:xfrm>
                    <a:prstGeom prst="rect">
                      <a:avLst/>
                    </a:prstGeom>
                    <a:noFill/>
                  </pic:spPr>
                </pic:pic>
              </a:graphicData>
            </a:graphic>
          </wp:anchor>
        </w:drawing>
        <w:t xml:space="preserve">Pioneering personalized multi-target precision cancer medicines. </w:t>
      </w:r>
      <w:r>
        <w:rPr>
          <w:rFonts w:ascii="Arial" w:cs="Arial" w:eastAsia="Arial" w:hAnsi="Arial"/>
          <w:sz w:val="18"/>
          <w:szCs w:val="18"/>
          <w:color w:val="auto"/>
        </w:rPr>
        <w:t>The ACTolog pilot trial served as the first proof of concept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feasibility of a personalized multi-target approach. The ACTolog pilot trial indicated a favorable tolerability profile, persistence and biological activity of transfused T cells as well as clinical benefit by the long-term stabilization of tumor growth in some last-line patients. The ACTolog approach is limited by the properties of the patient’s own T cell repertoire (i.e. TCRs with limited affinities). We believe that this limitation can be overcome by a multi-TCR-based ACTengine approach, which utilizes highly potent and optimized TCRs that may enable significant clinical responses.</w:t>
      </w:r>
    </w:p>
    <w:p>
      <w:pPr>
        <w:spacing w:after="0" w:line="19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220"/>
          </w:cols>
          <w:pgMar w:left="980" w:top="243" w:right="6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99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8970" cy="629920"/>
                    </a:xfrm>
                    <a:prstGeom prst="rect">
                      <a:avLst/>
                    </a:prstGeom>
                    <a:noFill/>
                  </pic:spPr>
                </pic:pic>
              </a:graphicData>
            </a:graphic>
          </wp:anchor>
        </w:drawing>
      </w:r>
    </w:p>
    <w:p>
      <w:pPr>
        <w:spacing w:after="0" w:line="339" w:lineRule="exact"/>
        <w:rPr>
          <w:sz w:val="20"/>
          <w:szCs w:val="20"/>
          <w:color w:val="auto"/>
        </w:rPr>
      </w:pPr>
    </w:p>
    <w:p>
      <w:pPr>
        <w:ind w:left="1100" w:right="260" w:hanging="431"/>
        <w:spacing w:after="0" w:line="281" w:lineRule="auto"/>
        <w:tabs>
          <w:tab w:leader="none" w:pos="110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Exploit the full target potential and offer treatment options for potentially any patient. </w:t>
      </w:r>
      <w:r>
        <w:rPr>
          <w:rFonts w:ascii="Arial" w:cs="Arial" w:eastAsia="Arial" w:hAnsi="Arial"/>
          <w:sz w:val="17"/>
          <w:szCs w:val="17"/>
          <w:color w:val="auto"/>
        </w:rPr>
        <w:t>We believe that our pool of more than 200</w:t>
      </w:r>
      <w:r>
        <w:rPr>
          <w:rFonts w:ascii="Arial" w:cs="Arial" w:eastAsia="Arial" w:hAnsi="Arial"/>
          <w:sz w:val="17"/>
          <w:szCs w:val="17"/>
          <w:b w:val="1"/>
          <w:bCs w:val="1"/>
          <w:color w:val="auto"/>
        </w:rPr>
        <w:t xml:space="preserve"> </w:t>
      </w:r>
      <w:r>
        <w:rPr>
          <w:rFonts w:ascii="Arial" w:cs="Arial" w:eastAsia="Arial" w:hAnsi="Arial"/>
          <w:sz w:val="17"/>
          <w:szCs w:val="17"/>
          <w:color w:val="auto"/>
        </w:rPr>
        <w:t>prioritized targets combined with the capability to develop the right TCRs offers a possibly unique foundation to develop treatments for almost any patient. We believe that our fast manufacturing process, combined with our broad target portfolio, may put us in a unique position to develop personalized medication efficiently and cost-effectively for any patient.</w:t>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Targeting Tumor Stroma — ACTengine IMA204</w:t>
      </w:r>
    </w:p>
    <w:p>
      <w:pPr>
        <w:spacing w:after="0" w:line="121" w:lineRule="exact"/>
        <w:rPr>
          <w:sz w:val="20"/>
          <w:szCs w:val="20"/>
          <w:color w:val="auto"/>
        </w:rPr>
      </w:pPr>
    </w:p>
    <w:p>
      <w:pPr>
        <w:ind w:left="120" w:right="380"/>
        <w:spacing w:after="0" w:line="301" w:lineRule="auto"/>
        <w:rPr>
          <w:sz w:val="20"/>
          <w:szCs w:val="20"/>
          <w:color w:val="auto"/>
        </w:rPr>
      </w:pPr>
      <w:r>
        <w:rPr>
          <w:rFonts w:ascii="Arial" w:cs="Arial" w:eastAsia="Arial" w:hAnsi="Arial"/>
          <w:sz w:val="16"/>
          <w:szCs w:val="16"/>
          <w:color w:val="auto"/>
        </w:rPr>
        <w:t>Most current anti-tumor therapies directly target the malignant tumor cells. For Adoptive Cell Therapy, this approach has been successful as demonstrated by others in several indications. Challenges remain, however, for solid tumors, where access and activity of the T cells to the tumor is limited by a rigid tumor stroma and the immunosuppressive tumor microenvironment. Tumor stroma, which are cancer-associated fibroblasts, may promote tumor growth, inhibit drugs and T cells from entering the tumor and thus prohibit them from reaching and killing the tumor cells.</w:t>
      </w:r>
    </w:p>
    <w:p>
      <w:pPr>
        <w:spacing w:after="0" w:line="157"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With the XPRESIDENT target discovery platform, we are not only able to identify tumor cell-associated targets, but also innovative targets that are predominantly expressed in tumor stroma. One such stroma-associated target is COL6A3 exon 6, which was selected for the IMA204 ACTengine program. The IMA204 ACTengine program is in preclinical development with a planned IND submission in 2021.</w:t>
      </w:r>
    </w:p>
    <w:p>
      <w:pPr>
        <w:spacing w:after="0" w:line="165"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COL6A3 exon 6 is a novel cancer stroma target identified and validated by our XPRESIDENT technology platform. COL6A3 is an extracellular matrix component found in most connective tissues, however COL6A3 exon 6 is expressed predominantly by tumor stromal cells and not in normal tissues. COL6A3 exon 6 is highly prevalent in a broad range of tumor tissues including lung, pancreas, esophagus, breast, ovary, colon and stomach cancer.</w:t>
      </w:r>
    </w:p>
    <w:p>
      <w:pPr>
        <w:spacing w:after="0" w:line="14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believe that targeting the tumor stroma via IMA204 ACTengine is a promising approach for many solid tumors. This could result in tumor cell death due to tumor cells’ dependency on the stroma, could allow endogenous tumor specific T cells to reach the tumor and exert their anti-tumor activity, or could trigger additional local inflammation in the tumor microenvironment. We are considering combining IMA204 with other ACTengine products directly targeting tumor cells, offering a potentially orthogonal and synergistic mechanism of action.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Off-the-Shelf Adoptive Cell Therapy — ACTallo</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ACT based on genetically engineered, patient-derived T cells has demonstrated remarkable clinical successes. However, the high costs and logistics associated with use of autologous cells as starting material are a challenge to the widespread use of autologous ACT. In addition, autologous patient material is of heterogenous quality, and the efficacy of cell therapy products in patients may be impacted by the patient’s age, the quality of the patient’s T cell, the cancer itself or immunosuppressive pre-treatments. The development of simpler, off-the-shelf ACT approaches with large batches of therapeutic doses derived from pre-tested healthy donors may make the benefits of these therapies more easily accessible and affordable to cancer patients with challenging, unmet medical needs.</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ACTallo is a process we developed for the manufacture of allogeneic, off-the-shelf, TCR-engineered cellular therapies derived from healthy donors’ gd T cells. We believe that gd T cells are ideally suited for allogenic ACT approaches: gd T cells naturally infiltrate tumors, which has been shown to be the most favorable prognostic factor for patient outcome. gd T cells possess intrinsic antitumor activity and recognize target cells in an HLA/peptide independent fashion, not causing Graft-versus-Host Disease. In clinical trials, the transfer of autologous gd T cells has been repeatedly shown to be well tolerated.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life span of ACTallo T cells in patients is expected to be limited by their allogeneic nature, and the transferred cells will ultimately be rejected by the host immune system. Therefore, any potential autoimmune reactions driven by the ACTallo product are expected to be limited in duration and severity. Thus, in order to sustain clinical activity, repeated ACTallo cell infusion may be required. The picture emerging from commercial CAR-T products indicates that while peak product concentration correlates with response rate, it is the long-term persistence that correlates with the duration of response. As a result, if an allogeneic product is not applied multiple times, premature rejection of the product may limit patients’ long-term prognosis. Therefore, we are investigating preclinically second-generation approaches that could be suited towards making ACTallo less immunogenic.</w:t>
      </w:r>
    </w:p>
    <w:p>
      <w:pPr>
        <w:spacing w:after="0" w:line="164"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 xml:space="preserve">We have developed a process that allows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expansion of gd T cells isolated from a single healthy donor to manufacture multiple ACTallo doses, which we believe represents an ideal modality for an off-the-shelf approach. Using healthy donor T cells circumvents the need to use T cells from heavily treated or aging cancer patients, thus allogeneic cells are not encumbered by suppressive environments of the patients’ immune system. In addition, products are available immediately for patient treatment without any delays for cellular manufacturing upon enrollment. At the laboratory scale, we have observed that our proprietary manufacturing process could generate hundreds of doses from a single donor. We are currently translating these lessons into larger scale solutions. A schematic summary of the ACTallo T cell manufacturing process is shown below in Figure 10.</w:t>
      </w: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10. Schematic representation of our ACTallo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2083435</wp:posOffset>
            </wp:positionV>
            <wp:extent cx="6995160" cy="2100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Within the ACTallo process allogeneic gd T cells from healthy donors are genetically engineered to express TCRs specific for one of our cancer targets. Off-the-shelf ACTallo product candidates are then ready for treatment directly after patient enrollment.</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manufacturing of ACTallo products, gd T cells are isolated from healthy donor leukapheresis, activated and transduced with target-specific TCR and the CD8 co-receptor, and further expanded before cryopreservation as an off-the-shelf product. After infusion, these TCR-engineered gd T cells can recognize and eliminate cancer cells.</w:t>
      </w:r>
    </w:p>
    <w:p>
      <w:pPr>
        <w:spacing w:after="0" w:line="184"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are currently developing the manufacturing process for ACTallo products. Process development efforts are aimed at optimizing cell selection, enrichment, activation and expansion, as well as transduction of gd T cells. Our plans to use a proprietary lentiviral vector system capable of transducing gd T cells with a single vector incorporating the proprietary TCR and a CD8 co-receptor — which we believe significantly reduces costs and complexity. For our first ACTallo product, IMA301, non-cGMP production runs from selected healthy donors will be performed at clinical batch</w:t>
      </w:r>
    </w:p>
    <w:p>
      <w:pPr>
        <w:sectPr>
          <w:pgSz w:w="11900" w:h="16838" w:orient="portrait"/>
          <w:cols w:equalWidth="0" w:num="1">
            <w:col w:w="11100"/>
          </w:cols>
          <w:pgMar w:left="320" w:top="459" w:right="479" w:bottom="0" w:gutter="0" w:footer="0" w:header="0"/>
        </w:sectPr>
      </w:pPr>
    </w:p>
    <w:bookmarkStart w:id="117" w:name="page118"/>
    <w:bookmarkEnd w:id="117"/>
    <w:p>
      <w:pPr>
        <w:spacing w:after="0" w:line="277" w:lineRule="auto"/>
        <w:rPr>
          <w:sz w:val="20"/>
          <w:szCs w:val="20"/>
          <w:color w:val="auto"/>
        </w:rPr>
      </w:pPr>
      <w:r>
        <w:rPr>
          <w:rFonts w:ascii="Arial" w:cs="Arial" w:eastAsia="Arial" w:hAnsi="Arial"/>
          <w:sz w:val="18"/>
          <w:szCs w:val="18"/>
          <w:color w:val="auto"/>
        </w:rPr>
        <w:t>scale, before the transfer of the manufacturing process to a cGMP facility. Finally, cGMP technology transfer run(s) will be performed in preparation of clinical batch manufacturing for patient infusion in a first-in-human IMA301 clinical trial.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00"/>
          </w:cols>
          <w:pgMar w:left="440" w:top="125" w:right="5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 xml:space="preserve">The gd T cells transduced with the TCR developed for use in IMA301 showed high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anti-tumor activity. In addition, IMA301 TCR+ gd T cells were able to effectively kill a tumor cell line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that expressed the targeted antigen at copy numbers that are usually seen on target-positive solid tumors (Figure 11).</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Figure 11. Specific in vitro tumor cell killing by ACTallo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866140</wp:posOffset>
            </wp:positionV>
            <wp:extent cx="6995160" cy="45345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ACTallo T cells transduced with IMA301 TCR were observed to kill tumor cells endogenously expressing the IMA301 target at relevant copy numbers (U20S cell line, approximately 250 target copies per cell). The figure further demonstrates the intrinsic anti-tumor activity of gd T cells without TCR transduction.</w:t>
      </w:r>
    </w:p>
    <w:p>
      <w:pPr>
        <w:spacing w:after="0" w:line="184"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We plan to enter first-in-human trials with the first ACTallo product IMA301 after completion of process development and IND-enabling studies, with a planned IND submission in 2022. Development of IMA301 in solid tumors as well as in hematological indications is an option.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Multi-target Cell Therapy Pilot Trial — ACTolog</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ACTolog approach was designed as the first known multi-target precision immunotherapy. The IMA101-101 Phase 1 clinical trial is currently being conducted as a pilot trial to demonstrate safety and feasibility of a multi-target ACT approach (NCT02876510).</w:t>
      </w:r>
    </w:p>
    <w:p>
      <w:pPr>
        <w:spacing w:after="0" w:line="170"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 xml:space="preserve">ACTolog is based on the principle of endogenous T cell therapy pioneered by Cassian Yee. ACTolog T cells are not genetically modified: IMA101 T cell products are generated from peripheral blood cells and are the patient’s own T cells, which are applied after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expansion. This approach is based on the observation that tumor antigen-specific T cells are naturally occurring and can be identified in the peripheral blood of melanoma patients. Despite their natural ability to recognize tumor associated antigens that are presented by tumor cells, these T cells may not be activated and capable to act against cancer, as peptides presented without co-stimulatory signals are only poorly immunogenic. Moreover, the frequency of endogenous target-specific T cells is usually very low. Expanding and activating those naturally occurring T cells allows great flexibility in targeting tumors.</w:t>
      </w:r>
    </w:p>
    <w:p>
      <w:pPr>
        <w:sectPr>
          <w:pgSz w:w="11900" w:h="16838" w:orient="portrait"/>
          <w:cols w:equalWidth="0" w:num="1">
            <w:col w:w="11080"/>
          </w:cols>
          <w:pgMar w:left="320" w:top="459" w:right="499" w:bottom="115" w:gutter="0" w:footer="0" w:header="0"/>
        </w:sectPr>
      </w:pP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080"/>
          </w:cols>
          <w:pgMar w:left="320" w:top="459" w:right="499" w:bottom="115"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12. Schematic representation of our ACTolog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171450</wp:posOffset>
            </wp:positionV>
            <wp:extent cx="6806565" cy="59150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06565"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ACTolog concept is based on selecting and expanding a patient’s own autologous T cells dependent on the detection of ACTolog targets in the patient’s tumor tissue. Thus, the manufacturing of a patient’s personalized multi-targeted ACTolog product is tailored to the individual target expression profile of each patient.</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In ACTolog, this autologous T cell expansion approach is amended to use a warehouse including multiple novel cancer targets discovered by the target discovery platform XPRESIDENT. From this target pool (COL6A3 exon 6, PRAME, MAGEA1, MAGEA4, MAGEA4/8, NY-ESO-1, MXRA5), the suitable targets for each patient’s tumor are identified by analyzing their relative presence within a tumor biopsy. Up to four personalized IMA101 T cell products, each with a defined target specificity, are then manufactured for each patient by isolation, propagation and activation of the patient’s endogenous T cells </w:t>
      </w:r>
      <w:r>
        <w:rPr>
          <w:rFonts w:ascii="Arial" w:cs="Arial" w:eastAsia="Arial" w:hAnsi="Arial"/>
          <w:sz w:val="17"/>
          <w:szCs w:val="17"/>
          <w:i w:val="1"/>
          <w:iCs w:val="1"/>
          <w:color w:val="auto"/>
        </w:rPr>
        <w:t>in vitro</w:t>
      </w:r>
      <w:r>
        <w:rPr>
          <w:rFonts w:ascii="Arial" w:cs="Arial" w:eastAsia="Arial" w:hAnsi="Arial"/>
          <w:sz w:val="17"/>
          <w:szCs w:val="17"/>
          <w:color w:val="auto"/>
        </w:rPr>
        <w:t>. Billions of such activated and specific T cells are then re-infused into the cancer patient for the purpose of attacking the tumor. The patient-tailored IMA101 T cell product(s) are infused as single dose after a pre-conditioning lymphodepletion to facilitate engraftment of transferred T cells. Thereafter, patients receive low-dose IL-2 to further improve T cell engraftment and activation.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Initial results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ongoing IMA101-101 study is a Phase 1 trial investigating the safety and tolerability of IMA101 alone (cohort 1) or in combination with</w:t>
      </w:r>
    </w:p>
    <w:p>
      <w:pPr>
        <w:spacing w:after="0" w:line="23"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PD-L1 inhibitor atezolizumab (cohort 2) in HLA-A*02:01 positive patients with advanced solid cancers. As of December 2019, initial data from the ongoing trial has revealed no treatment related deaths. The most common adverse events observed so far were expected cytopenias associated with the lymphodepleting regimen and Grade 1-2 cytokine release syndrome. Many patients have received high ACTolog cell doses and multiple T cell products. These initial results indicate that ACTolog is well-tolerated with no changes to treatment regime required.</w:t>
      </w:r>
    </w:p>
    <w:p>
      <w:pPr>
        <w:sectPr>
          <w:pgSz w:w="11900" w:h="16838" w:orient="portrait"/>
          <w:cols w:equalWidth="0" w:num="1">
            <w:col w:w="11100"/>
          </w:cols>
          <w:pgMar w:left="320" w:top="459" w:right="479" w:bottom="871" w:gutter="0" w:footer="0" w:header="0"/>
        </w:sectPr>
      </w:pP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00"/>
          </w:cols>
          <w:pgMar w:left="320" w:top="459" w:right="479" w:bottom="871"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1. Initial tolerability profile for ACTolog product candidates.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Adverse Events (N = 12)</w:t>
            </w: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 xml:space="preserve">³ </w:t>
            </w:r>
            <w:r>
              <w:rPr>
                <w:rFonts w:ascii="Arial" w:cs="Arial" w:eastAsia="Arial" w:hAnsi="Arial"/>
                <w:sz w:val="14"/>
                <w:szCs w:val="14"/>
                <w:b w:val="1"/>
                <w:bCs w:val="1"/>
                <w:color w:val="auto"/>
              </w:rPr>
              <w:t>Grade 3</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SAE</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AESI</w:t>
            </w:r>
          </w:p>
        </w:tc>
        <w:tc>
          <w:tcPr>
            <w:tcW w:w="0" w:type="dxa"/>
            <w:vAlign w:val="bottom"/>
          </w:tcPr>
          <w:p>
            <w:pPr>
              <w:spacing w:after="0"/>
              <w:rPr>
                <w:sz w:val="1"/>
                <w:szCs w:val="1"/>
                <w:color w:val="auto"/>
              </w:rPr>
            </w:pPr>
          </w:p>
        </w:tc>
      </w:tr>
      <w:tr>
        <w:trPr>
          <w:trHeight w:val="178"/>
        </w:trPr>
        <w:tc>
          <w:tcPr>
            <w:tcW w:w="4680" w:type="dxa"/>
            <w:vAlign w:val="bottom"/>
            <w:gridSpan w:val="2"/>
            <w:vMerge w:val="continue"/>
          </w:tcPr>
          <w:p>
            <w:pPr>
              <w:spacing w:after="0"/>
              <w:rPr>
                <w:sz w:val="15"/>
                <w:szCs w:val="15"/>
                <w:color w:val="auto"/>
              </w:rPr>
            </w:pPr>
          </w:p>
        </w:tc>
        <w:tc>
          <w:tcPr>
            <w:tcW w:w="1920" w:type="dxa"/>
            <w:vAlign w:val="bottom"/>
          </w:tcPr>
          <w:p>
            <w:pPr>
              <w:spacing w:after="0"/>
              <w:rPr>
                <w:sz w:val="15"/>
                <w:szCs w:val="15"/>
                <w:color w:val="auto"/>
              </w:rPr>
            </w:pPr>
          </w:p>
        </w:tc>
        <w:tc>
          <w:tcPr>
            <w:tcW w:w="580" w:type="dxa"/>
            <w:vAlign w:val="bottom"/>
          </w:tcPr>
          <w:p>
            <w:pPr>
              <w:jc w:val="right"/>
              <w:ind w:right="99"/>
              <w:spacing w:after="0" w:line="158" w:lineRule="exact"/>
              <w:rPr>
                <w:sz w:val="20"/>
                <w:szCs w:val="20"/>
                <w:color w:val="auto"/>
              </w:rPr>
            </w:pPr>
            <w:r>
              <w:rPr>
                <w:rFonts w:ascii="Arial" w:cs="Arial" w:eastAsia="Arial" w:hAnsi="Arial"/>
                <w:sz w:val="14"/>
                <w:szCs w:val="14"/>
                <w:b w:val="1"/>
                <w:bCs w:val="1"/>
                <w:color w:val="auto"/>
              </w:rPr>
              <w:t>(N)</w:t>
            </w:r>
          </w:p>
        </w:tc>
        <w:tc>
          <w:tcPr>
            <w:tcW w:w="700" w:type="dxa"/>
            <w:vAlign w:val="bottom"/>
          </w:tcPr>
          <w:p>
            <w:pPr>
              <w:spacing w:after="0"/>
              <w:rPr>
                <w:sz w:val="15"/>
                <w:szCs w:val="15"/>
                <w:color w:val="auto"/>
              </w:rPr>
            </w:pPr>
          </w:p>
        </w:tc>
        <w:tc>
          <w:tcPr>
            <w:tcW w:w="2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(N)</w:t>
            </w:r>
          </w:p>
        </w:tc>
        <w:tc>
          <w:tcPr>
            <w:tcW w:w="700" w:type="dxa"/>
            <w:vAlign w:val="bottom"/>
          </w:tcPr>
          <w:p>
            <w:pPr>
              <w:spacing w:after="0"/>
              <w:rPr>
                <w:sz w:val="15"/>
                <w:szCs w:val="15"/>
                <w:color w:val="auto"/>
              </w:rPr>
            </w:pPr>
          </w:p>
        </w:tc>
        <w:tc>
          <w:tcPr>
            <w:tcW w:w="3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(N)</w:t>
            </w:r>
          </w:p>
        </w:tc>
        <w:tc>
          <w:tcPr>
            <w:tcW w:w="0" w:type="dxa"/>
            <w:vAlign w:val="bottom"/>
          </w:tcPr>
          <w:p>
            <w:pPr>
              <w:spacing w:after="0"/>
              <w:rPr>
                <w:sz w:val="1"/>
                <w:szCs w:val="1"/>
                <w:color w:val="auto"/>
              </w:rPr>
            </w:pPr>
          </w:p>
        </w:tc>
      </w:tr>
      <w:tr>
        <w:trPr>
          <w:trHeight w:val="189"/>
        </w:trPr>
        <w:tc>
          <w:tcPr>
            <w:tcW w:w="1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Anemia</w:t>
            </w:r>
          </w:p>
        </w:tc>
        <w:tc>
          <w:tcPr>
            <w:tcW w:w="3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9</w:t>
            </w:r>
          </w:p>
        </w:tc>
        <w:tc>
          <w:tcPr>
            <w:tcW w:w="700" w:type="dxa"/>
            <w:vAlign w:val="bottom"/>
          </w:tcPr>
          <w:p>
            <w:pPr>
              <w:spacing w:after="0"/>
              <w:rPr>
                <w:sz w:val="16"/>
                <w:szCs w:val="16"/>
                <w:color w:val="auto"/>
              </w:rPr>
            </w:pPr>
          </w:p>
        </w:tc>
        <w:tc>
          <w:tcPr>
            <w:tcW w:w="2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0</w:t>
            </w:r>
          </w:p>
        </w:tc>
        <w:tc>
          <w:tcPr>
            <w:tcW w:w="700" w:type="dxa"/>
            <w:vAlign w:val="bottom"/>
          </w:tcPr>
          <w:p>
            <w:pPr>
              <w:spacing w:after="0"/>
              <w:rPr>
                <w:sz w:val="16"/>
                <w:szCs w:val="16"/>
                <w:color w:val="auto"/>
              </w:rPr>
            </w:pPr>
          </w:p>
        </w:tc>
        <w:tc>
          <w:tcPr>
            <w:tcW w:w="3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Leukopenia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Lymphopenia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Neutropenia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Thrombocytopenia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Bacteremia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Cellulitis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Abdominal pain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Device-related infection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Sinus bradycardia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Hypotension/ Orthostatic hypotension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Appendicitis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Cytopenia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Cytokine release syndrome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Infusion-related reaction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Haematochezia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Fatigue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Overview of Adverse Events in ACTolog trial provides preliminary data for n=12 initial patients (Status as of December 2019). AE: adverse event; SAE, serious adverse event; AESI, adverse event of special interest. Only AEs from treated patients are listed. If a patient experienced &gt; 1 event, the patient is counted only once for the most severe AE. If an SAE or AESI was ³ Grade 3, the same AE is counted in both columns.</w:t>
      </w:r>
    </w:p>
    <w:p>
      <w:pPr>
        <w:spacing w:after="0" w:line="165"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color w:val="auto"/>
        </w:rPr>
        <w:t>Very high frequencies of target-specific T cells could be detected within the patients’ blood up to one year after infusion which is seen as an important pre-requisite for clinical activity.</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 13. Initial biological activity results in ACTolog patients.</w:t>
      </w:r>
    </w:p>
    <w:p>
      <w:pPr>
        <w:spacing w:after="0" w:line="252" w:lineRule="exact"/>
        <w:rPr>
          <w:sz w:val="20"/>
          <w:szCs w:val="20"/>
          <w:color w:val="auto"/>
        </w:rPr>
      </w:pPr>
    </w:p>
    <w:p>
      <w:pPr>
        <w:ind w:left="1860"/>
        <w:spacing w:after="0"/>
        <w:tabs>
          <w:tab w:leader="none" w:pos="7300" w:val="left"/>
        </w:tabs>
        <w:rPr>
          <w:sz w:val="20"/>
          <w:szCs w:val="20"/>
          <w:color w:val="auto"/>
        </w:rPr>
      </w:pPr>
      <w:r>
        <w:rPr>
          <w:rFonts w:ascii="Arial" w:cs="Arial" w:eastAsia="Arial" w:hAnsi="Arial"/>
          <w:sz w:val="18"/>
          <w:szCs w:val="18"/>
          <w:b w:val="1"/>
          <w:bCs w:val="1"/>
          <w:color w:val="auto"/>
        </w:rPr>
        <w:t>T cell Persistence in Blood</w:t>
      </w:r>
      <w:r>
        <w:rPr>
          <w:sz w:val="20"/>
          <w:szCs w:val="20"/>
          <w:color w:val="auto"/>
        </w:rPr>
        <w:tab/>
      </w:r>
      <w:r>
        <w:rPr>
          <w:rFonts w:ascii="Arial" w:cs="Arial" w:eastAsia="Arial" w:hAnsi="Arial"/>
          <w:sz w:val="16"/>
          <w:szCs w:val="16"/>
          <w:b w:val="1"/>
          <w:bCs w:val="1"/>
          <w:color w:val="auto"/>
        </w:rPr>
        <w:t>T cell infiltration into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102870</wp:posOffset>
            </wp:positionV>
            <wp:extent cx="5846445" cy="1440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4644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Initial data for biological activity in ACTolog patients (status January 2020). Left panel: T cell persistence in the periphery of n=12 patients was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determined up to one year after infusion, right panel: Detection of target-specific T cells within post-treatment biopsies.</w:t>
      </w:r>
    </w:p>
    <w:p>
      <w:pPr>
        <w:spacing w:after="0" w:line="21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As presented by the study’s principal investigator at public conferences, two interesting case studies were observed in the ACTolog IMA101-101 trial to date. One patient with nasopharyngeal cancer was treated with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7" w:lineRule="auto"/>
        <w:rPr>
          <w:sz w:val="20"/>
          <w:szCs w:val="20"/>
          <w:color w:val="auto"/>
        </w:rPr>
      </w:pPr>
      <w:r>
        <w:rPr>
          <w:rFonts w:ascii="Arial" w:cs="Arial" w:eastAsia="Arial" w:hAnsi="Arial"/>
          <w:sz w:val="18"/>
          <w:szCs w:val="18"/>
          <w:color w:val="auto"/>
        </w:rPr>
        <w:t>T cell product against the novel tumor stromal target COL6A3 exon 6 and showed stable disease for one year without the requirement of subsequent anti-tumor treatment and with an indication of necrosis in tumor biopsies. Another patient with squamous cell carcinoma of the anus received T cell products directed to COL6A3 exon 6 and PRAME and showed a 26% decrease in tumor measurements (RECIST1.1, irRECIST) at week six. A significant drop of T cells at week eight and a presumably unfavorable shift in T cell phenotype towards terminal differentiation was associated with progression of the patient at week twelve.</w:t>
      </w:r>
    </w:p>
    <w:p>
      <w:pPr>
        <w:spacing w:after="0" w:line="18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Overall, preliminary results of this multi-target pilot study demonstrate that large T cell doses of multiple products can be applied simultaneously and are generally well tolerated. The IMA101-101 pilot trial demonstrated the feasibility of multi-target ACT and generated Phase 1 tolerability data for the investigated targets. Clinical topline data are expected to be available at the end of 2020.</w:t>
      </w:r>
    </w:p>
    <w:p>
      <w:pPr>
        <w:spacing w:after="0" w:line="184"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Some of the targets tested in the ACTolog IMA101-101 trial either are, or may soon be, entering clinical development in our ACTengine trials. For the next wave of ACT, we envision utilizing the highly potent TCRs from ACTengine within such actively tailored, multi-target, precision immunotherapy approach.</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Personalized Multi-target ACTengine and TCR Warehouse</w:t>
      </w:r>
    </w:p>
    <w:p>
      <w:pPr>
        <w:spacing w:after="0" w:line="12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Currently, the few publicly available targets in ACT trials are usually tackled separately by individual products and trials. As intra-tumor heterogeneity has been observed as a source for clonal re-growth of the tumor, tumor escape can occur if only one target is addressed. Targeting multiple antigens relevant for individual patients is therefore an important strategic objective for us that may enable us to see durable clinical responses by lowering the risk of relapse due to tumor antigen escape. We believe that an ACTengine TCR-T therapy with multiple TCRs against multiple targets may have the potential to realize durable and deep clinical responses.</w:t>
      </w:r>
    </w:p>
    <w:p>
      <w:pPr>
        <w:spacing w:after="0" w:line="18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 xml:space="preserve">The proprietary target discovery platform XPRESIDENT positions us to simultaneously address multiple targets. As a first step, we have already created a library, which we call our “warehouse”, of seven promising tumor antigens for use in the ACTolog pilot trial. In this study, endogenous, </w:t>
      </w:r>
      <w:r>
        <w:rPr>
          <w:rFonts w:ascii="Arial" w:cs="Arial" w:eastAsia="Arial" w:hAnsi="Arial"/>
          <w:sz w:val="16"/>
          <w:szCs w:val="16"/>
          <w:i w:val="1"/>
          <w:iCs w:val="1"/>
          <w:color w:val="auto"/>
        </w:rPr>
        <w:t>ex</w:t>
      </w:r>
    </w:p>
    <w:p>
      <w:pPr>
        <w:ind w:left="120" w:right="120"/>
        <w:spacing w:after="0" w:line="260" w:lineRule="auto"/>
        <w:rPr>
          <w:sz w:val="20"/>
          <w:szCs w:val="20"/>
          <w:color w:val="auto"/>
        </w:rPr>
      </w:pPr>
      <w:r>
        <w:rPr>
          <w:rFonts w:ascii="Arial" w:cs="Arial" w:eastAsia="Arial" w:hAnsi="Arial"/>
          <w:sz w:val="18"/>
          <w:szCs w:val="18"/>
          <w:i w:val="1"/>
          <w:iCs w:val="1"/>
          <w:color w:val="auto"/>
        </w:rPr>
        <w:t xml:space="preserve">vivo </w:t>
      </w:r>
      <w:r>
        <w:rPr>
          <w:rFonts w:ascii="Arial" w:cs="Arial" w:eastAsia="Arial" w:hAnsi="Arial"/>
          <w:sz w:val="18"/>
          <w:szCs w:val="18"/>
          <w:color w:val="auto"/>
        </w:rPr>
        <w:t>amplified T cells (in contrast to ACTengine they are not genetically engineered but selected from the patient’s own T cell repertoire) are applied to</w:t>
      </w:r>
      <w:r>
        <w:rPr>
          <w:rFonts w:ascii="Arial" w:cs="Arial" w:eastAsia="Arial" w:hAnsi="Arial"/>
          <w:sz w:val="18"/>
          <w:szCs w:val="18"/>
          <w:i w:val="1"/>
          <w:iCs w:val="1"/>
          <w:color w:val="auto"/>
        </w:rPr>
        <w:t xml:space="preserve"> </w:t>
      </w:r>
      <w:r>
        <w:rPr>
          <w:rFonts w:ascii="Arial" w:cs="Arial" w:eastAsia="Arial" w:hAnsi="Arial"/>
          <w:sz w:val="18"/>
          <w:szCs w:val="18"/>
          <w:color w:val="auto"/>
        </w:rPr>
        <w:t>solid cancer patients in a multi-target precision approach.</w:t>
      </w:r>
    </w:p>
    <w:p>
      <w:pPr>
        <w:spacing w:after="0" w:line="18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Phase 1 clinical trials with TCR-engineered ACTengine product candidates are either ongoing (IMA201-203) or planned (IMA204). While development of these product candidates is pursued with full commitment, we envision combining all four products into a “TCR warehouse” to allow treatment of individual patients with more than one TCR specificity. With an initial TCR warehouse including IMA201-204, patients could then potentially be treated with up to four different products depending on their individual target expression pattern.</w:t>
      </w:r>
    </w:p>
    <w:p>
      <w:pPr>
        <w:spacing w:after="0" w:line="187"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Enabled by the XPRESIDENT target pool and the TCR identification platform XCEPTOR, we aim to develop further TCRs with supplementary target specificities and to include them into this TCR warehouse. We envision the combination of a warehouse-based TCR-T approach with next-generation technologies and other immuno-oncology drugs (such as checkpoint inhibitors) on a data-driven, patient-individual basis.</w:t>
      </w:r>
    </w:p>
    <w:p>
      <w:pPr>
        <w:spacing w:after="0" w:line="16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We have broad experience with the regulatory and clinical realization of such warehouse-based concepts as demonstrated with ACTolog in the United States, as well as a previous personalized vaccine trial (GAPVAC) in the European regulatory environment.</w:t>
      </w:r>
    </w:p>
    <w:p>
      <w:pPr>
        <w:spacing w:after="0" w:line="170"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Offering a treatment option to potentially any cancer patient with a possibility of multiple targets per patient would require a substantially larger TCR warehouse. We envision expanding the warehouse, gradually, with additional TCRs targeting additional tumor and tumor stroma antigens available through XPRESIDENT. Moreover, we plan to include targets presented by HLA alleles other than HLA-A*02:01, such as HLA-A*01, HLA-A*03, HLA-A*24, HLA-B*07, HLA-B*08, HLA-B*44. This has the potential to broaden the patient population that might benefit from the TCR warehouse approach from approximately 40% of the population in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North America and approximately 45% of Europe expressing HLA-A*02:01 to more than 90% of individuals expressing at least one suitable HLA allele, and to similar values for populations in other major markets.</w:t>
      </w: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Figure 14. Our multi-target TCR-T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171450</wp:posOffset>
            </wp:positionV>
            <wp:extent cx="6583680" cy="59150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83680"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combine the expertise from the ACTolog multi-target pilot study with the capability to develop novel engineered TCRs as used in the ACTengine approach. While developing ACTengine targets individually, we plan to combine IMA201-204 TCRs into an initial TCR warehouse, enabling patient treatment with multiple ACTengine products including anti-tumor and anti-stroma targets. We plan to extend that warehouse with the goal to treat ultimately any cancer patient and achieve durable responses.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TCR B</w:t>
      </w:r>
      <w:r>
        <w:rPr>
          <w:rFonts w:ascii="Arial" w:cs="Arial" w:eastAsia="Arial" w:hAnsi="Arial"/>
          <w:sz w:val="14"/>
          <w:szCs w:val="14"/>
          <w:b w:val="1"/>
          <w:bCs w:val="1"/>
          <w:color w:val="auto"/>
        </w:rPr>
        <w:t>ISPECIFICS</w:t>
      </w:r>
      <w:r>
        <w:rPr>
          <w:rFonts w:ascii="Arial" w:cs="Arial" w:eastAsia="Arial" w:hAnsi="Arial"/>
          <w:sz w:val="18"/>
          <w:szCs w:val="18"/>
          <w:b w:val="1"/>
          <w:bCs w:val="1"/>
          <w:color w:val="auto"/>
        </w:rPr>
        <w:t xml:space="preserve"> — 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0034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TCER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22713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03415" cy="2271395"/>
                    </a:xfrm>
                    <a:prstGeom prst="rect">
                      <a:avLst/>
                    </a:prstGeom>
                    <a:noFill/>
                  </pic:spPr>
                </pic:pic>
              </a:graphicData>
            </a:graphic>
          </wp:anchor>
        </w:drawing>
      </w:r>
    </w:p>
    <w:p>
      <w:pPr>
        <w:spacing w:after="0" w:line="111" w:lineRule="exact"/>
        <w:rPr>
          <w:sz w:val="20"/>
          <w:szCs w:val="20"/>
          <w:color w:val="auto"/>
        </w:rPr>
      </w:pPr>
    </w:p>
    <w:p>
      <w:pPr>
        <w:ind w:left="720" w:hanging="277"/>
        <w:spacing w:after="0" w:line="261" w:lineRule="auto"/>
        <w:tabs>
          <w:tab w:leader="none" w:pos="704"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TCR Bispecifics redirect any T cell. </w:t>
      </w:r>
      <w:r>
        <w:rPr>
          <w:rFonts w:ascii="Arial" w:cs="Arial" w:eastAsia="Arial" w:hAnsi="Arial"/>
          <w:sz w:val="18"/>
          <w:szCs w:val="18"/>
          <w:color w:val="auto"/>
        </w:rPr>
        <w:t>Our TCR Bispecifics, called TCER (T Cell Engaging Receptors), are off-the-shelf biologics that</w:t>
      </w:r>
      <w:r>
        <w:rPr>
          <w:rFonts w:ascii="Arial" w:cs="Arial" w:eastAsia="Arial" w:hAnsi="Arial"/>
          <w:sz w:val="18"/>
          <w:szCs w:val="18"/>
          <w:b w:val="1"/>
          <w:bCs w:val="1"/>
          <w:color w:val="auto"/>
        </w:rPr>
        <w:t xml:space="preserve"> </w:t>
      </w:r>
      <w:r>
        <w:rPr>
          <w:rFonts w:ascii="Arial" w:cs="Arial" w:eastAsia="Arial" w:hAnsi="Arial"/>
          <w:sz w:val="18"/>
          <w:szCs w:val="18"/>
          <w:color w:val="auto"/>
        </w:rPr>
        <w:t>leverage the body’s immune system by redirecting and activating T cells towards cancer cells expressing specific tumor targets. The design of these novel biologics allows any T cell in the body to become activated and attack the tumor, regardless of the T cells’ intrinsic specificity.</w:t>
      </w:r>
    </w:p>
    <w:p>
      <w:pPr>
        <w:spacing w:after="0" w:line="85" w:lineRule="exact"/>
        <w:rPr>
          <w:rFonts w:ascii="Arial" w:cs="Arial" w:eastAsia="Arial" w:hAnsi="Arial"/>
          <w:sz w:val="18"/>
          <w:szCs w:val="18"/>
          <w:color w:val="auto"/>
        </w:rPr>
      </w:pPr>
    </w:p>
    <w:p>
      <w:pPr>
        <w:ind w:left="720" w:right="680" w:hanging="277"/>
        <w:spacing w:after="0" w:line="282" w:lineRule="auto"/>
        <w:tabs>
          <w:tab w:leader="none" w:pos="704"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Expanded target space compared to classical T cell engagers. </w:t>
      </w:r>
      <w:r>
        <w:rPr>
          <w:rFonts w:ascii="Arial" w:cs="Arial" w:eastAsia="Arial" w:hAnsi="Arial"/>
          <w:sz w:val="18"/>
          <w:szCs w:val="18"/>
          <w:color w:val="auto"/>
        </w:rPr>
        <w:t>TCER compounds target tumor-associated peptides presented by</w:t>
      </w:r>
      <w:r>
        <w:rPr>
          <w:rFonts w:ascii="Arial" w:cs="Arial" w:eastAsia="Arial" w:hAnsi="Arial"/>
          <w:sz w:val="18"/>
          <w:szCs w:val="18"/>
          <w:b w:val="1"/>
          <w:bCs w:val="1"/>
          <w:color w:val="auto"/>
        </w:rPr>
        <w:t xml:space="preserve"> </w:t>
      </w:r>
      <w:r>
        <w:rPr>
          <w:rFonts w:ascii="Arial" w:cs="Arial" w:eastAsia="Arial" w:hAnsi="Arial"/>
          <w:sz w:val="18"/>
          <w:szCs w:val="18"/>
          <w:color w:val="auto"/>
        </w:rPr>
        <w:t>HLA-molecules on the tumor cell surface exploiting the whole proteome.</w:t>
      </w:r>
    </w:p>
    <w:p>
      <w:pPr>
        <w:spacing w:after="0" w:line="67" w:lineRule="exact"/>
        <w:rPr>
          <w:rFonts w:ascii="Arial" w:cs="Arial" w:eastAsia="Arial" w:hAnsi="Arial"/>
          <w:sz w:val="18"/>
          <w:szCs w:val="18"/>
          <w:color w:val="auto"/>
        </w:rPr>
      </w:pPr>
    </w:p>
    <w:p>
      <w:pPr>
        <w:ind w:left="720" w:right="60" w:hanging="277"/>
        <w:spacing w:after="0" w:line="282" w:lineRule="auto"/>
        <w:tabs>
          <w:tab w:leader="none" w:pos="704"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Active at low levels of target expression. </w:t>
      </w:r>
      <w:r>
        <w:rPr>
          <w:rFonts w:ascii="Arial" w:cs="Arial" w:eastAsia="Arial" w:hAnsi="Arial"/>
          <w:sz w:val="18"/>
          <w:szCs w:val="18"/>
          <w:color w:val="auto"/>
        </w:rPr>
        <w:t>TCER are designed to induce the killing of tumor cells even when presenting physiological low</w:t>
      </w:r>
      <w:r>
        <w:rPr>
          <w:rFonts w:ascii="Arial" w:cs="Arial" w:eastAsia="Arial" w:hAnsi="Arial"/>
          <w:sz w:val="18"/>
          <w:szCs w:val="18"/>
          <w:b w:val="1"/>
          <w:bCs w:val="1"/>
          <w:color w:val="auto"/>
        </w:rPr>
        <w:t xml:space="preserve"> </w:t>
      </w:r>
      <w:r>
        <w:rPr>
          <w:rFonts w:ascii="Arial" w:cs="Arial" w:eastAsia="Arial" w:hAnsi="Arial"/>
          <w:sz w:val="18"/>
          <w:szCs w:val="18"/>
          <w:color w:val="auto"/>
        </w:rPr>
        <w:t>copy numbers of the target.</w:t>
      </w:r>
    </w:p>
    <w:p>
      <w:pPr>
        <w:spacing w:after="0" w:line="67" w:lineRule="exact"/>
        <w:rPr>
          <w:rFonts w:ascii="Arial" w:cs="Arial" w:eastAsia="Arial" w:hAnsi="Arial"/>
          <w:sz w:val="18"/>
          <w:szCs w:val="18"/>
          <w:color w:val="auto"/>
        </w:rPr>
      </w:pPr>
    </w:p>
    <w:p>
      <w:pPr>
        <w:ind w:left="720" w:right="500" w:hanging="277"/>
        <w:spacing w:after="0" w:line="282" w:lineRule="auto"/>
        <w:tabs>
          <w:tab w:leader="none" w:pos="704"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High affinity and preclinical activity. </w:t>
      </w:r>
      <w:r>
        <w:rPr>
          <w:rFonts w:ascii="Arial" w:cs="Arial" w:eastAsia="Arial" w:hAnsi="Arial"/>
          <w:sz w:val="18"/>
          <w:szCs w:val="18"/>
          <w:color w:val="auto"/>
        </w:rPr>
        <w:t>Very low concentration (low pM range) required for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killing of tumor cells expressing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physiological levels of target pHLA and significant tumor growth inhibition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 therapeutic model.</w:t>
      </w:r>
    </w:p>
    <w:p>
      <w:pPr>
        <w:spacing w:after="0" w:line="67" w:lineRule="exact"/>
        <w:rPr>
          <w:rFonts w:ascii="Arial" w:cs="Arial" w:eastAsia="Arial" w:hAnsi="Arial"/>
          <w:sz w:val="18"/>
          <w:szCs w:val="18"/>
          <w:color w:val="auto"/>
        </w:rPr>
      </w:pPr>
    </w:p>
    <w:p>
      <w:pPr>
        <w:ind w:left="720" w:right="260" w:hanging="277"/>
        <w:spacing w:after="0" w:line="282" w:lineRule="auto"/>
        <w:tabs>
          <w:tab w:leader="none" w:pos="704"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Extended half-life. </w:t>
      </w:r>
      <w:r>
        <w:rPr>
          <w:rFonts w:ascii="Arial" w:cs="Arial" w:eastAsia="Arial" w:hAnsi="Arial"/>
          <w:sz w:val="18"/>
          <w:szCs w:val="18"/>
          <w:color w:val="auto"/>
        </w:rPr>
        <w:t>The TCER-scaffold is designed to exhibit a long functional half-life in the patient’s bloodstream in order to achieve</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activity without the requirement for daily and/or continuous intravenous application.</w:t>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740"/>
          </w:cols>
          <w:pgMar w:left="600" w:top="135" w:right="559" w:bottom="1440" w:gutter="0" w:footer="0" w:header="0"/>
        </w:sectPr>
      </w:pPr>
    </w:p>
    <w:bookmarkStart w:id="124" w:name="page125"/>
    <w:bookmarkEnd w:id="12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03415" cy="15087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03415" cy="150876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0" w:right="540" w:hanging="277"/>
        <w:spacing w:after="0" w:line="282" w:lineRule="auto"/>
        <w:tabs>
          <w:tab w:leader="none" w:pos="984"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Modularity. </w:t>
      </w:r>
      <w:r>
        <w:rPr>
          <w:rFonts w:ascii="Arial" w:cs="Arial" w:eastAsia="Arial" w:hAnsi="Arial"/>
          <w:sz w:val="18"/>
          <w:szCs w:val="18"/>
          <w:color w:val="auto"/>
        </w:rPr>
        <w:t>The TCER-scaffold is designed to offer modularity. This allows for the efficient exchange of tumor-targeting and T cell</w:t>
      </w:r>
      <w:r>
        <w:rPr>
          <w:rFonts w:ascii="Arial" w:cs="Arial" w:eastAsia="Arial" w:hAnsi="Arial"/>
          <w:sz w:val="18"/>
          <w:szCs w:val="18"/>
          <w:b w:val="1"/>
          <w:bCs w:val="1"/>
          <w:color w:val="auto"/>
        </w:rPr>
        <w:t xml:space="preserve"> </w:t>
      </w:r>
      <w:r>
        <w:rPr>
          <w:rFonts w:ascii="Arial" w:cs="Arial" w:eastAsia="Arial" w:hAnsi="Arial"/>
          <w:sz w:val="18"/>
          <w:szCs w:val="18"/>
          <w:color w:val="auto"/>
        </w:rPr>
        <w:t>engaging binders.</w:t>
      </w:r>
    </w:p>
    <w:p>
      <w:pPr>
        <w:spacing w:after="0" w:line="67" w:lineRule="exact"/>
        <w:rPr>
          <w:rFonts w:ascii="Arial" w:cs="Arial" w:eastAsia="Arial" w:hAnsi="Arial"/>
          <w:sz w:val="18"/>
          <w:szCs w:val="18"/>
          <w:color w:val="auto"/>
        </w:rPr>
      </w:pPr>
    </w:p>
    <w:p>
      <w:pPr>
        <w:ind w:left="980" w:hanging="257"/>
        <w:spacing w:after="0"/>
        <w:tabs>
          <w:tab w:leader="none" w:pos="98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Off-the-shelf therapeutics. </w:t>
      </w:r>
      <w:r>
        <w:rPr>
          <w:rFonts w:ascii="Arial" w:cs="Arial" w:eastAsia="Arial" w:hAnsi="Arial"/>
          <w:sz w:val="17"/>
          <w:szCs w:val="17"/>
          <w:color w:val="auto"/>
        </w:rPr>
        <w:t>TCER are biologics designed for cost-effective manufacturing and immediate application availability.</w:t>
      </w:r>
    </w:p>
    <w:p>
      <w:pPr>
        <w:spacing w:after="0" w:line="142" w:lineRule="exact"/>
        <w:rPr>
          <w:rFonts w:ascii="Arial" w:cs="Arial" w:eastAsia="Arial" w:hAnsi="Arial"/>
          <w:sz w:val="17"/>
          <w:szCs w:val="17"/>
          <w:color w:val="auto"/>
        </w:rPr>
      </w:pPr>
    </w:p>
    <w:p>
      <w:pPr>
        <w:ind w:left="1000" w:right="400" w:hanging="277"/>
        <w:spacing w:after="0" w:line="266" w:lineRule="auto"/>
        <w:tabs>
          <w:tab w:leader="none" w:pos="984"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Manufacturing activities for IMA401 have started. </w:t>
      </w:r>
      <w:r>
        <w:rPr>
          <w:rFonts w:ascii="Arial" w:cs="Arial" w:eastAsia="Arial" w:hAnsi="Arial"/>
          <w:sz w:val="18"/>
          <w:szCs w:val="18"/>
          <w:color w:val="auto"/>
        </w:rPr>
        <w:t>The TCER-scaffold is designed to be produced in CHO-cells relying on well-established processes used in the production of antibody-based therapeutics. Manufacturing development for our lead TCER candidate IMA401 is ongoing and submission of an IND is planned for the end of 2021.</w:t>
      </w:r>
    </w:p>
    <w:p>
      <w:pPr>
        <w:spacing w:after="0" w:line="81" w:lineRule="exact"/>
        <w:rPr>
          <w:rFonts w:ascii="Arial" w:cs="Arial" w:eastAsia="Arial" w:hAnsi="Arial"/>
          <w:sz w:val="18"/>
          <w:szCs w:val="18"/>
          <w:color w:val="auto"/>
        </w:rPr>
      </w:pPr>
    </w:p>
    <w:p>
      <w:pPr>
        <w:ind w:left="1000" w:right="680" w:hanging="277"/>
        <w:spacing w:after="0" w:line="282" w:lineRule="auto"/>
        <w:tabs>
          <w:tab w:leader="none" w:pos="984"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The planned first-in-human clinical trial with IMA401 </w:t>
      </w:r>
      <w:r>
        <w:rPr>
          <w:rFonts w:ascii="Arial" w:cs="Arial" w:eastAsia="Arial" w:hAnsi="Arial"/>
          <w:sz w:val="18"/>
          <w:szCs w:val="18"/>
          <w:color w:val="auto"/>
        </w:rPr>
        <w:t>is designed to assess safety and tolerability, establish a suitable dose and</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potentially observe initial signs of clinical activity.</w:t>
      </w:r>
    </w:p>
    <w:p>
      <w:pPr>
        <w:spacing w:after="0" w:line="314"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Our TCER are designed to leverage the well-established and validated mode of action and off-the-shelf usage of bispecific T cell engagers (prototyped by Blinatumomab) and to combine this mechanism with the expanded target space available to T cell therapies against pHLA targets.</w:t>
      </w:r>
    </w:p>
    <w:p>
      <w:pPr>
        <w:spacing w:after="0" w:line="12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Once administered, TCER compounds are supposed to bind to the tumor cells presenting the target peptide in context of HLA and simultaneously recruit, activate and stimulate the patient’s own T cells to attack the tumor cells. This is expected to result in T cell expansion and subsequent tumor regression.</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 TCER consists of three distinct elements: (i) an affinity and stability improved T cell receptor recognizing the target presented by HLA-molecules on tumor cells, (ii) a T cell stimulating and recruiting domain derived from an antibody, and (iii) an effector function silenced Fc-part based on human IgG conferring preferential stability, serum half-life and manufacturability. Our TCER molecules can be produced and purified utilizing established processes to manufacture antibodies.</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Figure 15. Proposed mechanism of action of our TCER: from administration to tumor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1706245</wp:posOffset>
            </wp:positionV>
            <wp:extent cx="6995160" cy="28460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2846070"/>
                    </a:xfrm>
                    <a:prstGeom prst="rect">
                      <a:avLst/>
                    </a:prstGeom>
                    <a:noFill/>
                  </pic:spPr>
                </pic:pic>
              </a:graphicData>
            </a:graphic>
          </wp:anchor>
        </w:drawing>
      </w:r>
    </w:p>
    <w:p>
      <w:pPr>
        <w:sectPr>
          <w:pgSz w:w="11900" w:h="16982" w:orient="portrait"/>
          <w:cols w:equalWidth="0" w:num="1">
            <w:col w:w="11080"/>
          </w:cols>
          <w:pgMar w:left="320" w:top="459" w:right="4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Administration of the biologic compound, which is off-the-shelf available, to a biomarker positive cancer patient. TCER molecules are supposed to specifically bind to the pHLA targets on cancer cells, direct and activate any patient’s circulating T cell into proximity of the cancer cell with the goal of</w:t>
      </w:r>
    </w:p>
    <w:p>
      <w:pPr>
        <w:sectPr>
          <w:pgSz w:w="11900" w:h="16982" w:orient="portrait"/>
          <w:cols w:equalWidth="0" w:num="1">
            <w:col w:w="11080"/>
          </w:cols>
          <w:pgMar w:left="320" w:top="459" w:right="499" w:bottom="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color w:val="auto"/>
        </w:rPr>
        <w:t>destroying the malignant cell.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TCER scaffold is the result of a campaign to engineer and evaluate various molecular scaffolds incorporating binding domains derived from affinity and stability enhanced TCRs and from T cell recruiting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80"/>
          </w:cols>
          <w:pgMar w:left="440" w:top="125"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antibodies, respectively. The TCER architecture, 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proved to be superior to other tested scaffolds with respect to preclinical activity, stability and physico-chemical properties, so called “developability”. TCER molecules can readily be expressed in CHO-cells with titers comparable to antibody-based biologics. The TCER protein can be purified using common chromatographic techniques and size-exclusion-chromatography, facilitating the cGMP-compliant manufacturing in established plants.</w:t>
      </w:r>
    </w:p>
    <w:p>
      <w:pPr>
        <w:spacing w:after="0" w:line="187"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 xml:space="preserve">For all TCER programs, extensive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are compiled. The activity of all TCER molecules is evaluated in various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assays utilizing tumor cell lines presenting the target at physiological low levels. Figure 16 representatively illustrates such a tumor cell killing</w:t>
      </w:r>
      <w:r>
        <w:rPr>
          <w:rFonts w:ascii="Arial" w:cs="Arial" w:eastAsia="Arial" w:hAnsi="Arial"/>
          <w:sz w:val="18"/>
          <w:szCs w:val="18"/>
          <w:i w:val="1"/>
          <w:iCs w:val="1"/>
          <w:color w:val="auto"/>
        </w:rPr>
        <w:t xml:space="preserve"> </w:t>
      </w:r>
      <w:r>
        <w:rPr>
          <w:rFonts w:ascii="Arial" w:cs="Arial" w:eastAsia="Arial" w:hAnsi="Arial"/>
          <w:sz w:val="18"/>
          <w:szCs w:val="18"/>
          <w:color w:val="auto"/>
        </w:rPr>
        <w:t>assay by a target-specific TCER.</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Figure 16. Specific tumor cell killing by a 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1954530</wp:posOffset>
            </wp:positionV>
            <wp:extent cx="6995160" cy="23571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PBMC-mediated cytotoxicity of a TCER against target positive tumor cells was assessed by live-cell analysis. Shown are representative images after 60 hours. Unstained (grey/black): PBMCs (lymphocytes, including T cells); Red: Living tumor cells, Green: Dead cells, Yellow: cell death in clusters of activated T cells and tumor cells.</w:t>
      </w:r>
    </w:p>
    <w:p>
      <w:pPr>
        <w:spacing w:after="0" w:line="18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 xml:space="preserve">In general, TCER molecules exhibiting high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potency and the ability to target low abundant peptides are selected. In parallel, tolerability of TCER candidates is extensively tested in various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 systems. TCER molecules exhibiting low reactivity towards healthy tissue as well as high therapeutic windows are then selected for further development.</w:t>
      </w:r>
    </w:p>
    <w:p>
      <w:pPr>
        <w:spacing w:after="0" w:line="184"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i w:val="1"/>
          <w:iCs w:val="1"/>
          <w:color w:val="auto"/>
        </w:rPr>
        <w:t xml:space="preserve">In vivo </w:t>
      </w:r>
      <w:r>
        <w:rPr>
          <w:rFonts w:ascii="Arial" w:cs="Arial" w:eastAsia="Arial" w:hAnsi="Arial"/>
          <w:sz w:val="17"/>
          <w:szCs w:val="17"/>
          <w:color w:val="auto"/>
        </w:rPr>
        <w:t>half-life of TCER molecules is assessed in mice by quantification of functional TCER molecules in blood. For a representative TCER molecule,</w:t>
      </w:r>
      <w:r>
        <w:rPr>
          <w:rFonts w:ascii="Arial" w:cs="Arial" w:eastAsia="Arial" w:hAnsi="Arial"/>
          <w:sz w:val="17"/>
          <w:szCs w:val="17"/>
          <w:i w:val="1"/>
          <w:iCs w:val="1"/>
          <w:color w:val="auto"/>
        </w:rPr>
        <w:t xml:space="preserve"> </w:t>
      </w:r>
      <w:r>
        <w:rPr>
          <w:rFonts w:ascii="Arial" w:cs="Arial" w:eastAsia="Arial" w:hAnsi="Arial"/>
          <w:sz w:val="17"/>
          <w:szCs w:val="17"/>
          <w:color w:val="auto"/>
        </w:rPr>
        <w:t>a long terminal half-life of several days was determined, confirming the functionality of the Fc-part utilized in the TCER-scaffold.</w:t>
      </w:r>
    </w:p>
    <w:p>
      <w:pPr>
        <w:spacing w:after="0" w:line="146"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The targets used in our current TCER programs are HLA-A*02:01-restricted, naturally presented peptide cancer targets identified by our comprehensive target discovery and validation process. The identified peptides demonstrate high target copy numbers and are highly tumor-associated targets with high target prevalence in several solid cancer types, which we believe makes them excellent targets for TCER programs.</w:t>
      </w:r>
    </w:p>
    <w:p>
      <w:pPr>
        <w:sectPr>
          <w:pgSz w:w="11900" w:h="16838" w:orient="portrait"/>
          <w:cols w:equalWidth="0" w:num="1">
            <w:col w:w="11100"/>
          </w:cols>
          <w:pgMar w:left="320" w:top="459" w:right="479" w:bottom="0" w:gutter="0" w:footer="0" w:header="0"/>
        </w:sectPr>
      </w:pP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100"/>
          </w:cols>
          <w:pgMar w:left="320" w:top="459" w:right="479" w:bottom="0" w:gutter="0" w:footer="0" w:header="0"/>
          <w:type w:val="continuous"/>
        </w:sectPr>
      </w:pPr>
    </w:p>
    <w:bookmarkStart w:id="127" w:name="page128"/>
    <w:bookmarkEnd w:id="12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120" w:right="380"/>
        <w:spacing w:after="0" w:line="311" w:lineRule="auto"/>
        <w:rPr>
          <w:sz w:val="20"/>
          <w:szCs w:val="20"/>
          <w:color w:val="auto"/>
        </w:rPr>
      </w:pPr>
      <w:r>
        <w:rPr>
          <w:rFonts w:ascii="Arial" w:cs="Arial" w:eastAsia="Arial" w:hAnsi="Arial"/>
          <w:sz w:val="16"/>
          <w:szCs w:val="16"/>
          <w:color w:val="auto"/>
        </w:rPr>
        <w:t>Tumor types with significant target prevalence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Prevalence of IMA401 and IMA402 targets in selected cancer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-659130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28"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4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IMA401</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rPr>
              <w:t>IMA402</w:t>
            </w:r>
          </w:p>
        </w:tc>
      </w:tr>
      <w:tr>
        <w:trPr>
          <w:trHeight w:val="195"/>
        </w:trPr>
        <w:tc>
          <w:tcPr>
            <w:tcW w:w="4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Uterine carcinoma (100%)</w:t>
            </w:r>
          </w:p>
        </w:tc>
      </w:tr>
      <w:tr>
        <w:trPr>
          <w:trHeight w:val="216"/>
        </w:trPr>
        <w:tc>
          <w:tcPr>
            <w:tcW w:w="4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Sq NSCLC (50%)</w:t>
            </w: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Melanoma (95%)</w:t>
            </w:r>
          </w:p>
        </w:tc>
      </w:tr>
      <w:tr>
        <w:trPr>
          <w:trHeight w:val="216"/>
        </w:trPr>
        <w:tc>
          <w:tcPr>
            <w:tcW w:w="4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HNSCC (35%)</w:t>
            </w: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Ovarian carcinoma (80%)</w:t>
            </w:r>
          </w:p>
        </w:tc>
      </w:tr>
      <w:tr>
        <w:trPr>
          <w:trHeight w:val="216"/>
        </w:trPr>
        <w:tc>
          <w:tcPr>
            <w:tcW w:w="4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Bladder carcinoma (30%)</w:t>
            </w:r>
          </w:p>
        </w:tc>
        <w:tc>
          <w:tcPr>
            <w:tcW w:w="3860" w:type="dxa"/>
            <w:vAlign w:val="bottom"/>
          </w:tcPr>
          <w:p>
            <w:pPr>
              <w:jc w:val="center"/>
              <w:spacing w:after="0"/>
              <w:rPr>
                <w:sz w:val="20"/>
                <w:szCs w:val="20"/>
                <w:color w:val="auto"/>
              </w:rPr>
            </w:pPr>
            <w:r>
              <w:rPr>
                <w:rFonts w:ascii="Arial" w:cs="Arial" w:eastAsia="Arial" w:hAnsi="Arial"/>
                <w:sz w:val="18"/>
                <w:szCs w:val="18"/>
                <w:color w:val="auto"/>
                <w:w w:val="92"/>
              </w:rPr>
              <w:t>Sq NSCLC (65%)</w:t>
            </w:r>
          </w:p>
        </w:tc>
      </w:tr>
      <w:tr>
        <w:trPr>
          <w:trHeight w:val="216"/>
        </w:trPr>
        <w:tc>
          <w:tcPr>
            <w:tcW w:w="4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Uterine carcinosarcoma (25%)</w:t>
            </w: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Uveal melanoma (50%)</w:t>
            </w:r>
          </w:p>
        </w:tc>
      </w:tr>
      <w:tr>
        <w:trPr>
          <w:trHeight w:val="216"/>
        </w:trPr>
        <w:tc>
          <w:tcPr>
            <w:tcW w:w="41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Esophageal carcinoma (25%)</w:t>
            </w: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Cholangiocarcinoma (35%)</w:t>
            </w:r>
          </w:p>
        </w:tc>
      </w:tr>
      <w:tr>
        <w:trPr>
          <w:trHeight w:val="216"/>
        </w:trPr>
        <w:tc>
          <w:tcPr>
            <w:tcW w:w="4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Ovarian carcinoma (20%)</w:t>
            </w:r>
          </w:p>
        </w:tc>
        <w:tc>
          <w:tcPr>
            <w:tcW w:w="3860" w:type="dxa"/>
            <w:vAlign w:val="bottom"/>
          </w:tcPr>
          <w:p>
            <w:pPr>
              <w:jc w:val="center"/>
              <w:spacing w:after="0"/>
              <w:rPr>
                <w:sz w:val="20"/>
                <w:szCs w:val="20"/>
                <w:color w:val="auto"/>
              </w:rPr>
            </w:pPr>
            <w:r>
              <w:rPr>
                <w:rFonts w:ascii="Arial" w:cs="Arial" w:eastAsia="Arial" w:hAnsi="Arial"/>
                <w:sz w:val="18"/>
                <w:szCs w:val="18"/>
                <w:color w:val="auto"/>
                <w:w w:val="93"/>
              </w:rPr>
              <w:t>Diffuse large B-cell lymphoma (30%)</w:t>
            </w:r>
          </w:p>
        </w:tc>
      </w:tr>
      <w:tr>
        <w:trPr>
          <w:trHeight w:val="216"/>
        </w:trPr>
        <w:tc>
          <w:tcPr>
            <w:tcW w:w="4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Melanoma (20%)</w:t>
            </w:r>
          </w:p>
        </w:tc>
        <w:tc>
          <w:tcPr>
            <w:tcW w:w="3860" w:type="dxa"/>
            <w:vAlign w:val="bottom"/>
          </w:tcPr>
          <w:p>
            <w:pPr>
              <w:jc w:val="center"/>
              <w:spacing w:after="0"/>
              <w:rPr>
                <w:sz w:val="20"/>
                <w:szCs w:val="20"/>
                <w:color w:val="auto"/>
              </w:rPr>
            </w:pPr>
            <w:r>
              <w:rPr>
                <w:rFonts w:ascii="Arial" w:cs="Arial" w:eastAsia="Arial" w:hAnsi="Arial"/>
                <w:sz w:val="18"/>
                <w:szCs w:val="18"/>
                <w:color w:val="auto"/>
                <w:w w:val="90"/>
              </w:rPr>
              <w:t>Breast carcinoma (25%)</w:t>
            </w:r>
          </w:p>
        </w:tc>
      </w:tr>
      <w:tr>
        <w:trPr>
          <w:trHeight w:val="216"/>
        </w:trPr>
        <w:tc>
          <w:tcPr>
            <w:tcW w:w="41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Sarcoma Subtypes</w:t>
            </w:r>
          </w:p>
        </w:tc>
        <w:tc>
          <w:tcPr>
            <w:tcW w:w="3860" w:type="dxa"/>
            <w:vAlign w:val="bottom"/>
          </w:tcPr>
          <w:p>
            <w:pPr>
              <w:jc w:val="center"/>
              <w:spacing w:after="0"/>
              <w:rPr>
                <w:sz w:val="20"/>
                <w:szCs w:val="20"/>
                <w:color w:val="auto"/>
              </w:rPr>
            </w:pPr>
            <w:r>
              <w:rPr>
                <w:rFonts w:ascii="Arial" w:cs="Arial" w:eastAsia="Arial" w:hAnsi="Arial"/>
                <w:sz w:val="18"/>
                <w:szCs w:val="18"/>
                <w:color w:val="auto"/>
                <w:w w:val="93"/>
              </w:rPr>
              <w:t>HNSCC (25%)</w:t>
            </w:r>
          </w:p>
        </w:tc>
      </w:tr>
      <w:tr>
        <w:trPr>
          <w:trHeight w:val="216"/>
        </w:trPr>
        <w:tc>
          <w:tcPr>
            <w:tcW w:w="4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(up to 80%)</w:t>
            </w:r>
          </w:p>
        </w:tc>
        <w:tc>
          <w:tcPr>
            <w:tcW w:w="3860" w:type="dxa"/>
            <w:vAlign w:val="bottom"/>
          </w:tcPr>
          <w:p>
            <w:pPr>
              <w:jc w:val="center"/>
              <w:spacing w:after="0"/>
              <w:rPr>
                <w:sz w:val="20"/>
                <w:szCs w:val="20"/>
                <w:color w:val="auto"/>
              </w:rPr>
            </w:pPr>
            <w:r>
              <w:rPr>
                <w:rFonts w:ascii="Arial" w:cs="Arial" w:eastAsia="Arial" w:hAnsi="Arial"/>
                <w:sz w:val="18"/>
                <w:szCs w:val="18"/>
                <w:color w:val="auto"/>
                <w:w w:val="88"/>
              </w:rPr>
              <w:t>Sarcoma Subtypes</w:t>
            </w:r>
          </w:p>
        </w:tc>
      </w:tr>
      <w:tr>
        <w:trPr>
          <w:trHeight w:val="216"/>
        </w:trPr>
        <w:tc>
          <w:tcPr>
            <w:tcW w:w="4060" w:type="dxa"/>
            <w:vAlign w:val="bottom"/>
          </w:tcPr>
          <w:p>
            <w:pPr>
              <w:jc w:val="right"/>
              <w:ind w:right="18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(up to 100%)</w:t>
            </w:r>
          </w:p>
        </w:tc>
      </w:tr>
      <w:tr>
        <w:trPr>
          <w:trHeight w:val="230"/>
        </w:trPr>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jc w:val="right"/>
              <w:ind w:right="177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1760" w:space="720"/>
            <w:col w:w="8660"/>
          </w:cols>
          <w:pgMar w:left="320" w:top="459" w:right="439" w:bottom="1440" w:gutter="0" w:footer="0" w:header="0"/>
        </w:sectPr>
      </w:pPr>
    </w:p>
    <w:p>
      <w:pPr>
        <w:spacing w:after="0" w:line="1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table provides an overview of selected tumor indications with high target prevalence for our preclinical IMA401 and IMA402 TCER product candidates.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IMA401</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Based on preclinical data, we believe that the IMA401 TCER represents a promising clinical product candidate. IND submission is targeted for the end of 2021, followed by a first-in-human clinical trial to assess safety and tolerability, escalate the dose and potentially observe initial signs of clinical activity.</w:t>
      </w:r>
    </w:p>
    <w:p>
      <w:pPr>
        <w:spacing w:after="0" w:line="184" w:lineRule="exact"/>
        <w:rPr>
          <w:sz w:val="20"/>
          <w:szCs w:val="20"/>
          <w:color w:val="auto"/>
        </w:rPr>
      </w:pPr>
    </w:p>
    <w:p>
      <w:pPr>
        <w:jc w:val="both"/>
        <w:ind w:left="120" w:right="160"/>
        <w:spacing w:after="0" w:line="301" w:lineRule="auto"/>
        <w:rPr>
          <w:sz w:val="20"/>
          <w:szCs w:val="20"/>
          <w:color w:val="auto"/>
        </w:rPr>
      </w:pPr>
      <w:r>
        <w:rPr>
          <w:rFonts w:ascii="Arial" w:cs="Arial" w:eastAsia="Arial" w:hAnsi="Arial"/>
          <w:sz w:val="16"/>
          <w:szCs w:val="16"/>
          <w:color w:val="auto"/>
        </w:rPr>
        <w:t xml:space="preserve">IMA401 can readily be expressed in CHO-cells with titers exceeding 2 g/L. Once purified, IMA401 exhibits low aggregation and fragmentation even prior to formulation development and under heat stress suggesting favorable stability characteristics. The activity of the IMA401 TCER was evaluated in various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utilizing tumor cell lines presenting the target at physiological low levels. Thereby the TCER-concentration needed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to achieve half-maximal tumor cell killing was determined to be as low as 10 pM to 300 pM depending on the individual donor of effector cells.</w:t>
      </w:r>
    </w:p>
    <w:p>
      <w:pPr>
        <w:spacing w:after="0" w:line="15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 parallel, tolerability of the IMA401 TCER was extensively tested in various in vitro assay systems. To screen for reactivity towards healthy tissue and prevent toxicity, the therapeutic window for IMA401 TCER was determined in a co-culture assay with PBMC (effector cells) and a multitude of primary normal cell types derived from HLA-A*02-positive donors. The primary cell panel covers critical organs and different cell types thereof as well as organ-specific cell types. Reactivity against the different normal cell types and a tumor cell line for comparison was assessed for increasing concentrations of IMA401 by an LDH-release cytotoxicity assay. In the same experiment, cytotoxicity against a human tumor cell line (“Hs695T”) was recorded. While robust tumor cell killing was observed at low pM concentrations, reactivity towards primary tissue was observed only at high TCER concentrations in the nM range, if at all. Therapeutic windows are calculated based on lowest effective concentrations (“LOEL”) observed for normal cells and the tumor cell line and were at least 1000-fold for the IMA401 TCER on all tested normal tissue cells.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5340" w:type="dxa"/>
            <w:vAlign w:val="bottom"/>
          </w:tcPr>
          <w:p>
            <w:pPr>
              <w:ind w:left="1100"/>
              <w:spacing w:after="0"/>
              <w:rPr>
                <w:sz w:val="20"/>
                <w:szCs w:val="20"/>
                <w:color w:val="auto"/>
              </w:rPr>
            </w:pPr>
            <w:r>
              <w:rPr>
                <w:rFonts w:ascii="Arial" w:cs="Arial" w:eastAsia="Arial" w:hAnsi="Arial"/>
                <w:sz w:val="18"/>
                <w:szCs w:val="18"/>
                <w:b w:val="1"/>
                <w:bCs w:val="1"/>
                <w:color w:val="auto"/>
              </w:rPr>
              <w:t>Table 3. Therapeutic window of IMA401 TCER.</w:t>
            </w:r>
          </w:p>
        </w:tc>
        <w:tc>
          <w:tcPr>
            <w:tcW w:w="1780" w:type="dxa"/>
            <w:vAlign w:val="bottom"/>
          </w:tcPr>
          <w:p>
            <w:pPr>
              <w:spacing w:after="0"/>
              <w:rPr>
                <w:sz w:val="20"/>
                <w:szCs w:val="20"/>
                <w:color w:val="auto"/>
              </w:rPr>
            </w:pPr>
          </w:p>
        </w:tc>
      </w:tr>
      <w:tr>
        <w:trPr>
          <w:trHeight w:val="412"/>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Normal Tissue Type</w:t>
            </w:r>
          </w:p>
        </w:tc>
        <w:tc>
          <w:tcPr>
            <w:tcW w:w="534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Therapeutic Window (x-fold)</w:t>
            </w:r>
          </w:p>
        </w:tc>
      </w:tr>
      <w:tr>
        <w:trPr>
          <w:trHeight w:val="189"/>
        </w:trPr>
        <w:tc>
          <w:tcPr>
            <w:tcW w:w="6580" w:type="dxa"/>
            <w:vAlign w:val="bottom"/>
            <w:gridSpan w:val="2"/>
          </w:tcPr>
          <w:p>
            <w:pPr>
              <w:spacing w:after="0" w:line="189" w:lineRule="exact"/>
              <w:rPr>
                <w:sz w:val="20"/>
                <w:szCs w:val="20"/>
                <w:color w:val="auto"/>
              </w:rPr>
            </w:pPr>
            <w:r>
              <w:rPr>
                <w:rFonts w:ascii="Arial" w:cs="Arial" w:eastAsia="Arial" w:hAnsi="Arial"/>
                <w:sz w:val="18"/>
                <w:szCs w:val="18"/>
                <w:color w:val="auto"/>
              </w:rPr>
              <w:t>iPSC-derived Astrocytes</w:t>
            </w:r>
          </w:p>
        </w:tc>
        <w:tc>
          <w:tcPr>
            <w:tcW w:w="1780" w:type="dxa"/>
            <w:vAlign w:val="bottom"/>
          </w:tcPr>
          <w:p>
            <w:pPr>
              <w:jc w:val="center"/>
              <w:spacing w:after="0" w:line="189" w:lineRule="exact"/>
              <w:rPr>
                <w:sz w:val="20"/>
                <w:szCs w:val="20"/>
                <w:color w:val="auto"/>
              </w:rPr>
            </w:pPr>
            <w:r>
              <w:rPr>
                <w:rFonts w:ascii="Arial" w:cs="Arial" w:eastAsia="Arial" w:hAnsi="Arial"/>
                <w:sz w:val="18"/>
                <w:szCs w:val="18"/>
                <w:color w:val="auto"/>
                <w:w w:val="88"/>
              </w:rPr>
              <w:t>&gt;10,000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iPSC-derived GABA neurons</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&gt;10,000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iPSC-derived cardiomyocytes</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&gt;10,000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Osteoblasts</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10,000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Pulmonary Fibroblasts</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&gt;10,000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Dermal Microvascular Endothelial Cells</w:t>
            </w: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1,000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Mesenchymal Stem Cells from Bone Marrow</w:t>
            </w: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1,000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Tracheal Smooth Muscle Cells</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&gt;10,000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Epidermal keratinocytes</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&gt;10,000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Renal Cortical Epithelial Cells</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&gt;10,000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Adrenal Cortical Cells</w:t>
            </w: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1,000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Cardiac Microvascular Endothelial Cells</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&gt;10,000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Chondrocytes</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&gt;10,000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Coronary Artery Endothelial Cells</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&gt;10,000</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Nasal Epithelial Cells</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&gt;10,000</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Pulmonary Artery Smooth Muscle Cells</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&gt;10,000</w:t>
            </w:r>
          </w:p>
        </w:tc>
      </w:tr>
    </w:tbl>
    <w:p>
      <w:pPr>
        <w:spacing w:after="0" w:line="20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Exemplary specificity assessment for IMA401 TCER, which demonstrated a broad therapeutic window (³ 1,000 – 10,000 fold) as defined by reactivity against tumor cells and normal tissue cells. iPSC: induced pluripotent stem cells.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 xml:space="preserve">In vivo </w:t>
      </w:r>
      <w:r>
        <w:rPr>
          <w:rFonts w:ascii="Arial" w:cs="Arial" w:eastAsia="Arial" w:hAnsi="Arial"/>
          <w:sz w:val="18"/>
          <w:szCs w:val="18"/>
          <w:color w:val="auto"/>
        </w:rPr>
        <w:t>experiments using human tumor cell lines to establish solid tumors in immune-deficient mice, demonstrated that the IMA401 TCER was, upon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human PBMC, able to induce complete remissions. In these experiments the TCER was administered at very low doses, confirming the biological activity as well as high stability and long serum half-life of the TCER scaffold.</w:t>
      </w:r>
    </w:p>
    <w:p>
      <w:pPr>
        <w:spacing w:after="0" w:line="28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 xml:space="preserve">Figure 17. Potency of our lead TCER candidate IMA401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506095</wp:posOffset>
            </wp:positionV>
            <wp:extent cx="6995160" cy="52546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5254625"/>
                    </a:xfrm>
                    <a:prstGeom prst="rect">
                      <a:avLst/>
                    </a:prstGeom>
                    <a:noFill/>
                  </pic:spPr>
                </pic:pic>
              </a:graphicData>
            </a:graphic>
          </wp:anchor>
        </w:drawing>
      </w:r>
    </w:p>
    <w:p>
      <w:pPr>
        <w:sectPr>
          <w:pgSz w:w="11900" w:h="16838" w:orient="portrait"/>
          <w:cols w:equalWidth="0" w:num="1">
            <w:col w:w="10960"/>
          </w:cols>
          <w:pgMar w:left="320" w:top="459" w:right="619" w:bottom="1440" w:gutter="0" w:footer="0" w:header="0"/>
        </w:sectPr>
      </w:pPr>
    </w:p>
    <w:bookmarkStart w:id="129" w:name="page130"/>
    <w:bookmarkEnd w:id="129"/>
    <w:p>
      <w:pPr>
        <w:jc w:val="both"/>
        <w:spacing w:after="0" w:line="263" w:lineRule="auto"/>
        <w:rPr>
          <w:sz w:val="20"/>
          <w:szCs w:val="20"/>
          <w:color w:val="auto"/>
        </w:rPr>
      </w:pPr>
      <w:r>
        <w:rPr>
          <w:rFonts w:ascii="Arial" w:cs="Arial" w:eastAsia="Arial" w:hAnsi="Arial"/>
          <w:sz w:val="18"/>
          <w:szCs w:val="18"/>
          <w:color w:val="auto"/>
        </w:rPr>
        <w:t>NOG mice were injected subcutaneously with human Hs695T tumor cells expressing the target peptide. After 20 days of engraftment visible tumors have developed. At day 1 PBMCs derived from two healthy donors were intravenously injected. IMA401 TCER or vehicle was administered at low doses and tumor volume was assessed by caliper measurements.</w:t>
      </w: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680"/>
          </w:cols>
          <w:pgMar w:left="440" w:top="125" w:right="7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Generation of the IND-enabling data package for IMA401 is currently underway in parallel to the manufacturing phase. Data will include additional tests for preclinical evaluation of safety and tolerability, such as whole blood cytokine release assays and additional alloreactivity screenings. We are also planning to generate data from patient-derived xenograft (“PDX”) models and/or patient-derived spheroid models. A minimum anticipated biological effect level (“MABEL”) approach is planned to define the starting dose for the clinical trial.</w:t>
      </w:r>
    </w:p>
    <w:p>
      <w:pPr>
        <w:spacing w:after="0" w:line="171"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The manufacturing development phase of IMA401 TCER is ongoing and includes cell line development, upstream and downstream process development, GMP production, fill and finish, release testing, storage and stability testing.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IMA402</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Based on the selected target, IMA402 could address a broad patient population in a variety of solid and hematological malignancies. This may include ovarian cancer, uterine cancer, melanoma, several subtypes of sarcoma, subtypes of lung cancer, breast cancer, subtypes of B cell lymphoma and several other indications. Lead candidates for the IMA402 program are currently being generated. Early data indicate high-affinity binding and specific target recognition. IMA402 TCER lead candidate selection is targeted towards the end of 2020, after which we intend to start the manufacturing phase followed by IND submission and a first-in-human clinical trial.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ECHNOLOGY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LATFORMS</w:t>
      </w:r>
    </w:p>
    <w:p>
      <w:pPr>
        <w:spacing w:after="0" w:line="26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Our proprietary target and TCR technology platforms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7003415" cy="32486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03415" cy="3248660"/>
                    </a:xfrm>
                    <a:prstGeom prst="rect">
                      <a:avLst/>
                    </a:prstGeom>
                    <a:noFill/>
                  </pic:spPr>
                </pic:pic>
              </a:graphicData>
            </a:graphic>
          </wp:anchor>
        </w:drawing>
      </w:r>
    </w:p>
    <w:p>
      <w:pPr>
        <w:spacing w:after="0" w:line="115" w:lineRule="exact"/>
        <w:rPr>
          <w:sz w:val="20"/>
          <w:szCs w:val="20"/>
          <w:color w:val="auto"/>
        </w:rPr>
      </w:pPr>
    </w:p>
    <w:p>
      <w:pPr>
        <w:ind w:left="280" w:right="80"/>
        <w:spacing w:after="0" w:line="263" w:lineRule="auto"/>
        <w:rPr>
          <w:sz w:val="20"/>
          <w:szCs w:val="20"/>
          <w:color w:val="auto"/>
        </w:rPr>
      </w:pPr>
      <w:r>
        <w:rPr>
          <w:rFonts w:ascii="Arial" w:cs="Arial" w:eastAsia="Arial" w:hAnsi="Arial"/>
          <w:sz w:val="18"/>
          <w:szCs w:val="18"/>
          <w:color w:val="auto"/>
        </w:rPr>
        <w:t>One of the largest target discovery databases. The XPRESIDENT primary tissue database is comprised of thousands of cancer and normal tissue samples covering most relevant organs. From these tissues a multitude of data is gathered (including genome, proteome, immunopeptidome, in depth transcriptome) and compiled in our database, building the foundation for its target discovery.</w:t>
      </w:r>
    </w:p>
    <w:p>
      <w:pPr>
        <w:spacing w:after="0" w:line="89" w:lineRule="exact"/>
        <w:rPr>
          <w:sz w:val="20"/>
          <w:szCs w:val="20"/>
          <w:color w:val="auto"/>
        </w:rPr>
      </w:pPr>
    </w:p>
    <w:p>
      <w:pPr>
        <w:ind w:left="1000" w:right="100" w:hanging="277"/>
        <w:spacing w:after="0" w:line="311" w:lineRule="auto"/>
        <w:tabs>
          <w:tab w:leader="none" w:pos="984" w:val="left"/>
        </w:tabs>
        <w:numPr>
          <w:ilvl w:val="0"/>
          <w:numId w:val="76"/>
        </w:numPr>
        <w:rPr>
          <w:rFonts w:ascii="Arial" w:cs="Arial" w:eastAsia="Arial" w:hAnsi="Arial"/>
          <w:sz w:val="16"/>
          <w:szCs w:val="16"/>
          <w:color w:val="auto"/>
        </w:rPr>
      </w:pPr>
      <w:r>
        <w:rPr>
          <w:rFonts w:ascii="Arial" w:cs="Arial" w:eastAsia="Arial" w:hAnsi="Arial"/>
          <w:sz w:val="16"/>
          <w:szCs w:val="16"/>
          <w:color w:val="auto"/>
        </w:rPr>
        <w:t>Identification of true target peptides for TCR-based immunotherapies. XPRESIDENT is built to identify the peptides actually presented on real tumors, and provides quantitative information on copy numbers, which allows differentiation between peptides originating from the same parent protein. Thus, we believe XPRESIDENT enables the identification of the most relevant tumor-associated pHLA targets.</w:t>
      </w:r>
    </w:p>
    <w:p>
      <w:pPr>
        <w:spacing w:after="0" w:line="54" w:lineRule="exact"/>
        <w:rPr>
          <w:rFonts w:ascii="Arial" w:cs="Arial" w:eastAsia="Arial" w:hAnsi="Arial"/>
          <w:sz w:val="16"/>
          <w:szCs w:val="16"/>
          <w:color w:val="auto"/>
        </w:rPr>
      </w:pPr>
    </w:p>
    <w:p>
      <w:pPr>
        <w:ind w:left="980" w:hanging="257"/>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Large pool of prioritized targets. We have prioritized more than 200 pHLA targets encompassing all known target classes.</w:t>
      </w:r>
    </w:p>
    <w:p>
      <w:pPr>
        <w:spacing w:after="0" w:line="130" w:lineRule="exact"/>
        <w:rPr>
          <w:rFonts w:ascii="Arial" w:cs="Arial" w:eastAsia="Arial" w:hAnsi="Arial"/>
          <w:sz w:val="18"/>
          <w:szCs w:val="18"/>
          <w:color w:val="auto"/>
        </w:rPr>
      </w:pPr>
    </w:p>
    <w:p>
      <w:pPr>
        <w:ind w:left="1000" w:hanging="277"/>
        <w:spacing w:after="0" w:line="259" w:lineRule="auto"/>
        <w:tabs>
          <w:tab w:leader="none" w:pos="984"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Favorable target characteristics. Targets discovered and validated by XPRESIDENT are (i) naturally presented on real tumors; (ii) presented in sufficient copy numbers; (iii) highly prevalent in several cancer patient populations; and (iv) expressed in tumor tissue with no or quantitatively lower expression in normal tissue to avoid potential toxicities that might occur if healthy tissue were attacked by product candidates.</w:t>
      </w:r>
    </w:p>
    <w:p>
      <w:pPr>
        <w:spacing w:after="0" w:line="92" w:lineRule="exact"/>
        <w:rPr>
          <w:rFonts w:ascii="Arial" w:cs="Arial" w:eastAsia="Arial" w:hAnsi="Arial"/>
          <w:sz w:val="18"/>
          <w:szCs w:val="18"/>
          <w:color w:val="auto"/>
        </w:rPr>
      </w:pPr>
    </w:p>
    <w:p>
      <w:pPr>
        <w:ind w:left="1000" w:right="220" w:hanging="277"/>
        <w:spacing w:after="0" w:line="277" w:lineRule="auto"/>
        <w:tabs>
          <w:tab w:leader="none" w:pos="984" w:val="left"/>
        </w:tabs>
        <w:numPr>
          <w:ilvl w:val="0"/>
          <w:numId w:val="76"/>
        </w:numPr>
        <w:rPr>
          <w:rFonts w:ascii="Arial" w:cs="Arial" w:eastAsia="Arial" w:hAnsi="Arial"/>
          <w:sz w:val="18"/>
          <w:szCs w:val="18"/>
          <w:color w:val="auto"/>
        </w:rPr>
      </w:pPr>
      <w:r>
        <w:rPr>
          <w:rFonts w:ascii="Arial" w:cs="Arial" w:eastAsia="Arial" w:hAnsi="Arial"/>
          <w:sz w:val="18"/>
          <w:szCs w:val="18"/>
          <w:color w:val="auto"/>
        </w:rPr>
        <w:t>High-throughput TCR identification. Our proprietary XCEPTOR platform enables fast, efficient and highly sensitive discovery of natural TCRs with high affinity and high specificity.</w:t>
      </w:r>
    </w:p>
    <w:p>
      <w:pPr>
        <w:spacing w:after="0" w:line="75" w:lineRule="exact"/>
        <w:rPr>
          <w:rFonts w:ascii="Arial" w:cs="Arial" w:eastAsia="Arial" w:hAnsi="Arial"/>
          <w:sz w:val="18"/>
          <w:szCs w:val="18"/>
          <w:color w:val="auto"/>
        </w:rPr>
      </w:pPr>
    </w:p>
    <w:p>
      <w:pPr>
        <w:ind w:left="1000" w:right="320" w:hanging="277"/>
        <w:spacing w:after="0" w:line="277" w:lineRule="auto"/>
        <w:tabs>
          <w:tab w:leader="none" w:pos="984" w:val="left"/>
        </w:tabs>
        <w:numPr>
          <w:ilvl w:val="0"/>
          <w:numId w:val="76"/>
        </w:numPr>
        <w:rPr>
          <w:rFonts w:ascii="Arial" w:cs="Arial" w:eastAsia="Arial" w:hAnsi="Arial"/>
          <w:sz w:val="18"/>
          <w:szCs w:val="18"/>
          <w:color w:val="auto"/>
        </w:rPr>
      </w:pPr>
      <w:r>
        <w:rPr>
          <w:rFonts w:ascii="Arial" w:cs="Arial" w:eastAsia="Arial" w:hAnsi="Arial"/>
          <w:sz w:val="18"/>
          <w:szCs w:val="18"/>
          <w:color w:val="auto"/>
        </w:rPr>
        <w:t>Right TCRs for ACT and TCR Bispecifics. We have significant protein engineering expertise to design TCRs with increased preclinical activity for Adoptive Cell Therapy and TCR Bispecifics product candidates.</w:t>
      </w:r>
    </w:p>
    <w:p>
      <w:pPr>
        <w:spacing w:after="0" w:line="75" w:lineRule="exact"/>
        <w:rPr>
          <w:rFonts w:ascii="Arial" w:cs="Arial" w:eastAsia="Arial" w:hAnsi="Arial"/>
          <w:sz w:val="18"/>
          <w:szCs w:val="18"/>
          <w:color w:val="auto"/>
        </w:rPr>
      </w:pPr>
    </w:p>
    <w:p>
      <w:pPr>
        <w:ind w:left="1000" w:right="80" w:hanging="277"/>
        <w:spacing w:after="0" w:line="263" w:lineRule="auto"/>
        <w:tabs>
          <w:tab w:leader="none" w:pos="984" w:val="left"/>
        </w:tabs>
        <w:numPr>
          <w:ilvl w:val="0"/>
          <w:numId w:val="76"/>
        </w:numPr>
        <w:rPr>
          <w:rFonts w:ascii="Arial" w:cs="Arial" w:eastAsia="Arial" w:hAnsi="Arial"/>
          <w:sz w:val="18"/>
          <w:szCs w:val="18"/>
          <w:color w:val="auto"/>
        </w:rPr>
      </w:pPr>
      <w:r>
        <w:rPr>
          <w:rFonts w:ascii="Arial" w:cs="Arial" w:eastAsia="Arial" w:hAnsi="Arial"/>
          <w:sz w:val="18"/>
          <w:szCs w:val="18"/>
          <w:color w:val="auto"/>
        </w:rPr>
        <w:t>Optimized TCRs. Unique interplay between our target and TCR discovery platforms enables early de-selection of cross-reactive TCRs. We believe that XPRESIDENT-guided on- and off-target toxicity screening, enabled by the large normal tissue immunopeptidome database, minimizes safety risks in clinical development.</w:t>
      </w: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540"/>
        <w:spacing w:after="0" w:line="377" w:lineRule="auto"/>
        <w:rPr>
          <w:sz w:val="20"/>
          <w:szCs w:val="20"/>
          <w:color w:val="auto"/>
        </w:rPr>
      </w:pPr>
      <w:r>
        <w:rPr>
          <w:rFonts w:ascii="Arial" w:cs="Arial" w:eastAsia="Arial" w:hAnsi="Arial"/>
          <w:sz w:val="18"/>
          <w:szCs w:val="18"/>
          <w:b w:val="1"/>
          <w:bCs w:val="1"/>
          <w:color w:val="auto"/>
        </w:rPr>
        <w:t>TARGET DISCOVERY &amp; CHARACTERIZATION PLATFORM XPRESIDENT Discovering True Targets for Cancer Immunotherapy</w:t>
      </w:r>
    </w:p>
    <w:p>
      <w:pPr>
        <w:spacing w:after="0" w:line="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XPRESIDENT is a high-throughput technology platform based on ultra-sensitive mass spectrometry (LC-MS/MS), coupled with a proprietary sample preparation workflow and a proprietary immunoinformatics platform. XPRESIDENT is centered on the identification of HLA-bound peptides (pHLA targets) presented on tumor cells and not, or to a far lower extent, on the cell surface of normal tissue. XPRESIDENT is capable of detecting pHLA targets down to attomolar amounts. Key features of XPRESIDENT include:</w:t>
      </w:r>
    </w:p>
    <w:p>
      <w:pPr>
        <w:spacing w:after="0" w:line="92" w:lineRule="exact"/>
        <w:rPr>
          <w:sz w:val="20"/>
          <w:szCs w:val="20"/>
          <w:color w:val="auto"/>
        </w:rPr>
      </w:pPr>
    </w:p>
    <w:p>
      <w:pPr>
        <w:ind w:left="1080" w:right="200" w:hanging="424"/>
        <w:spacing w:after="0" w:line="259"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XPRESIDENT peptides are sourced from native tumors (in 20 major cancer indications), including primary tissues and metastatic biopsies as well as tissues derived from healthy organs (40 most relevant organs all over the human body). The vast collection of over 2,000 tissue samples combined with XPRESIDENT’s high-throughput approach has led to the generation of one of the largest target databases in the industry.</w:t>
      </w:r>
    </w:p>
    <w:p>
      <w:pPr>
        <w:spacing w:after="0" w:line="92"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Peptides are analyzed and identified through a combination of quantitative HLA peptidomics (mass spectrometry) complemented by quantitative transcriptomics (mRNA sequencing), enabling the analysis of the differential expression and presentation of these potential drug targets between tumor and normal tissue.</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HLA-bound targets discovered by XPRESIDENT on any allele are proven to be present on a patient’s cancer tissues, in contrast to those predicted by in silico techniques.</w:t>
      </w:r>
    </w:p>
    <w:p>
      <w:pPr>
        <w:spacing w:after="0" w:line="75" w:lineRule="exact"/>
        <w:rPr>
          <w:rFonts w:ascii="Arial" w:cs="Arial" w:eastAsia="Arial" w:hAnsi="Arial"/>
          <w:sz w:val="18"/>
          <w:szCs w:val="18"/>
          <w:color w:val="auto"/>
        </w:rPr>
      </w:pPr>
    </w:p>
    <w:p>
      <w:pPr>
        <w:ind w:left="1080" w:right="400" w:hanging="424"/>
        <w:spacing w:after="0" w:line="342"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proprietary AbsQuant technology allows absolute quantification of target peptide copy numbers per cell, a crucial parameter to determine which peptide target of a given source antigen is the most promising, which is a key strength of XPRESIDENT.</w:t>
      </w:r>
    </w:p>
    <w:p>
      <w:pPr>
        <w:spacing w:after="0" w:line="22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Figure 18. Discovery of true cancer targets by our proprietary XPRESIDENT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1697355</wp:posOffset>
            </wp:positionV>
            <wp:extent cx="6995160" cy="28714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2871470"/>
                    </a:xfrm>
                    <a:prstGeom prst="rect">
                      <a:avLst/>
                    </a:prstGeom>
                    <a:noFill/>
                  </pic:spPr>
                </pic:pic>
              </a:graphicData>
            </a:graphic>
          </wp:anchor>
        </w:drawing>
      </w:r>
    </w:p>
    <w:p>
      <w:pPr>
        <w:sectPr>
          <w:pgSz w:w="11900" w:h="16838" w:orient="portrait"/>
          <w:cols w:equalWidth="0" w:num="1">
            <w:col w:w="10940"/>
          </w:cols>
          <w:pgMar w:left="320" w:top="459" w:right="6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XPRESIDENT’s large-scale database is based on the analysis of thousands of primary healthy and tumor tissue samples by quantitative HLA peptidomics (mass spectrometry) and quantitative transcriptomics (RNA sequencing) enabling target discovery, validation, specificity assessment, treatment personalization and artificial intelligence approaches for highly personalized immunotherapy.</w:t>
      </w:r>
    </w:p>
    <w:p>
      <w:pPr>
        <w:sectPr>
          <w:pgSz w:w="11900" w:h="16838" w:orient="portrait"/>
          <w:cols w:equalWidth="0" w:num="1">
            <w:col w:w="10940"/>
          </w:cols>
          <w:pgMar w:left="320" w:top="459" w:right="639" w:bottom="0" w:gutter="0" w:footer="0" w:header="0"/>
          <w:type w:val="continuous"/>
        </w:sectPr>
      </w:pPr>
    </w:p>
    <w:bookmarkStart w:id="132" w:name="page133"/>
    <w:bookmarkEnd w:id="132"/>
    <w:p>
      <w:pPr>
        <w:spacing w:after="0" w:line="286" w:lineRule="auto"/>
        <w:rPr>
          <w:sz w:val="20"/>
          <w:szCs w:val="20"/>
          <w:color w:val="auto"/>
        </w:rPr>
      </w:pPr>
      <w:r>
        <w:rPr>
          <w:rFonts w:ascii="Arial" w:cs="Arial" w:eastAsia="Arial" w:hAnsi="Arial"/>
          <w:sz w:val="17"/>
          <w:szCs w:val="17"/>
          <w:color w:val="auto"/>
        </w:rPr>
        <w:t>XPRESIDENT has identified and characterized all cancer targets in clinical and preclinical development of proprietary and collaborative pipelines, all of which are currently targeting HLA-A*02, which is found on approximately 40-50% of individuals in North America, Europe, China and Japan and is one of the most common HLA types worldwide. Additionally, XPRESIDENT is used to discover cancer targets for other HLA</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40"/>
          </w:cols>
          <w:pgMar w:left="440" w:top="125" w:right="5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types, and comprises a pipeline of more than 200 prioritized cancer targets across several HLA types, and with high prevalence across multiple cancer indications. These targets encompass three target classes:</w:t>
      </w:r>
    </w:p>
    <w:p>
      <w:pPr>
        <w:spacing w:after="0" w:line="58" w:lineRule="exact"/>
        <w:rPr>
          <w:sz w:val="20"/>
          <w:szCs w:val="20"/>
          <w:color w:val="auto"/>
        </w:rPr>
      </w:pPr>
    </w:p>
    <w:p>
      <w:pPr>
        <w:ind w:left="120" w:right="600"/>
        <w:spacing w:after="0" w:line="312" w:lineRule="auto"/>
        <w:rPr>
          <w:sz w:val="20"/>
          <w:szCs w:val="20"/>
          <w:color w:val="auto"/>
        </w:rPr>
      </w:pPr>
      <w:r>
        <w:rPr>
          <w:rFonts w:ascii="Arial" w:cs="Arial" w:eastAsia="Arial" w:hAnsi="Arial"/>
          <w:sz w:val="17"/>
          <w:szCs w:val="17"/>
          <w:b w:val="1"/>
          <w:bCs w:val="1"/>
          <w:color w:val="auto"/>
        </w:rPr>
        <w:t xml:space="preserve">Class 1: </w:t>
      </w:r>
      <w:r>
        <w:rPr>
          <w:rFonts w:ascii="Arial" w:cs="Arial" w:eastAsia="Arial" w:hAnsi="Arial"/>
          <w:sz w:val="17"/>
          <w:szCs w:val="17"/>
          <w:color w:val="auto"/>
        </w:rPr>
        <w:t>Well-known and characterized parent protein, for which we believe we can uniquely understand which peptide derived from the protein</w:t>
      </w:r>
      <w:r>
        <w:rPr>
          <w:rFonts w:ascii="Arial" w:cs="Arial" w:eastAsia="Arial" w:hAnsi="Arial"/>
          <w:sz w:val="17"/>
          <w:szCs w:val="17"/>
          <w:b w:val="1"/>
          <w:bCs w:val="1"/>
          <w:color w:val="auto"/>
        </w:rPr>
        <w:t xml:space="preserve"> </w:t>
      </w:r>
      <w:r>
        <w:rPr>
          <w:rFonts w:ascii="Arial" w:cs="Arial" w:eastAsia="Arial" w:hAnsi="Arial"/>
          <w:sz w:val="17"/>
          <w:szCs w:val="17"/>
          <w:color w:val="auto"/>
        </w:rPr>
        <w:t>sequence is truly presented on the cancer cell. Examples include ACTengine programs IMA201, IMA202, IMA203.</w:t>
      </w:r>
    </w:p>
    <w:p>
      <w:pPr>
        <w:spacing w:after="0" w:line="140"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 xml:space="preserve">Class 2: </w:t>
      </w:r>
      <w:r>
        <w:rPr>
          <w:rFonts w:ascii="Arial" w:cs="Arial" w:eastAsia="Arial" w:hAnsi="Arial"/>
          <w:sz w:val="18"/>
          <w:szCs w:val="18"/>
          <w:color w:val="auto"/>
        </w:rPr>
        <w:t>Unknown or poorly characterized parent protein (e.g., COL6A3). Examples include our ACTengine program IMA204 and the ACTolog pilot</w:t>
      </w:r>
      <w:r>
        <w:rPr>
          <w:rFonts w:ascii="Arial" w:cs="Arial" w:eastAsia="Arial" w:hAnsi="Arial"/>
          <w:sz w:val="18"/>
          <w:szCs w:val="18"/>
          <w:b w:val="1"/>
          <w:bCs w:val="1"/>
          <w:color w:val="auto"/>
        </w:rPr>
        <w:t xml:space="preserve"> </w:t>
      </w:r>
      <w:r>
        <w:rPr>
          <w:rFonts w:ascii="Arial" w:cs="Arial" w:eastAsia="Arial" w:hAnsi="Arial"/>
          <w:sz w:val="18"/>
          <w:szCs w:val="18"/>
          <w:color w:val="auto"/>
        </w:rPr>
        <w:t>study.</w:t>
      </w:r>
    </w:p>
    <w:p>
      <w:pPr>
        <w:spacing w:after="0" w:line="162" w:lineRule="exact"/>
        <w:rPr>
          <w:sz w:val="20"/>
          <w:szCs w:val="20"/>
          <w:color w:val="auto"/>
        </w:rPr>
      </w:pPr>
    </w:p>
    <w:p>
      <w:pPr>
        <w:ind w:left="120" w:right="180"/>
        <w:spacing w:after="0" w:line="289" w:lineRule="auto"/>
        <w:rPr>
          <w:sz w:val="20"/>
          <w:szCs w:val="20"/>
          <w:color w:val="auto"/>
        </w:rPr>
      </w:pPr>
      <w:r>
        <w:rPr>
          <w:rFonts w:ascii="Arial" w:cs="Arial" w:eastAsia="Arial" w:hAnsi="Arial"/>
          <w:sz w:val="17"/>
          <w:szCs w:val="17"/>
          <w:b w:val="1"/>
          <w:bCs w:val="1"/>
          <w:color w:val="auto"/>
        </w:rPr>
        <w:t>Class 3</w:t>
      </w:r>
      <w:r>
        <w:rPr>
          <w:rFonts w:ascii="Arial" w:cs="Arial" w:eastAsia="Arial" w:hAnsi="Arial"/>
          <w:sz w:val="17"/>
          <w:szCs w:val="17"/>
          <w:color w:val="auto"/>
        </w:rPr>
        <w:t>: Crypto-targets including neoantigens. These are pHLA targets from novel target classes such as RNA-edited peptides, alternative or</w:t>
      </w:r>
      <w:r>
        <w:rPr>
          <w:rFonts w:ascii="Arial" w:cs="Arial" w:eastAsia="Arial" w:hAnsi="Arial"/>
          <w:sz w:val="17"/>
          <w:szCs w:val="17"/>
          <w:b w:val="1"/>
          <w:bCs w:val="1"/>
          <w:color w:val="auto"/>
        </w:rPr>
        <w:t xml:space="preserve"> </w:t>
      </w:r>
      <w:r>
        <w:rPr>
          <w:rFonts w:ascii="Arial" w:cs="Arial" w:eastAsia="Arial" w:hAnsi="Arial"/>
          <w:sz w:val="17"/>
          <w:szCs w:val="17"/>
          <w:color w:val="auto"/>
        </w:rPr>
        <w:t>proteasomal splicing variants, short or alternative open reading frames, gene fusions, ribosomal frameshifting events and non-classical neoantigens. In addition, XPRESIDENT is also able to identify and validate classical neoantigens derived from mutational events.</w:t>
      </w: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 19. Prioritization of more than 200 pHLA targets covering all known target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1757680</wp:posOffset>
            </wp:positionV>
            <wp:extent cx="6995160" cy="27514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XPRESIDENT’s extensive pHLA database is based on more than 2,000 primary tissue samples from 40 healthy organs and 20 major cancer indications. Following analysis of over 400,000,000 MS/MS spectra and an initial long-list of 8,000 tumor-associated pHLA targets, we have prioritized over 200 mass spectrometry validated pHLA targets covering all target classes: 1) peptides of well-known and characterized cancer target proteins; 2) unknown or poorly characterized proteins and 3) crypto targets/neoantigens.</w:t>
      </w:r>
    </w:p>
    <w:p>
      <w:pPr>
        <w:spacing w:after="0" w:line="18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All our targets undergo an extensive target characterization and validation process before entering the product pipeline. RNA in situ hybridization analysis is used to demonstrate homogeneous target expression in the tumor (in case of a cancer target) or tumor stroma (in cases of a tumor stroma target), used in ACTengine IMA204 and the ACTolog pilot trial. Cell type-specific target expression for a stroma and tumor target is shown in Figure 20.</w:t>
      </w:r>
    </w:p>
    <w:p>
      <w:pPr>
        <w:spacing w:after="0" w:line="187"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Tumor stroma cells are a key component of the tumor microenvironment, playing a crucial role in tumorigenesis, tumor progression, and metastasis as well as therapy resistance. We believe our innovative anti-cancer approach to target tumor stroma cells opens new avenues for developing</w:t>
      </w:r>
    </w:p>
    <w:p>
      <w:pPr>
        <w:sectPr>
          <w:pgSz w:w="11900" w:h="16838" w:orient="portrait"/>
          <w:cols w:equalWidth="0" w:num="1">
            <w:col w:w="11120"/>
          </w:cols>
          <w:pgMar w:left="320" w:top="459" w:right="459" w:bottom="0" w:gutter="0" w:footer="0" w:header="0"/>
        </w:sectPr>
      </w:pPr>
    </w:p>
    <w:bookmarkStart w:id="134" w:name="page135"/>
    <w:bookmarkEnd w:id="134"/>
    <w:p>
      <w:pPr>
        <w:spacing w:after="0" w:line="277" w:lineRule="auto"/>
        <w:rPr>
          <w:sz w:val="20"/>
          <w:szCs w:val="20"/>
          <w:color w:val="auto"/>
        </w:rPr>
      </w:pPr>
      <w:r>
        <w:rPr>
          <w:rFonts w:ascii="Arial" w:cs="Arial" w:eastAsia="Arial" w:hAnsi="Arial"/>
          <w:sz w:val="18"/>
          <w:szCs w:val="18"/>
          <w:color w:val="auto"/>
        </w:rPr>
        <w:t>powerful TCR-based immunotherapies. The combination of TCRs directed against tumor targets with TCRs directed against stroma targets could result in a breakthrough in immunotherapy.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00"/>
          </w:cols>
          <w:pgMar w:left="440" w:top="125" w:right="5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Figure 20. Pioneering novel targets such as stroma target COL6A3 exon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1405890</wp:posOffset>
            </wp:positionV>
            <wp:extent cx="6995160" cy="3446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Demonstration of target-cell specific expression of a representative stroma target and tumor target in the same ovarian cancer tissue sample using RNA in situ hybridization. Both pictures show the same image section. Red dots indicate target mRNA expression, which is highly tumor cell specific in case of a tumor target and restricted predominantly to tumor stroma cells in case of a stroma target, COL6A3 exon 6 as example.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Pipeline Targets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HLA-A*02:01 restricted targets for our ACTengine clinical-stage product candidates IMA201 (derived from MAGEA4/8), IMA202 (derived from MAGEA1) and IMA203 (derived from PRAME) show specificity profiles similar to a NY-ESO-1 derived peptide, which is a target that has been used in several clinical TCR-T trials showing promising results (e.g. NCT00670748, NCT01352286, NCT01343043). This means that our targets have been detected with high frequency on several cancer types, but have been detected to a much lower extent, or not at all, on normal tissue. However, the targets selected for our drug development programs have significantly higher peptide copy numbers than NY-ESO-1, making them potentially even more promising targets for immunotherapy.</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4. Comparison of our frontrunner targets to clinically validated NY-ESO-1.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Cancer/</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Cancer/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Cancer/</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84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rPr>
              <w:t>NY-ESO-l    MAGEA4/A8    MAGEA1</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PRAME</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COL6A3 exon 6</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testis</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testis</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testis</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antigen</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antigen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antigen</w:t>
            </w:r>
          </w:p>
        </w:tc>
        <w:tc>
          <w:tcPr>
            <w:tcW w:w="0" w:type="dxa"/>
            <w:vAlign w:val="bottom"/>
          </w:tcPr>
          <w:p>
            <w:pPr>
              <w:spacing w:after="0"/>
              <w:rPr>
                <w:sz w:val="1"/>
                <w:szCs w:val="1"/>
                <w:color w:val="auto"/>
              </w:rPr>
            </w:pPr>
          </w:p>
        </w:tc>
      </w:tr>
      <w:tr>
        <w:trPr>
          <w:trHeight w:val="167"/>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Naturally presented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rPr>
              <w:t>IMA201</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rPr>
              <w:t>IMA202</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rPr>
              <w:t>IMA203</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rPr>
              <w:t>IMA204</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rPr>
              <w:t>IMA301</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rPr>
              <w:t>IMA401</w:t>
            </w:r>
          </w:p>
        </w:tc>
        <w:tc>
          <w:tcPr>
            <w:tcW w:w="1000" w:type="dxa"/>
            <w:vAlign w:val="bottom"/>
          </w:tcPr>
          <w:p>
            <w:pPr>
              <w:jc w:val="center"/>
              <w:spacing w:after="0"/>
              <w:rPr>
                <w:sz w:val="20"/>
                <w:szCs w:val="20"/>
                <w:color w:val="auto"/>
              </w:rPr>
            </w:pPr>
            <w:r>
              <w:rPr>
                <w:rFonts w:ascii="Arial" w:cs="Arial" w:eastAsia="Arial" w:hAnsi="Arial"/>
                <w:sz w:val="14"/>
                <w:szCs w:val="14"/>
                <w:color w:val="auto"/>
              </w:rPr>
              <w:t>IMA402</w:t>
            </w:r>
          </w:p>
        </w:tc>
        <w:tc>
          <w:tcPr>
            <w:tcW w:w="0" w:type="dxa"/>
            <w:vAlign w:val="bottom"/>
          </w:tcPr>
          <w:p>
            <w:pPr>
              <w:spacing w:after="0"/>
              <w:rPr>
                <w:sz w:val="1"/>
                <w:szCs w:val="1"/>
                <w:color w:val="auto"/>
              </w:rPr>
            </w:pPr>
          </w:p>
        </w:tc>
      </w:tr>
      <w:tr>
        <w:trPr>
          <w:trHeight w:val="191"/>
        </w:trPr>
        <w:tc>
          <w:tcPr>
            <w:tcW w:w="2620" w:type="dxa"/>
            <w:vAlign w:val="bottom"/>
            <w:vMerge w:val="continue"/>
          </w:tcPr>
          <w:p>
            <w:pPr>
              <w:spacing w:after="0"/>
              <w:rPr>
                <w:sz w:val="16"/>
                <w:szCs w:val="16"/>
                <w:color w:val="auto"/>
              </w:rPr>
            </w:pPr>
          </w:p>
        </w:tc>
        <w:tc>
          <w:tcPr>
            <w:tcW w:w="760" w:type="dxa"/>
            <w:vAlign w:val="bottom"/>
            <w:tcBorders>
              <w:top w:val="single" w:sz="8" w:color="auto"/>
            </w:tcBorders>
          </w:tcPr>
          <w:p>
            <w:pPr>
              <w:ind w:left="220"/>
              <w:spacing w:after="0" w:line="191" w:lineRule="exact"/>
              <w:rPr>
                <w:sz w:val="20"/>
                <w:szCs w:val="20"/>
                <w:color w:val="auto"/>
              </w:rPr>
            </w:pPr>
            <w:r>
              <w:rPr>
                <w:rFonts w:ascii="Arial" w:cs="Arial" w:eastAsia="Arial" w:hAnsi="Arial"/>
                <w:sz w:val="18"/>
                <w:szCs w:val="18"/>
                <w:color w:val="auto"/>
              </w:rPr>
              <w:t>Yes</w:t>
            </w: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86"/>
              </w:rPr>
              <w:t>Yes</w:t>
            </w:r>
            <w:r>
              <w:rPr>
                <w:rFonts w:ascii="Arial" w:cs="Arial" w:eastAsia="Arial" w:hAnsi="Arial"/>
                <w:sz w:val="15"/>
                <w:szCs w:val="15"/>
                <w:color w:val="auto"/>
                <w:w w:val="86"/>
              </w:rPr>
              <w:t>2</w:t>
            </w:r>
          </w:p>
        </w:tc>
        <w:tc>
          <w:tcPr>
            <w:tcW w:w="100" w:type="dxa"/>
            <w:vAlign w:val="bottom"/>
          </w:tcPr>
          <w:p>
            <w:pPr>
              <w:spacing w:after="0"/>
              <w:rPr>
                <w:sz w:val="16"/>
                <w:szCs w:val="16"/>
                <w:color w:val="auto"/>
              </w:rPr>
            </w:pPr>
          </w:p>
        </w:tc>
        <w:tc>
          <w:tcPr>
            <w:tcW w:w="760" w:type="dxa"/>
            <w:vAlign w:val="bottom"/>
            <w:tcBorders>
              <w:top w:val="single" w:sz="8" w:color="auto"/>
            </w:tcBorders>
          </w:tcPr>
          <w:p>
            <w:pPr>
              <w:ind w:left="200"/>
              <w:spacing w:after="0" w:line="191" w:lineRule="exact"/>
              <w:rPr>
                <w:sz w:val="20"/>
                <w:szCs w:val="20"/>
                <w:color w:val="auto"/>
              </w:rPr>
            </w:pPr>
            <w:r>
              <w:rPr>
                <w:rFonts w:ascii="Arial" w:cs="Arial" w:eastAsia="Arial" w:hAnsi="Arial"/>
                <w:sz w:val="18"/>
                <w:szCs w:val="18"/>
                <w:color w:val="auto"/>
              </w:rPr>
              <w:t>Yes</w:t>
            </w: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86"/>
              </w:rPr>
              <w:t>Yes</w:t>
            </w:r>
            <w:r>
              <w:rPr>
                <w:rFonts w:ascii="Arial" w:cs="Arial" w:eastAsia="Arial" w:hAnsi="Arial"/>
                <w:sz w:val="15"/>
                <w:szCs w:val="15"/>
                <w:color w:val="auto"/>
                <w:w w:val="86"/>
              </w:rPr>
              <w:t>2</w:t>
            </w:r>
          </w:p>
        </w:tc>
        <w:tc>
          <w:tcPr>
            <w:tcW w:w="120" w:type="dxa"/>
            <w:vAlign w:val="bottom"/>
          </w:tcPr>
          <w:p>
            <w:pPr>
              <w:spacing w:after="0"/>
              <w:rPr>
                <w:sz w:val="16"/>
                <w:szCs w:val="16"/>
                <w:color w:val="auto"/>
              </w:rPr>
            </w:pPr>
          </w:p>
        </w:tc>
        <w:tc>
          <w:tcPr>
            <w:tcW w:w="11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86"/>
              </w:rPr>
              <w:t>Yes</w:t>
            </w:r>
            <w:r>
              <w:rPr>
                <w:rFonts w:ascii="Arial" w:cs="Arial" w:eastAsia="Arial" w:hAnsi="Arial"/>
                <w:sz w:val="15"/>
                <w:szCs w:val="15"/>
                <w:color w:val="auto"/>
                <w:w w:val="86"/>
              </w:rPr>
              <w:t>2</w:t>
            </w:r>
          </w:p>
        </w:tc>
        <w:tc>
          <w:tcPr>
            <w:tcW w:w="1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86"/>
              </w:rPr>
              <w:t>Yes</w:t>
            </w:r>
            <w:r>
              <w:rPr>
                <w:rFonts w:ascii="Arial" w:cs="Arial" w:eastAsia="Arial" w:hAnsi="Arial"/>
                <w:sz w:val="15"/>
                <w:szCs w:val="15"/>
                <w:color w:val="auto"/>
                <w:w w:val="86"/>
              </w:rPr>
              <w:t>2</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86"/>
              </w:rPr>
              <w:t>Yes</w:t>
            </w:r>
            <w:r>
              <w:rPr>
                <w:rFonts w:ascii="Arial" w:cs="Arial" w:eastAsia="Arial" w:hAnsi="Arial"/>
                <w:sz w:val="15"/>
                <w:szCs w:val="15"/>
                <w:color w:val="auto"/>
                <w:w w:val="86"/>
              </w:rPr>
              <w:t>2</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86"/>
              </w:rPr>
              <w:t>Yes</w:t>
            </w:r>
            <w:r>
              <w:rPr>
                <w:rFonts w:ascii="Arial" w:cs="Arial" w:eastAsia="Arial" w:hAnsi="Arial"/>
                <w:sz w:val="15"/>
                <w:szCs w:val="15"/>
                <w:color w:val="auto"/>
                <w:w w:val="86"/>
              </w:rPr>
              <w:t>2</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b w:val="1"/>
                <w:bCs w:val="1"/>
                <w:color w:val="auto"/>
              </w:rPr>
              <w:t>Specificity Class</w:t>
            </w:r>
            <w:r>
              <w:rPr>
                <w:rFonts w:ascii="Arial" w:cs="Arial" w:eastAsia="Arial" w:hAnsi="Arial"/>
                <w:sz w:val="15"/>
                <w:szCs w:val="15"/>
                <w:b w:val="1"/>
                <w:bCs w:val="1"/>
                <w:color w:val="auto"/>
              </w:rPr>
              <w:t>3</w:t>
            </w:r>
          </w:p>
        </w:tc>
        <w:tc>
          <w:tcPr>
            <w:tcW w:w="760" w:type="dxa"/>
            <w:vAlign w:val="bottom"/>
          </w:tcPr>
          <w:p>
            <w:pPr>
              <w:jc w:val="right"/>
              <w:ind w:right="255"/>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Copy number</w:t>
            </w:r>
          </w:p>
        </w:tc>
        <w:tc>
          <w:tcPr>
            <w:tcW w:w="760" w:type="dxa"/>
            <w:vAlign w:val="bottom"/>
          </w:tcPr>
          <w:p>
            <w:pPr>
              <w:jc w:val="right"/>
              <w:ind w:right="95"/>
              <w:spacing w:after="0"/>
              <w:rPr>
                <w:sz w:val="20"/>
                <w:szCs w:val="20"/>
                <w:color w:val="auto"/>
              </w:rPr>
            </w:pPr>
            <w:r>
              <w:rPr>
                <w:rFonts w:ascii="Arial" w:cs="Arial" w:eastAsia="Arial" w:hAnsi="Arial"/>
                <w:sz w:val="18"/>
                <w:szCs w:val="18"/>
                <w:color w:val="auto"/>
              </w:rPr>
              <w:t>10-50</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100-1,000</w:t>
            </w:r>
            <w:r>
              <w:rPr>
                <w:rFonts w:ascii="Arial" w:cs="Arial" w:eastAsia="Arial" w:hAnsi="Arial"/>
                <w:sz w:val="15"/>
                <w:szCs w:val="15"/>
                <w:color w:val="auto"/>
                <w:w w:val="91"/>
              </w:rPr>
              <w:t>2</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50-900</w:t>
            </w:r>
            <w:r>
              <w:rPr>
                <w:rFonts w:ascii="Arial" w:cs="Arial" w:eastAsia="Arial" w:hAnsi="Arial"/>
                <w:sz w:val="15"/>
                <w:szCs w:val="15"/>
                <w:color w:val="auto"/>
                <w:w w:val="93"/>
              </w:rPr>
              <w:t>2</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100-1,000</w:t>
            </w:r>
            <w:r>
              <w:rPr>
                <w:rFonts w:ascii="Arial" w:cs="Arial" w:eastAsia="Arial" w:hAnsi="Arial"/>
                <w:sz w:val="15"/>
                <w:szCs w:val="15"/>
                <w:color w:val="auto"/>
                <w:w w:val="89"/>
              </w:rPr>
              <w:t>2</w:t>
            </w:r>
          </w:p>
        </w:tc>
        <w:tc>
          <w:tcPr>
            <w:tcW w:w="1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100-700</w:t>
            </w:r>
            <w:r>
              <w:rPr>
                <w:rFonts w:ascii="Arial" w:cs="Arial" w:eastAsia="Arial" w:hAnsi="Arial"/>
                <w:sz w:val="15"/>
                <w:szCs w:val="15"/>
                <w:color w:val="auto"/>
                <w:w w:val="88"/>
              </w:rPr>
              <w:t>2</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100-1,000</w:t>
            </w:r>
            <w:r>
              <w:rPr>
                <w:rFonts w:ascii="Arial" w:cs="Arial" w:eastAsia="Arial" w:hAnsi="Arial"/>
                <w:sz w:val="15"/>
                <w:szCs w:val="15"/>
                <w:color w:val="auto"/>
                <w:w w:val="91"/>
              </w:rPr>
              <w:t>2</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100·1.000</w:t>
            </w:r>
            <w:r>
              <w:rPr>
                <w:rFonts w:ascii="Arial" w:cs="Arial" w:eastAsia="Arial" w:hAnsi="Arial"/>
                <w:sz w:val="15"/>
                <w:szCs w:val="15"/>
                <w:color w:val="auto"/>
                <w:w w:val="89"/>
              </w:rPr>
              <w:t>2</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100-1,000</w:t>
            </w:r>
            <w:r>
              <w:rPr>
                <w:rFonts w:ascii="Arial" w:cs="Arial" w:eastAsia="Arial" w:hAnsi="Arial"/>
                <w:sz w:val="15"/>
                <w:szCs w:val="15"/>
                <w:color w:val="auto"/>
                <w:w w:val="91"/>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 xml:space="preserve">The table compares specificity and copy number of our pipeline targets with clinically validated NY-ESO-1. Our ACTengine clinical stage product candidates IMA20, IMA202, and IMA203 show specificity profiles similar to a NY-ESO-1 derived peptide while having significantly higher copy numbers than NY-ESO-1. </w:t>
      </w:r>
      <w:r>
        <w:rPr>
          <w:rFonts w:ascii="Arial" w:cs="Arial" w:eastAsia="Arial" w:hAnsi="Arial"/>
          <w:sz w:val="15"/>
          <w:szCs w:val="15"/>
          <w:color w:val="auto"/>
        </w:rPr>
        <w:t>1</w:t>
      </w:r>
      <w:r>
        <w:rPr>
          <w:rFonts w:ascii="Arial" w:cs="Arial" w:eastAsia="Arial" w:hAnsi="Arial"/>
          <w:sz w:val="18"/>
          <w:szCs w:val="18"/>
          <w:color w:val="auto"/>
        </w:rPr>
        <w:t>Natural</w:t>
      </w:r>
    </w:p>
    <w:p>
      <w:pPr>
        <w:sectPr>
          <w:pgSz w:w="11900" w:h="16838" w:orient="portrait"/>
          <w:cols w:equalWidth="0" w:num="1">
            <w:col w:w="11140"/>
          </w:cols>
          <w:pgMar w:left="320" w:top="459" w:right="439" w:bottom="0" w:gutter="0" w:footer="0" w:header="0"/>
        </w:sectPr>
      </w:pPr>
    </w:p>
    <w:bookmarkStart w:id="136" w:name="page137"/>
    <w:bookmarkEnd w:id="136"/>
    <w:p>
      <w:pPr>
        <w:jc w:val="center"/>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9019"/>
          </w:cols>
          <w:pgMar w:left="1440" w:top="125" w:right="1440"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presentation of this peptide has been validated by clinical data, </w:t>
      </w:r>
      <w:r>
        <w:rPr>
          <w:rFonts w:ascii="Arial" w:cs="Arial" w:eastAsia="Arial" w:hAnsi="Arial"/>
          <w:sz w:val="15"/>
          <w:szCs w:val="15"/>
          <w:color w:val="auto"/>
        </w:rPr>
        <w:t>2</w:t>
      </w:r>
      <w:r>
        <w:rPr>
          <w:rFonts w:ascii="Arial" w:cs="Arial" w:eastAsia="Arial" w:hAnsi="Arial"/>
          <w:sz w:val="18"/>
          <w:szCs w:val="18"/>
          <w:color w:val="auto"/>
        </w:rPr>
        <w:t xml:space="preserve">Validated by XPRESIDENT mass spectrometry. Target peptide copy numbers per cell were determined by AbsQuant technology, </w:t>
      </w:r>
      <w:r>
        <w:rPr>
          <w:rFonts w:ascii="Arial" w:cs="Arial" w:eastAsia="Arial" w:hAnsi="Arial"/>
          <w:sz w:val="15"/>
          <w:szCs w:val="15"/>
          <w:color w:val="auto"/>
        </w:rPr>
        <w:t>3</w:t>
      </w:r>
      <w:r>
        <w:rPr>
          <w:rFonts w:ascii="Arial" w:cs="Arial" w:eastAsia="Arial" w:hAnsi="Arial"/>
          <w:sz w:val="18"/>
          <w:szCs w:val="18"/>
          <w:color w:val="auto"/>
        </w:rPr>
        <w:t>Internal specificity categorization used by us. Specificity class 1: peptide not routinely found on any normal tissue; no relevant RNA expression detected on critical organs, Specificity class 2: peptide showing a large therapeutic window with rare detections on normal tissue and low RNA expression on critical organs.</w:t>
      </w:r>
    </w:p>
    <w:p>
      <w:pPr>
        <w:spacing w:after="0" w:line="1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Figure 21. Our mass spectrometry validated ACTengine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171450</wp:posOffset>
            </wp:positionV>
            <wp:extent cx="5486400" cy="59150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86400"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Peptide presentation profile</w:t>
      </w:r>
      <w:r>
        <w:rPr>
          <w:rFonts w:ascii="Arial" w:cs="Arial" w:eastAsia="Arial" w:hAnsi="Arial"/>
          <w:sz w:val="15"/>
          <w:szCs w:val="15"/>
          <w:color w:val="auto"/>
        </w:rPr>
        <w:t>1</w:t>
      </w:r>
      <w:r>
        <w:rPr>
          <w:rFonts w:ascii="Arial" w:cs="Arial" w:eastAsia="Arial" w:hAnsi="Arial"/>
          <w:sz w:val="18"/>
          <w:szCs w:val="18"/>
          <w:color w:val="auto"/>
        </w:rPr>
        <w:t xml:space="preserve"> for our ACTengine clinical frontrunner targets MAGEA4/8 (IMA201), MAGEA1 (IMA202), PRAME (IMA203) (as submitted with the IND application) and the preclinical program COL6A3</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(IMA204, status March 25, 2020) based on XPRESIDENT mass spectrometry (LC-MS/MS) data. AML: acute myeloid leukemia; CCC: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cholangiocellular carcinoma; CLL: chronic lymphocytic leukemia; GEJC: gastro-esophageal junction cancer; HCC: hepatocellular carcinoma; HNSCC: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head and neck squamous cell carcinoma; NHL: non-Hodgkin lymphoma; NSCLCadeno: non-small cell lung cancer adenocarcinoma; NSCLCother: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NSCLC samples that could not unambiguously be assigned to NSCLCadeno or NSCLCsquam; NSCLCsquam: squamous cell non-small cell lung</w:t>
      </w:r>
    </w:p>
    <w:p>
      <w:pPr>
        <w:spacing w:after="0" w:line="19" w:lineRule="exact"/>
        <w:rPr>
          <w:sz w:val="20"/>
          <w:szCs w:val="20"/>
          <w:color w:val="auto"/>
        </w:rPr>
      </w:pPr>
    </w:p>
    <w:p>
      <w:pPr>
        <w:ind w:left="120" w:right="400"/>
        <w:spacing w:after="0" w:line="256" w:lineRule="auto"/>
        <w:rPr>
          <w:sz w:val="20"/>
          <w:szCs w:val="20"/>
          <w:color w:val="auto"/>
        </w:rPr>
      </w:pPr>
      <w:r>
        <w:rPr>
          <w:rFonts w:ascii="Arial" w:cs="Arial" w:eastAsia="Arial" w:hAnsi="Arial"/>
          <w:sz w:val="18"/>
          <w:szCs w:val="18"/>
          <w:color w:val="auto"/>
        </w:rPr>
        <w:t xml:space="preserve">cancer; SCLC: small cell lung cancer; UBC: urinary bladder carcinoma; UEC: uterine and endometrial cancer. </w:t>
      </w:r>
      <w:r>
        <w:rPr>
          <w:rFonts w:ascii="Arial" w:cs="Arial" w:eastAsia="Arial" w:hAnsi="Arial"/>
          <w:sz w:val="15"/>
          <w:szCs w:val="15"/>
          <w:color w:val="auto"/>
        </w:rPr>
        <w:t>1</w:t>
      </w:r>
      <w:r>
        <w:rPr>
          <w:rFonts w:ascii="Arial" w:cs="Arial" w:eastAsia="Arial" w:hAnsi="Arial"/>
          <w:sz w:val="18"/>
          <w:szCs w:val="18"/>
          <w:color w:val="auto"/>
        </w:rPr>
        <w:t xml:space="preserve">Please note that such profiles are indicative of tumor selectivity but are not sufficient to establish safety. To establish safety of a novel pHLA target, additional data is gathered from further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and clinical trials.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Proprietary Immunoinformatics Platform for Target Discovery and Validation</w:t>
      </w:r>
    </w:p>
    <w:p>
      <w:pPr>
        <w:spacing w:after="0" w:line="121"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In order to leverage the wealth of XPRESIDENT data, we have developed a comprehensive, proprietary immunoinformatics platform that integrates three interacting engines for all bioinformatics needs – computing, database and analytics — to pioneer next-generation immunotherapies (Figure 22). The Computing engine is optimized for standardized and automated data processing of mass spectrometry and next-generation sequencing data. We overcome the inherent challenges of immunopeptidomics by tailored pipeline and algorithm development, and ensure software validation by thorough benchmarks and testing.</w:t>
      </w:r>
    </w:p>
    <w:p>
      <w:pPr>
        <w:spacing w:after="0" w:line="188"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XPRESIDENT Database engine combines a data warehouse back-end with a web-based user interface front-end. The data warehouse integrates all XPRESIDENT associated data, whether small or big data. The user interface provides unified and central access for knowledge discovery, providing interactive visualization, crosslinks between information and data provenance down to the raw data level.</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data warehouse also serves as base for the proprietary Analytics engine, which is a collection of predictive models based on statistical modelling and machine learning. We achieve effective artificial intelligence (“AI”) machine learning by the power of XPRESIDENT’s data in comprehensiveness, breadth, depth and standardization, as well as from the incorporation of domain knowledge in immunopeptidomics. With the models currently used, we are capable of automating quality control and target prioritization.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22. Our immunoinformatics platform combines all required key features to serve target discovery and validation.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171450</wp:posOffset>
            </wp:positionV>
            <wp:extent cx="5915025" cy="59150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15025" cy="5915025"/>
                    </a:xfrm>
                    <a:prstGeom prst="rect">
                      <a:avLst/>
                    </a:prstGeom>
                    <a:noFill/>
                  </pic:spPr>
                </pic:pic>
              </a:graphicData>
            </a:graphic>
          </wp:anchor>
        </w:drawing>
      </w:r>
    </w:p>
    <w:p>
      <w:pPr>
        <w:sectPr>
          <w:pgSz w:w="11900" w:h="16838" w:orient="portrait"/>
          <w:cols w:equalWidth="0" w:num="1">
            <w:col w:w="11060"/>
          </w:cols>
          <w:pgMar w:left="320" w:top="459" w:right="5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060"/>
          </w:cols>
          <w:pgMar w:left="320" w:top="459" w:right="519" w:bottom="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proprietary immunoinformatics platform combines three engines — computing, database and analytics to serve every bioinformatics need in an optimized and integrated fashion. The platform is powered by XPRESIDENT data from biobanking, sample preparation, mass spectrometry and peptide synthesis to enable target discovery, validation and toxicity assessment.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Extensive Database for Pioneering Novel Target Classes</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XPRESIDENT is one of the largest pHLA target databases in the industry, comprising more than 400 million MS/MS fragment spectra, millions of peptide sequences and quantitative information on tissue presentation. This database also enables the discovery of crypto targets not derived from the canonical human proteome (e.g. RNA-edited peptides, alternative or proteasomal splicing variants, short or alternative open reading frames, gene fusions, ribosomal frameshifting events and non-classical neoantigens — described as class 3 targets in the previous chapter). This novel type of target is only visible directly at the pHLA level and not on mRNA level, based on exclusive detection on tumor but not, or to a far lower amount, on normal tissues. We believe that the wealth of data contained in XPRESIDENT database provides an ideal basis for the detection of crypto targets and also facilitates deeper characterization, such as for quantitative information and other characteristics, revealing the full potential of all types of pHLA targets for immunotherapy.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Artificial Intelligence Guided Epitope Prediction for Personalized Immunotherapies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 xml:space="preserve">We prefer direct elution from native tumor and normal tissues and sequencing of pHLA targets by mass spectrometry over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prediction of such pHLA targets which is common in the industry. Such current algorithms frequently predict targets that are often false positives and do not truly exist on patients’ cancer cells. Thus, based on our assessment, current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approaches — unless combined with extended target validation confirming the natural presentation of the investigated targets — are insufficient to move into clinical development.</w:t>
      </w:r>
    </w:p>
    <w:p>
      <w:pPr>
        <w:spacing w:after="0" w:line="17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However, we believe that XPRESIDENT may be the best basis to develop a suitable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prediction algorithm with a minimal false-positive rate. “Big data” is necessary for development of such reliable predictive models by machine learning (</w:t>
      </w:r>
      <w:r>
        <w:rPr>
          <w:rFonts w:ascii="Arial" w:cs="Arial" w:eastAsia="Arial" w:hAnsi="Arial"/>
          <w:sz w:val="17"/>
          <w:szCs w:val="17"/>
          <w:i w:val="1"/>
          <w:iCs w:val="1"/>
          <w:color w:val="auto"/>
        </w:rPr>
        <w:t>e.g.</w:t>
      </w:r>
      <w:r>
        <w:rPr>
          <w:rFonts w:ascii="Arial" w:cs="Arial" w:eastAsia="Arial" w:hAnsi="Arial"/>
          <w:sz w:val="17"/>
          <w:szCs w:val="17"/>
          <w:color w:val="auto"/>
        </w:rPr>
        <w:t>, deep learning). We have created one of the largest (if not the largest) HLA peptidome dataset, which allows us to develop artificial intelligence algorithms designed for evidence based, personalized immunotherapies and precision medicine. Several other immunopeptidomics datasets have also triggered attempts to predict HLA targets. However, due to the complexity of the HLA repertoire, confounding factors and variation between patients and organs, only large databases enable accurate predictions. Our database is based on native tissues, where other approaches rely on artificial cell lines. With our extensive and continuously growing tissue bank of thousands of real cancer and normal tissues and the resulting XPRESIDENT pHLA target database, covering more than 130 HLA allotypes, we have a competitive advantage compared to other artificial intelligence approaches (Figure 23). Moreover, we have acquired and will continue to acquire additional complementary data on mRNA expression, genomics and proteomics from the same tissue specimens. XPRESIDENT’s dataset, in combination with our Analytics engine, allows generation of statistical and AI models that elucidate the antigen processing machinery. Current statistical models underlying IMADetect already enable personalized target selection. These current capabilities combined with the future models using XPRESIDENT data ideally position us to develop and continuously improve statistical and AI-based models and advance pHLA target prediction. We believe this provides the basis for full antigenic profiling and target selection of an individual tumor of an individual patient for ultra-personalized immunotherapies.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Figure 23. Our competitive advantage based on the wealth of our immunopeptidome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1654810</wp:posOffset>
            </wp:positionV>
            <wp:extent cx="6995160" cy="2948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With our extensive dataset of more than 2,000 real primary tissues covering more than 130 HLA allotypes, we have a competitive advantage compared to other artificial intelligence approaches that are primarily based on artificial cell lines. Our extensive immunopeptidome database provides a competitive advantage for artificial intelligence and the development of improved AI algorithms for highly personalized immunotherapies.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Translation to Clinical Use — Companion Diagnostic IMADetect</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XPRESIDENT know-how can also be translated to clinical application for decision-making and personalized target selection for cancer patients. XPRESIDENT-based analysis of correlation between peptide presentation and expression of the peptide-encoding exon(s) allows for the definition of mRNA-based thresholds that are designed to be predictive of presence of the target peptide on the tumor. Based on this expertise, we are developing the companion diagnostic IMADetect to define target peptide positive patient populations and their inclusion into our clinical trials. IMADetect is a reverse transcription quantitative PCR (“RT-qPCR”) based biomarker assay that enables treatment decisions based on presence of the drug target in the tumor, implementing precision medicine for cancer immunotherapies. The assay is currently performed for the clinical trials in our in-house CLIA-certified and CAP-accredited laboratory at our R&amp;D facilities in Houston, Texas, and will be further developed as companion diagnostics for our drug products.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Interaction between XPRESIDENT and XCEPTOR Technology Platforms for the Development of TCRs</w:t>
      </w:r>
    </w:p>
    <w:p>
      <w:pPr>
        <w:spacing w:after="0" w:line="121" w:lineRule="exact"/>
        <w:rPr>
          <w:sz w:val="20"/>
          <w:szCs w:val="20"/>
          <w:color w:val="auto"/>
        </w:rPr>
      </w:pPr>
    </w:p>
    <w:p>
      <w:pPr>
        <w:ind w:left="120" w:right="260"/>
        <w:spacing w:after="0" w:line="273" w:lineRule="auto"/>
        <w:rPr>
          <w:sz w:val="20"/>
          <w:szCs w:val="20"/>
          <w:color w:val="auto"/>
        </w:rPr>
      </w:pPr>
      <w:r>
        <w:rPr>
          <w:rFonts w:ascii="Arial" w:cs="Arial" w:eastAsia="Arial" w:hAnsi="Arial"/>
          <w:sz w:val="17"/>
          <w:szCs w:val="17"/>
          <w:color w:val="auto"/>
        </w:rPr>
        <w:t>Apart from identifying cancer targets, XPRESIDENT also significantly contributes to our TCR discovery and engineering platform XCEPTOR. The extensive information available on the HLA peptidome in normal tissues is specifically useful for guiding on-and off-target toxicity screenings by determining which peptides potentially cross-recognized by a TCR are actually presented on normal tissues which is of relevance and importance to safety. The information of relevant off-target peptides can also be utilized to guide TCR engineering and affinity maturation for TCR Bispecifics. Absolute target copy numbers determined on tumor cell lines or tissue samples from animal models in relation to copy numbers on primary tumor tissues are an essential piece of information for designing relevant models for TCR efficacy testing.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ISCOVERY</w:t>
      </w:r>
      <w:r>
        <w:rPr>
          <w:rFonts w:ascii="Arial" w:cs="Arial" w:eastAsia="Arial" w:hAnsi="Arial"/>
          <w:sz w:val="18"/>
          <w:szCs w:val="18"/>
          <w:b w:val="1"/>
          <w:bCs w:val="1"/>
          <w:color w:val="auto"/>
        </w:rPr>
        <w:t>, E</w:t>
      </w:r>
      <w:r>
        <w:rPr>
          <w:rFonts w:ascii="Arial" w:cs="Arial" w:eastAsia="Arial" w:hAnsi="Arial"/>
          <w:sz w:val="14"/>
          <w:szCs w:val="14"/>
          <w:b w:val="1"/>
          <w:bCs w:val="1"/>
          <w:color w:val="auto"/>
        </w:rPr>
        <w:t>NGINEERING</w:t>
      </w:r>
      <w:r>
        <w:rPr>
          <w:rFonts w:ascii="Arial" w:cs="Arial" w:eastAsia="Arial" w:hAnsi="Arial"/>
          <w:sz w:val="18"/>
          <w:szCs w:val="18"/>
          <w:b w:val="1"/>
          <w:bCs w:val="1"/>
          <w:color w:val="auto"/>
        </w:rPr>
        <w:t xml:space="preserve"> &amp; V</w:t>
      </w:r>
      <w:r>
        <w:rPr>
          <w:rFonts w:ascii="Arial" w:cs="Arial" w:eastAsia="Arial" w:hAnsi="Arial"/>
          <w:sz w:val="14"/>
          <w:szCs w:val="14"/>
          <w:b w:val="1"/>
          <w:bCs w:val="1"/>
          <w:color w:val="auto"/>
        </w:rPr>
        <w:t>ALIDATION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w:t>
      </w:r>
      <w:r>
        <w:rPr>
          <w:rFonts w:ascii="Arial" w:cs="Arial" w:eastAsia="Arial" w:hAnsi="Arial"/>
          <w:sz w:val="18"/>
          <w:szCs w:val="18"/>
          <w:b w:val="1"/>
          <w:bCs w:val="1"/>
          <w:color w:val="auto"/>
        </w:rPr>
        <w:t xml:space="preserve"> TCRS — XCEPTOR</w:t>
      </w:r>
    </w:p>
    <w:p>
      <w:pPr>
        <w:sectPr>
          <w:pgSz w:w="11900" w:h="16838" w:orient="portrait"/>
          <w:cols w:equalWidth="0" w:num="1">
            <w:col w:w="11060"/>
          </w:cols>
          <w:pgMar w:left="320" w:top="459" w:right="519" w:bottom="29" w:gutter="0" w:footer="0" w:header="0"/>
        </w:sectPr>
      </w:pPr>
    </w:p>
    <w:bookmarkStart w:id="141" w:name="page142"/>
    <w:bookmarkEnd w:id="141"/>
    <w:p>
      <w:pPr>
        <w:spacing w:after="0" w:line="277" w:lineRule="auto"/>
        <w:rPr>
          <w:sz w:val="20"/>
          <w:szCs w:val="20"/>
          <w:color w:val="auto"/>
        </w:rPr>
      </w:pPr>
      <w:r>
        <w:rPr>
          <w:rFonts w:ascii="Arial" w:cs="Arial" w:eastAsia="Arial" w:hAnsi="Arial"/>
          <w:sz w:val="18"/>
          <w:szCs w:val="18"/>
          <w:color w:val="auto"/>
        </w:rPr>
        <w:t>TCRs naturally recognize human HLA-bound peptides (“pHLA targets”) derived from foreign and endogenous proteins, regardless of their extracellular or intracellular localization. We have established XCEPTOR, a next-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60"/>
          </w:cols>
          <w:pgMar w:left="440" w:top="125"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generation technology platform designed to discover, engineer and validate TCRs. The process comprises the discovery and selection of highly specific parental, membrane-bound TCRs with optional engineering (e.g. chain pairing enhancement, engineering towards CD8 independency) to serve ACT modalities, and further engineering via affinity-maturation for TCR Bispecifics.</w:t>
      </w:r>
    </w:p>
    <w:p>
      <w:pPr>
        <w:spacing w:after="0" w:line="89"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Many unique TCRs are identified for each target in a high throughput approach and for several targets in parallel.</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Multiple TCR sources are used for each target, such as blood cells from many different HLA-matched and HLA-mismatched donors or patients.</w:t>
      </w:r>
    </w:p>
    <w:p>
      <w:pPr>
        <w:spacing w:after="0" w:line="75" w:lineRule="exact"/>
        <w:rPr>
          <w:rFonts w:ascii="Arial" w:cs="Arial" w:eastAsia="Arial" w:hAnsi="Arial"/>
          <w:sz w:val="18"/>
          <w:szCs w:val="18"/>
          <w:color w:val="auto"/>
        </w:rPr>
      </w:pPr>
    </w:p>
    <w:p>
      <w:pPr>
        <w:ind w:left="1080" w:right="320" w:hanging="424"/>
        <w:spacing w:after="0" w:line="308"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TCRs are re-expressed in human donor cells, extensively screened in vitro (e.g. testing of killing of tumor cell lines vs normal cells to establish a therapeutic window) and qualified as candidates for Adoptive Cell Therapies or TCR Bispecifics.</w:t>
      </w:r>
    </w:p>
    <w:p>
      <w:pPr>
        <w:spacing w:after="0" w:line="51" w:lineRule="exact"/>
        <w:rPr>
          <w:rFonts w:ascii="Arial" w:cs="Arial" w:eastAsia="Arial" w:hAnsi="Arial"/>
          <w:sz w:val="17"/>
          <w:szCs w:val="17"/>
          <w:color w:val="auto"/>
        </w:rPr>
      </w:pPr>
    </w:p>
    <w:p>
      <w:pPr>
        <w:ind w:left="1080" w:right="460" w:hanging="424"/>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Information exchange with the XPRESIDENT platform throughout TCR identification and candidate screening ensures selection of specific and potent TCRs, e.g. by providing information on TCR-motif and target similar peptide expression on healthy tissue, or calibrated tumor cell lines with physiological target levels as screening tool.</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Qualified TCRs are subject to further engineering, including affinity maturation, engineering towards CD8 independency or chain pairing enhancement, if needed.</w:t>
      </w:r>
    </w:p>
    <w:p>
      <w:pPr>
        <w:spacing w:after="0" w:line="274"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Figure 24. Key principles of our proprietary XCEPTOR platform for development of the right 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1388745</wp:posOffset>
            </wp:positionV>
            <wp:extent cx="6995160" cy="34804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Our proprietary XCEPTOR technology platform is designed to allow the fast and efficient discovery of a multitude of TCRs with high affinity and high specificity, which optionally can be engineered and enhanced. TCR identification and engineering is guided by XPRESIDENT to serve development of product candidates for Adoptive Cell Therapy (ACTengine, ACTallo) and TCR Bispecifics (TCER).</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use HLA-matched and mismatched human donors as starting material for TCR discovery, both from healthy donors and patients. A large number of unique, fully human TCR sequences per target are identified at single cell level, characterized in a transient human re-expression system and selected based on functional avidity measurements, specificity screening with target similar peptides expressed on normal tissue (XPRESIDENT database) and TCR binding motif determination by guided positional scanning.</w:t>
      </w:r>
    </w:p>
    <w:p>
      <w:pPr>
        <w:sectPr>
          <w:pgSz w:w="11900" w:h="16838" w:orient="portrait"/>
          <w:cols w:equalWidth="0" w:num="1">
            <w:col w:w="11040"/>
          </w:cols>
          <w:pgMar w:left="320" w:top="459" w:right="539" w:bottom="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9019"/>
          </w:cols>
          <w:pgMar w:left="1440" w:top="125" w:right="1440"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 xml:space="preserve">Suitable candidates for Adoptive Cell Therapies are selected based 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specificity and efficacy screenings, including human tumor cell lines expressing the respective target at physiological levels (AbsQuant), target-negative cell lines and primary healthy cells.</w:t>
      </w:r>
    </w:p>
    <w:p>
      <w:pPr>
        <w:spacing w:after="0" w:line="146"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 xml:space="preserve">Optionally, those fully human membrane-bound TCRs can be optimized by engineering, either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or using yeast display. For the majority of targets, lead TCRs with low to single digit micromolar affinity are identified from the natural human repertoire, and we may choose to moderately enhance the TCR affinity for Adoptive Cell Therapies. Additionally, engineering to address alpha/beta chain pairing and CD8 independency is pursued as an additional approach. For preclinical validation, TCR candidates for ACT are subsequently expressed as lentiviral constructs and further tested for potency and tolerability, again making use of calibrated target cell lines (AbsQuant) to validate that the chosen TCR can recognize physiological target levels.</w:t>
      </w:r>
    </w:p>
    <w:p>
      <w:pPr>
        <w:spacing w:after="0" w:line="19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 xml:space="preserve">For bispecific immunotherapies, TCRs are converted into stable high affinity scTvs (single-chain TCR variable fragments) using yeast display, serving as building blocks for the generation of bispecific T cell engaging receptor molecules (TCER). Affinity maturation includes counterselection with target similar peptides (potential “off-targets”), resulting in TCR binding domains with strongly augmented binding towards the target peptide-HLA while retaining high specificity. Together with a T cell recruiting domain, scTVs are incorporated in our proprietary TCER format that comprises extended half-life and antibody-like stability and manufacturability characteristics (see “ </w:t>
      </w:r>
      <w:r>
        <w:rPr>
          <w:rFonts w:ascii="Arial" w:cs="Arial" w:eastAsia="Arial" w:hAnsi="Arial"/>
          <w:sz w:val="17"/>
          <w:szCs w:val="17"/>
          <w:i w:val="1"/>
          <w:iCs w:val="1"/>
          <w:color w:val="auto"/>
        </w:rPr>
        <w:t>—TCR Bispecifics — TCER</w:t>
      </w:r>
      <w:r>
        <w:rPr>
          <w:rFonts w:ascii="Arial" w:cs="Arial" w:eastAsia="Arial" w:hAnsi="Arial"/>
          <w:sz w:val="17"/>
          <w:szCs w:val="17"/>
          <w:color w:val="auto"/>
        </w:rPr>
        <w:t>”).</w:t>
      </w:r>
    </w:p>
    <w:p>
      <w:pPr>
        <w:spacing w:after="0" w:line="176"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The entire TCR selection process is accompanied by input from the XPRESIDENT database, guiding on-and off-target toxicity screenings as well as potency evaluation, including by providing absolute target-copy numbers on primary human tumor tissue in relation to pHLA copy numbers found on human tumor cell lines or healthy tissue. Testing TCR-mediated killing of tumor cell lines with defined target pHLA copies versus normal cells allows for the determination of therapeutic windows.</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Figure 25. Preclinical anti-tumor activity of our TCRs.</w:t>
      </w:r>
    </w:p>
    <w:p>
      <w:pPr>
        <w:spacing w:after="0" w:line="252" w:lineRule="exact"/>
        <w:rPr>
          <w:sz w:val="20"/>
          <w:szCs w:val="20"/>
          <w:color w:val="auto"/>
        </w:rPr>
      </w:pPr>
    </w:p>
    <w:p>
      <w:pPr>
        <w:ind w:left="1520"/>
        <w:spacing w:after="0"/>
        <w:tabs>
          <w:tab w:leader="none" w:pos="7160" w:val="left"/>
        </w:tabs>
        <w:rPr>
          <w:sz w:val="20"/>
          <w:szCs w:val="20"/>
          <w:color w:val="auto"/>
        </w:rPr>
      </w:pPr>
      <w:r>
        <w:rPr>
          <w:rFonts w:ascii="Arial" w:cs="Arial" w:eastAsia="Arial" w:hAnsi="Arial"/>
          <w:sz w:val="18"/>
          <w:szCs w:val="18"/>
          <w:b w:val="1"/>
          <w:bCs w:val="1"/>
          <w:color w:val="auto"/>
        </w:rPr>
        <w:t>U20S tumor line — 240 target copies</w:t>
      </w:r>
      <w:r>
        <w:rPr>
          <w:sz w:val="20"/>
          <w:szCs w:val="20"/>
          <w:color w:val="auto"/>
        </w:rPr>
        <w:tab/>
      </w:r>
      <w:r>
        <w:rPr>
          <w:rFonts w:ascii="Arial" w:cs="Arial" w:eastAsia="Arial" w:hAnsi="Arial"/>
          <w:sz w:val="16"/>
          <w:szCs w:val="16"/>
          <w:b w:val="1"/>
          <w:bCs w:val="1"/>
          <w:color w:val="auto"/>
        </w:rPr>
        <w:t>A375 tumor line — 50 target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17145</wp:posOffset>
            </wp:positionV>
            <wp:extent cx="5991860" cy="17227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9186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 xml:space="preserve">Exemplary data for XPRESIDENT-guided determination of potency for a naturally occurring (WT TCR) and an engineered, enhanced TCR (Enhanced TCR). Physiological target copy numbers for the respective target range from 100-1,000 copies per cell. TCRs mediate reduction in tumor growth and tumor cell killing of A375 (50 copies/ cell) and U2OS tumor cells (240 copies/ cell). The engineered and enhanced TCR is active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down to sub-physiological copy numbers.</w:t>
      </w:r>
    </w:p>
    <w:p>
      <w:pPr>
        <w:spacing w:after="0" w:line="187"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In summary, our XCEPTOR platform enables fast and efficient discovery, engineering and validation of a large number of high-affinity and highly specific natural TCRs that can be used for Adoptive Cell Therapies, such as ACTengine, ACTallo and TCR Bispecifics.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ANUFACTURING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UPPLY</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ACT drug products are manufactured by our own employees who are cGMP-trained within The Evelyn H. Griffin Stem Cell Therapeutics Research Laboratory at UTHealth (“UTH”) McGovern Medical School (the “Griffin Facility”) in Houston, Texas through a multi-year collaboration between us and UTHealth. The Griffin Facility is part of the Cellular Therapy Core (“CTC”) at UTHealth and is an 1,850 square foot state-of-the-art multiple ISO 7 class 10,000 Human Cell Processing cGMP Facility. UTHealth procures the necessary supplies and reagents for cGMP manufacturing ACT products based on our requests. These supplies and reagents are purchased from qualified vendors specialized in supplying cGMP grade reagents for the cell and gene therapy industry and approved by UTHealth management.</w:t>
      </w:r>
    </w:p>
    <w:p>
      <w:pPr>
        <w:spacing w:after="0" w:line="17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UTHealth facility is FDA registered to produce cells and tissues for clinical applications in compliance with cGMP and has received accreditation by the Foundation for Accreditation of Cellular Therapy (“FACT”) in January 2016 which was renewed in 2019.</w:t>
      </w:r>
    </w:p>
    <w:p>
      <w:pPr>
        <w:spacing w:after="0" w:line="170"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We have exclusive access to three cGMP suites and support areas for the manufacturing of various ACT products. Facility operation/maintenance, supply procurement/release and co-release of final drug product is performed by UTHealth, while our trained personnel carry out the manufacturing and in-process controls. In addition, we have contractual agreements in place with two suppliers of lentiviral vectors which is the most critical raw material for the manufacturing of genetically modified T cells products.</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For pivotal trials, we plan to sign agreements with one or multiple CMOs for cellular manufacturing with dedicated access to multiple cGMP suites and trained personnel. We are in the process of obtaining proposals from multiple CMOs for manufacturing of ACT products beyond Phase 1 or once clinical proof of concept has been established. Similarly, we are in the process of pursuing commercial supply agreements with raw material vendors ahead of pivotal trials and commercial manufacturing, especially for the lentiviral vector supply.</w:t>
      </w:r>
    </w:p>
    <w:p>
      <w:pPr>
        <w:spacing w:after="0" w:line="187"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 xml:space="preserve">Our TCR Bispecifics are expressed in mammalian cells. We have established a laboratory scale production process to generate R&amp;D material suitable for compound characterization and early preclinical assessments. In the course of preclinical development, the process is transferred to and further developed by CMOs. Our CMOs are experienced in cGMP manufacturing of biologics and regulatory compliance for these processes. The IND enabling studies (e.g.,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toxicology studies) are performed with material which we receive from CMOs.</w:t>
      </w:r>
    </w:p>
    <w:p>
      <w:pPr>
        <w:spacing w:after="0" w:line="17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manufacturing phase at CMOs includes cell line development, establishment of master- and working cell banks, upstream and downstream process development, formulation development, development of suitable analytical methods for testing and release, cGMP manufacturing for clinical supplies, fill and finish, drug substance and drug product release testing, storage and stability testing.</w:t>
      </w:r>
    </w:p>
    <w:p>
      <w:pPr>
        <w:spacing w:after="0" w:line="184"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An in-house chemistry, manufacturing and control (“CMC”) team guides and manages the processes at our CMOs through the different stages. Before and during the cooperation with a contract manufacturer we conduct audits to control compliance with the mutually agreed process descriptions and to cGMP regulations. Our manufacturers themselves are controlled by their in-house quality assurance functions and inspected by regulatory agencies, including European national agencies and the FDA. During the development of TCER candidates, our contract manufacturers may need to modify or scale the manufacturing process to suitable size. Potentially, the drug formulation or other parameters may be changed. Such modifications may require a renewed qualification of the manufacturing process with the relevant authorities. In addition to the currently contracted CMOs, we expect to engage with additional third-party manufacturers to support potential pivotal trials and potential commercial supplies.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currently do not have our own marketing, sales or distribution capabilities. In order to commercialize any future product candidate, if approved for commercial sale, it is our current plan to develop a sales and marketing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infrastructure. We may opportunistically seek strategic collaborations to maximize the commercial opportunities for our future product candidates inside and outside the United States.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120" w:right="220"/>
        <w:spacing w:after="0" w:line="342" w:lineRule="auto"/>
        <w:rPr>
          <w:sz w:val="20"/>
          <w:szCs w:val="20"/>
          <w:color w:val="auto"/>
        </w:rPr>
      </w:pPr>
      <w:r>
        <w:rPr>
          <w:rFonts w:ascii="Arial" w:cs="Arial" w:eastAsia="Arial" w:hAnsi="Arial"/>
          <w:sz w:val="16"/>
          <w:szCs w:val="16"/>
          <w:color w:val="auto"/>
        </w:rPr>
        <w:t>Immunotherapy and the companies and academic groups using TCR-based approaches against cancer are rapidly evolving. While we believe that our technology platforms, therapeutic modalities and scientific knowledge provide us with a competitive advantage, we also face significant competition.</w:t>
      </w:r>
    </w:p>
    <w:p>
      <w:pPr>
        <w:spacing w:after="0" w:line="124"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Other pharmaceutical and biotechnology companies are active in the field of TCR therapies, with the goal to target solid tumors following the success of CAR-T therapies in hematology. Companies developing other immunotherapies such as CAR-T, bispecific antibodies or immune checkpoint inhibitors, may show that their products applied alone or in combination may demonstrate significant improvement in efficacy and compete with our approach and candidates.</w:t>
      </w:r>
    </w:p>
    <w:p>
      <w:pPr>
        <w:spacing w:after="0" w:line="187"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Our competitors fall primarily into the following groups, depending on their treatment approach:</w:t>
      </w:r>
    </w:p>
    <w:p>
      <w:pPr>
        <w:spacing w:after="0" w:line="52" w:lineRule="exact"/>
        <w:rPr>
          <w:sz w:val="20"/>
          <w:szCs w:val="20"/>
          <w:color w:val="auto"/>
        </w:rPr>
      </w:pPr>
    </w:p>
    <w:p>
      <w:pPr>
        <w:ind w:left="1080" w:right="52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Academic institutions as well as industry competitors (including Adaptimmune, Gritstone, Immunocore, Adaptive Biotechnologies, pureMHC, BioNTech, and Genentech) are also seeking to identify HLA targets.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Adaptimmune, Immunocore, T-Knife, Adaptive Biotechnologies, 3T Biosciences, Medigene, Regeneron, Gilead, Bluebird Bio, Agentus and possibly others are also working on TCR-based approaches.</w:t>
      </w:r>
    </w:p>
    <w:p>
      <w:pPr>
        <w:spacing w:after="0" w:line="75"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Takara Bio Inc., Kite Gilead, Tmunity, Cell Medica, BMS, GSK, Adaptimmune, Bluebird Bio, Medigene and Bellicum, in addition to various academic institutions and possibly industry competitors, are investigating novel autologous TCR-T therapeutics.</w:t>
      </w:r>
    </w:p>
    <w:p>
      <w:pPr>
        <w:spacing w:after="0" w:line="51"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Several companies, including Takeda Bio Inc., Adaptimmune, Bluebird Bio and Medigene, are developing TCR-T programs to the same proteins, although possibly not the same peptide targets, as utilized in our ACTengine pipeline.</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Allogene, Celyad, CRISPR Therapeutics, Fate Therapeutics, Intellia Therapeutics, Precision Biosciences, Sangamo Therapeutics, Cellectis, TC Biopharm and Adicet Bio, and possible others, are developing allogeneic cell therapies.</w:t>
      </w:r>
    </w:p>
    <w:p>
      <w:pPr>
        <w:spacing w:after="0" w:line="75"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Companies such as Immunocore, Amgen, Genmab and MorphoSys are developing TCR Bispecific compounds or TCR mimetic antibodies.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Marker Therapeutics, Achilles and Neximmune, and possibly others, are developing multi-target immunotherapies to pHLA targets.</w:t>
      </w:r>
    </w:p>
    <w:p>
      <w:pPr>
        <w:spacing w:after="0" w:line="23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availability of reimbursement from government and other third-party payors will also significantly affect the pricing and competitiveness of our products. Our competitors also may obtain FDA or other regulatory approval for their products more rapidly than us, which might result in competitors establishing a strong market position before we are able to enter the market.</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us. Smaller or early-stage companies may also prove to be significant competitors, particularly through collaborative arrangements with large and established companies. These competitors also compete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have a robust intellectual property portfolio which includes a large number of patents in many commercially significant jurisdictions worldwide. Our patent portfolio is a strategically important asset. As of January 27, 2020, the portfolio contains over 3,000 active worldwide patent applications and more than 100 active patent families. Our patent application portfolio is diverse and covers a large number of cancer antigen targets, T cell receptors, antibodies, bi-specific molecules, and antigen discovery platforms.</w:t>
      </w:r>
    </w:p>
    <w:p>
      <w:pPr>
        <w:spacing w:after="0" w:line="92" w:lineRule="exact"/>
        <w:rPr>
          <w:sz w:val="20"/>
          <w:szCs w:val="20"/>
          <w:color w:val="auto"/>
        </w:rPr>
      </w:pPr>
    </w:p>
    <w:p>
      <w:pPr>
        <w:jc w:val="both"/>
        <w:ind w:left="1080" w:right="40" w:hanging="532"/>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January 27, 2020, we had secured over 1,550 world-wide patents, including 239 U.S. patents. Of the 239 granted U.S. patents, a total of 198 U.S. patents have been issued since 2017. We plan to continue to expand our U.S. patent portfolio by filing new patent applications as well as filing continuation and divisional applications of pending U.S. applications.</w:t>
      </w:r>
    </w:p>
    <w:p>
      <w:pPr>
        <w:spacing w:after="0" w:line="89"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recognize the need for a global intellectual property strategy in order to protect future products and assets around the world. As a result, we file patent applications with an aim of protecting our technology throughout many commercially relevant jurisdictions, such as Europe, the United States, Canada, Brazil, China, Japan, South Korea, Argentina, Russia, Australia, New Zealand, Singapore, Vietnam, Thailand, Indonesia, Mexico, Taiwan and the Gulf states. For applications deemed to be of highest commercial importance to us, filing may take place in more than 50 countries.</w:t>
      </w:r>
    </w:p>
    <w:p>
      <w:pPr>
        <w:spacing w:after="0" w:line="93"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Patent coverage for our product candidates, encompassing proprietary cancer antigens, TCRs, TCER and antibodies, includes the following:</w:t>
      </w:r>
    </w:p>
    <w:p>
      <w:pPr>
        <w:spacing w:after="0" w:line="75" w:lineRule="exact"/>
        <w:rPr>
          <w:rFonts w:ascii="Arial" w:cs="Arial" w:eastAsia="Arial" w:hAnsi="Arial"/>
          <w:sz w:val="18"/>
          <w:szCs w:val="18"/>
          <w:color w:val="auto"/>
        </w:rPr>
      </w:pPr>
    </w:p>
    <w:p>
      <w:pPr>
        <w:ind w:left="1540" w:right="160" w:hanging="331"/>
        <w:spacing w:after="0" w:line="279" w:lineRule="auto"/>
        <w:tabs>
          <w:tab w:leader="none" w:pos="1540" w:val="left"/>
        </w:tabs>
        <w:numPr>
          <w:ilvl w:val="1"/>
          <w:numId w:val="80"/>
        </w:numPr>
        <w:rPr>
          <w:rFonts w:ascii="Arial" w:cs="Arial" w:eastAsia="Arial" w:hAnsi="Arial"/>
          <w:sz w:val="17"/>
          <w:szCs w:val="17"/>
          <w:color w:val="auto"/>
        </w:rPr>
      </w:pPr>
      <w:r>
        <w:rPr>
          <w:rFonts w:ascii="Arial" w:cs="Arial" w:eastAsia="Arial" w:hAnsi="Arial"/>
          <w:sz w:val="17"/>
          <w:szCs w:val="17"/>
          <w:color w:val="auto"/>
        </w:rPr>
        <w:t>One issued patent in the U.S. and 34 pending applications in Argentina, Australia, Brazil, Canada, Chile, China, Columbia, Costa Rica, Algeria, Eurasia, Egypt, Europe, Hong Kong, Indonesia, Israel, India, Japan, South Korea, Morocco, Mexico, Malaysia, New Zealand, Peru, Philippines, Singapore, Thailand, Taiwan, the Ukraine, the U.S., Vietnam and South Africa relate to IMA201 (MAGEA4/8). These patents and applications are expected to expire on March 16, 2037.</w:t>
      </w:r>
    </w:p>
    <w:p>
      <w:pPr>
        <w:spacing w:after="0" w:line="76" w:lineRule="exact"/>
        <w:rPr>
          <w:rFonts w:ascii="Arial" w:cs="Arial" w:eastAsia="Arial" w:hAnsi="Arial"/>
          <w:sz w:val="17"/>
          <w:szCs w:val="17"/>
          <w:color w:val="auto"/>
        </w:rPr>
      </w:pPr>
    </w:p>
    <w:p>
      <w:pPr>
        <w:ind w:left="1540" w:right="380" w:hanging="331"/>
        <w:spacing w:after="0" w:line="301" w:lineRule="auto"/>
        <w:tabs>
          <w:tab w:leader="none" w:pos="15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No issued patent in and 34 pending applications in Argentina, Australia, Brazil, Canada, Chile, China, Columbia, Costa Rica, Germany, Algeria, Eurasia, Egypt, Europe, Gulf Cooperation Council, Hong Kong, Indonesia, Israel, India, Japan, South Korea, Morocco, Mexico, Malaysia, New Zealand, Peru, Philippines, Singapore, Thailand, Taiwan, the Ukraine, the U.S., Vietnam and South Africa relate to IMA202 (MAGEA1). These patents and applications are expected to expire on December 7, 2037.</w:t>
      </w:r>
    </w:p>
    <w:p>
      <w:pPr>
        <w:spacing w:after="0" w:line="62" w:lineRule="exact"/>
        <w:rPr>
          <w:rFonts w:ascii="Arial" w:cs="Arial" w:eastAsia="Arial" w:hAnsi="Arial"/>
          <w:sz w:val="16"/>
          <w:szCs w:val="16"/>
          <w:color w:val="auto"/>
        </w:rPr>
      </w:pPr>
    </w:p>
    <w:p>
      <w:pPr>
        <w:ind w:left="1540" w:right="200" w:hanging="331"/>
        <w:spacing w:after="0" w:line="301" w:lineRule="auto"/>
        <w:tabs>
          <w:tab w:leader="none" w:pos="15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One issued patent in the U.S. and 33 pending applications in Argentina, Australia, Brazil, Canada, Chile, China, Columbia, Costa Rica, Germany, Algeria, Eurasia, Egypt, Europe, Gulf Cooperation Council, Hong Kong, Indonesia, Israel, India, Japan, South Korea, Morocco, Mexico, Malaysia, New Zealand, Peru, Philippines, Singapore, Thailand, Taiwan, the Ukraine, the U.S., Vietnam and South Africa relate to IMA203 (PRAME). These patents and applications are expected to expire on March 28, 2038.</w:t>
      </w:r>
    </w:p>
    <w:p>
      <w:pPr>
        <w:spacing w:after="0" w:line="62" w:lineRule="exact"/>
        <w:rPr>
          <w:rFonts w:ascii="Arial" w:cs="Arial" w:eastAsia="Arial" w:hAnsi="Arial"/>
          <w:sz w:val="16"/>
          <w:szCs w:val="16"/>
          <w:color w:val="auto"/>
        </w:rPr>
      </w:pPr>
    </w:p>
    <w:p>
      <w:pPr>
        <w:ind w:left="1540" w:right="200" w:hanging="331"/>
        <w:spacing w:after="0" w:line="279" w:lineRule="auto"/>
        <w:tabs>
          <w:tab w:leader="none" w:pos="1540" w:val="left"/>
        </w:tabs>
        <w:numPr>
          <w:ilvl w:val="1"/>
          <w:numId w:val="80"/>
        </w:numPr>
        <w:rPr>
          <w:rFonts w:ascii="Arial" w:cs="Arial" w:eastAsia="Arial" w:hAnsi="Arial"/>
          <w:sz w:val="17"/>
          <w:szCs w:val="17"/>
          <w:color w:val="auto"/>
        </w:rPr>
      </w:pPr>
      <w:r>
        <w:rPr>
          <w:rFonts w:ascii="Arial" w:cs="Arial" w:eastAsia="Arial" w:hAnsi="Arial"/>
          <w:sz w:val="17"/>
          <w:szCs w:val="17"/>
          <w:color w:val="auto"/>
        </w:rPr>
        <w:t>Two issued patents in the U.S. and 35 pending applications in Argentina, Australia, Brazil, Canada, Chile, China, Columbia, Costa Rica, Germany, Algeria, Eurasia, Egypt, Europe, Hong Kong, Indonesia, Israel, India, Japan, South Korea, Morocco, Mexico, Malaysia, New Zealand, Peru, Philippines, Singapore, Thailand, Taiwan, the Ukraine, the U.S., Vietnam and South Africa relate to IMA204 (COL6A3 exon 6). These patents and applications are expected to expire July 4, 2037.</w:t>
      </w:r>
    </w:p>
    <w:p>
      <w:pPr>
        <w:spacing w:after="0" w:line="76" w:lineRule="exact"/>
        <w:rPr>
          <w:rFonts w:ascii="Arial" w:cs="Arial" w:eastAsia="Arial" w:hAnsi="Arial"/>
          <w:sz w:val="17"/>
          <w:szCs w:val="17"/>
          <w:color w:val="auto"/>
        </w:rPr>
      </w:pPr>
    </w:p>
    <w:p>
      <w:pPr>
        <w:ind w:left="1540" w:right="140" w:hanging="331"/>
        <w:spacing w:after="0" w:line="257" w:lineRule="auto"/>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One issued patent in the U.S. and 36 pending applications in Argentina, Australia, Brazil, Canada, Chile, China, Columbia, Costa Rica, Germany, Algeria, Eurasia, Egypt, Europe, Gulf Cooperation Council, Hong Kong, Indonesia, Israel, India, Japan, South Korea, Morocco, Mexico, Malaysia, New Zealand, Peru, Philippines, Singapore, Thailand, Taiwan, the Ukraine, the U.S., Vietnam, South Africa and PCT IMA301 (Cancer testis antigen). These patents and applications are expected to expire between March 16, 2037 and March 17, 2040.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line="301" w:lineRule="auto"/>
        <w:tabs>
          <w:tab w:leader="none" w:pos="1540" w:val="left"/>
        </w:tabs>
        <w:numPr>
          <w:ilvl w:val="1"/>
          <w:numId w:val="81"/>
        </w:numPr>
        <w:rPr>
          <w:rFonts w:ascii="Arial" w:cs="Arial" w:eastAsia="Arial" w:hAnsi="Arial"/>
          <w:sz w:val="16"/>
          <w:szCs w:val="16"/>
          <w:color w:val="auto"/>
        </w:rPr>
      </w:pPr>
      <w:r>
        <w:rPr>
          <w:rFonts w:ascii="Arial" w:cs="Arial" w:eastAsia="Arial" w:hAnsi="Arial"/>
          <w:sz w:val="16"/>
          <w:szCs w:val="16"/>
          <w:color w:val="auto"/>
        </w:rPr>
        <w:t>One issued patent in the U.S. and 36 pending applications in Argentina, Australia, Brazil, Canada, Chile, China, Columbia, Costa Rica, Algeria, Eurasia, Egypt, Europe, Hong Kong, Indonesia, Israel, India, Japan, South Korea, Morocco, Mexico, Malaysia, New Zealand, Peru, Philippines, Singapore, Thailand, Taiwan, the Ukraine, the U.S., Vietnam and South Africa relate to IMA401 (Cancer testis antigen). These patents and applications are expected to expire between March 16, 2037 and September 25, 2040.</w:t>
      </w:r>
    </w:p>
    <w:p>
      <w:pPr>
        <w:spacing w:after="0" w:line="62" w:lineRule="exact"/>
        <w:rPr>
          <w:rFonts w:ascii="Arial" w:cs="Arial" w:eastAsia="Arial" w:hAnsi="Arial"/>
          <w:sz w:val="16"/>
          <w:szCs w:val="16"/>
          <w:color w:val="auto"/>
        </w:rPr>
      </w:pPr>
    </w:p>
    <w:p>
      <w:pPr>
        <w:ind w:left="1540" w:hanging="331"/>
        <w:spacing w:after="0"/>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We are currently devising an application covering the clinical candidates for IMA402.</w:t>
      </w:r>
    </w:p>
    <w:p>
      <w:pPr>
        <w:spacing w:after="0" w:line="25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addition to patent coverage for our proprietary cancer antigens, TCRs, TCER and antibodies, we seek protection for aspects of our ACT protocols via patent filings. To this end, our subsidiary, Immatics US, has filed eleven patent families. These patent applications are predominantly focused on securing claims to ACT methods, cell populations, and other immunotherapy methodologies, and are expected to expire between November 26, 2038 and March 11, 2041.</w:t>
      </w:r>
    </w:p>
    <w:p>
      <w:pPr>
        <w:spacing w:after="0" w:line="213" w:lineRule="exact"/>
        <w:rPr>
          <w:rFonts w:ascii="Arial" w:cs="Arial" w:eastAsia="Arial" w:hAnsi="Arial"/>
          <w:sz w:val="18"/>
          <w:szCs w:val="18"/>
          <w:color w:val="auto"/>
        </w:rPr>
      </w:pPr>
    </w:p>
    <w:p>
      <w:pPr>
        <w:jc w:val="both"/>
        <w:ind w:left="1080" w:right="40" w:hanging="532"/>
        <w:spacing w:after="0" w:line="311"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also place an emphasis on protecting our expanding brand recognition by filing and registering Trademark applications throughout the world. We are the owner of 23 different Trademarks most of which are registered or have been allowed, in multiple countries and classes. Prominent Trademarks are, for example, XPRESIDENT, TCER, ACTallo, ACTengine, ACTolog and Immatics.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COLLABORATIONS AND 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1474470</wp:posOffset>
            </wp:positionV>
            <wp:extent cx="6995160" cy="3317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We have forged strategic collaborations with biotech and pharmaceutical companies as well as academic research institutions. Key collaborations include: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MD Anderson Cancer Center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August 2015, we and MD Anderson Cancer Center (“MD Anderson”) announced the launch of Immatics US to develop multiple T cell</w:t>
      </w:r>
    </w:p>
    <w:p>
      <w:pPr>
        <w:spacing w:after="0" w:line="23" w:lineRule="exact"/>
        <w:rPr>
          <w:sz w:val="20"/>
          <w:szCs w:val="20"/>
          <w:color w:val="auto"/>
        </w:rPr>
      </w:pPr>
    </w:p>
    <w:p>
      <w:pPr>
        <w:jc w:val="both"/>
        <w:ind w:left="120" w:right="100"/>
        <w:spacing w:after="0" w:line="323" w:lineRule="auto"/>
        <w:rPr>
          <w:sz w:val="20"/>
          <w:szCs w:val="20"/>
          <w:color w:val="auto"/>
        </w:rPr>
      </w:pPr>
      <w:r>
        <w:rPr>
          <w:rFonts w:ascii="Arial" w:cs="Arial" w:eastAsia="Arial" w:hAnsi="Arial"/>
          <w:sz w:val="16"/>
          <w:szCs w:val="16"/>
          <w:color w:val="auto"/>
        </w:rPr>
        <w:t>and TCR-based adoptive cellular therapies. Immatics US secured over $60 million in total funding – more than $40.0 million from the parent company Immatics OpCo and a $19.7 million grant from the Cancer Prevention and Research Institute of Texas (“CPRIT”) and entered into several agreements.</w:t>
      </w:r>
    </w:p>
    <w:p>
      <w:pPr>
        <w:sectPr>
          <w:pgSz w:w="11900" w:h="16838" w:orient="portrait"/>
          <w:cols w:equalWidth="0" w:num="1">
            <w:col w:w="11080"/>
          </w:cols>
          <w:pgMar w:left="320" w:top="459" w:right="499" w:bottom="0" w:gutter="0" w:footer="0" w:header="0"/>
        </w:sectPr>
      </w:pPr>
    </w:p>
    <w:bookmarkStart w:id="149" w:name="page150"/>
    <w:bookmarkEnd w:id="149"/>
    <w:p>
      <w:pPr>
        <w:ind w:left="4"/>
        <w:spacing w:after="0"/>
        <w:rPr>
          <w:sz w:val="20"/>
          <w:szCs w:val="20"/>
          <w:color w:val="auto"/>
        </w:rPr>
      </w:pPr>
      <w:r>
        <w:rPr>
          <w:rFonts w:ascii="Arial" w:cs="Arial" w:eastAsia="Arial" w:hAnsi="Arial"/>
          <w:sz w:val="16"/>
          <w:szCs w:val="16"/>
          <w:color w:val="auto"/>
        </w:rPr>
        <w:t>Under the Collaboration and License Agreement, MD Anderson and Immatics US will conduct work pursuant to agreed research plans to develop</w:t>
      </w:r>
    </w:p>
    <w:p>
      <w:pPr>
        <w:spacing w:after="0" w:line="46" w:lineRule="exact"/>
        <w:rPr>
          <w:sz w:val="20"/>
          <w:szCs w:val="20"/>
          <w:color w:val="auto"/>
        </w:rPr>
      </w:pPr>
    </w:p>
    <w:p>
      <w:pPr>
        <w:jc w:val="right"/>
        <w:ind w:left="5364" w:right="4880" w:hanging="5364"/>
        <w:spacing w:after="0" w:line="517" w:lineRule="auto"/>
        <w:tabs>
          <w:tab w:leader="none" w:pos="196" w:val="left"/>
        </w:tabs>
        <w:numPr>
          <w:ilvl w:val="0"/>
          <w:numId w:val="82"/>
        </w:numPr>
        <w:rPr>
          <w:rFonts w:ascii="Arial" w:cs="Arial" w:eastAsia="Arial" w:hAnsi="Arial"/>
          <w:sz w:val="16"/>
          <w:szCs w:val="16"/>
          <w:color w:val="auto"/>
        </w:rPr>
      </w:pPr>
      <w:r>
        <w:rPr>
          <w:rFonts w:ascii="Arial" w:cs="Arial" w:eastAsia="Arial" w:hAnsi="Arial"/>
          <w:sz w:val="16"/>
          <w:szCs w:val="16"/>
          <w:color w:val="auto"/>
        </w:rPr>
        <w:t>ACTolog IMA101 and (ii) ACTengine IMA201, 202, 203 and 204 products 129</w:t>
      </w:r>
    </w:p>
    <w:p>
      <w:pPr>
        <w:sectPr>
          <w:pgSz w:w="11900" w:h="16838" w:orient="portrait"/>
          <w:cols w:equalWidth="0" w:num="1">
            <w:col w:w="10524"/>
          </w:cols>
          <w:pgMar w:left="436" w:top="125" w:right="9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certain cancer indications. Immatics US will fund all activities by MD Anderson under the research plans. Immatics US owns all intellectual property resulting from or directly related to the work conducted under the research plans.</w:t>
      </w:r>
    </w:p>
    <w:p>
      <w:pPr>
        <w:spacing w:after="0" w:line="170"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color w:val="auto"/>
        </w:rPr>
        <w:t>Further, pursuant to several license agreements MD Anderson granted Immatics US access and rights to certain of its IL21, CD25 and K562 technologies.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GlaxoSmithKline</w:t>
      </w:r>
    </w:p>
    <w:p>
      <w:pPr>
        <w:spacing w:after="0" w:line="117"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In December 2019, we entered into a strategic collaboration agreement with GlaxoSmithKline (“GSK”) to develop novel adoptive cell therapies targeting multiple cancer indications with a focus on solid tumors. Under the agreement, we and GSK are collaborating on the identification, research and development of next-generation TCR Therapeutics and will initially develop autologous T cell therapies with GSK having an option to add allogeneic cell therapies using our ACTallo approach. We will utilize proprietary TCRs identified by our XCEPTOR and directed against two proprietary targets, discovered and validated by our XPRESIDENT with the primary responsibility for the development and validation of the TCR Therapeutics up to designation of a clinical candidate. GSK will then assume sole responsibility for further worldwide development, manufacturing and commercialization of the TCR Therapeutics with the possibility for us to co-develop one or more TCR Therapeutics including the conduct of the first-in-human clinical trial upon GSK’s request. GSK also obtained an option to select additional target programs to include in the collaboration. For each additional program, we are entitled to predetermined option, milestone and royalty payments.</w:t>
      </w:r>
    </w:p>
    <w:p>
      <w:pPr>
        <w:spacing w:after="0" w:line="181"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Under the terms of the agreement, we received an upfront payment of €45 million for two initial programs and are eligible to receive additional development, regulatory and sales milestones up to $575 million, respectively, as well as additional royalties on net sales for each licensed product.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Bristol-Myers Squibb</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and Celgene Corporation, a Bristol-Myers Squibb Company (“BMS”), entered into a strategic collaboration and license agreement in August 2019 to develop novel adoptive cell therapies targeting multiple cancers. Under the agreement, we may develop TCR-T programs against solid tumor targets discovered with our XPRESIDENT technology. We will utilize proprietary TCRs identified by our XCEPTOR TCR discovery and engineering platform. We will be responsible for the development and validation of these programs through the lead candidate stage, at which time BMS may exercise</w:t>
      </w:r>
    </w:p>
    <w:p>
      <w:pPr>
        <w:spacing w:after="0" w:line="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its opt-in right to exclusively license one or more programs, thereby assuming sole responsibility for further worldwide development, manufacturing and commercialization of the TCR-T cell therapies. We retain certain early stage co-development and co-funding rights for selected TCR-T cell therapies arising from the collaboration. BMS has the option to exclusively license up to two additional targets to expand the collaboration at predetermined economics.</w:t>
      </w:r>
    </w:p>
    <w:p>
      <w:pPr>
        <w:spacing w:after="0" w:line="193"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Under the terms of the agreement, we received an upfront payment of $75 million for three programs and are eligible to receive additional regulatory and sales milestones in aggregate amounts of up to $190 million, and $300 million, respectively, as well as tiered royalties based on net sales for each licensed product at percentages ranging from high single digits to teens, subject to customary reductions.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Genmab</w:t>
      </w:r>
    </w:p>
    <w:p>
      <w:pPr>
        <w:spacing w:after="0" w:line="117" w:lineRule="exact"/>
        <w:rPr>
          <w:sz w:val="20"/>
          <w:szCs w:val="20"/>
          <w:color w:val="auto"/>
        </w:rPr>
      </w:pPr>
    </w:p>
    <w:p>
      <w:pPr>
        <w:ind w:left="120" w:right="340"/>
        <w:spacing w:after="0" w:line="257" w:lineRule="auto"/>
        <w:rPr>
          <w:sz w:val="20"/>
          <w:szCs w:val="20"/>
          <w:color w:val="auto"/>
        </w:rPr>
      </w:pPr>
      <w:r>
        <w:rPr>
          <w:rFonts w:ascii="Arial" w:cs="Arial" w:eastAsia="Arial" w:hAnsi="Arial"/>
          <w:sz w:val="18"/>
          <w:szCs w:val="18"/>
          <w:color w:val="auto"/>
        </w:rPr>
        <w:t>In July 2018, we and Genmab entered into a research collaboration and license agreement to develop next-generation, T cell engaging bispecific immunotherapies targeting multiple cancer indications. Under the agreement, we are conducting joint research, funded by Genmab, and combining XPRESIDENT, XCEPTOR and TCER technology platforms with Genmab’s proprietary antibody technologies to develop multiple bispecific immunotherapies in oncology. Both we and Genmab are exclusively discovering and developing immunotherapies directed against three proprietary targets, discovered and developed by our XPRESIDENT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platform. Genmab is responsible for development, manufacturing and worldwide commercialization. We retain an option to contribute certain promotion efforts at predetermined levels in selected countries in the EU. Genmab has the option to exclusively license up to two additional targets to expand the collaboration at predetermined economics.</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Under the terms of the agreement, we received an upfront fee of $54 million and is eligible to receive additional development, regulatory and commercial milestone payments, totaling $550 million, for each licensed product resulting from the collaboration In addition, we are eligible to receive tiered royalties on net sales for each licensed product at up to double-digit percentages.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Amgen</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 xml:space="preserve">Since December 2016, Amgen and us have been developing next-generation, T cell engaging bispecific immunotherapies targeting multiple cancers under the research collaboration and exclusive license agreement. The collaboration combines our XPRESIDENT and XCEPTOR technology platforms with Amgen’s validated </w:t>
      </w:r>
      <w:r>
        <w:rPr>
          <w:rFonts w:ascii="Arial" w:cs="Arial" w:eastAsia="Arial" w:hAnsi="Arial"/>
          <w:sz w:val="18"/>
          <w:szCs w:val="18"/>
          <w:i w:val="1"/>
          <w:iCs w:val="1"/>
          <w:color w:val="auto"/>
        </w:rPr>
        <w:t>BiTE</w:t>
      </w:r>
      <w:r>
        <w:rPr>
          <w:rFonts w:ascii="Arial" w:cs="Arial" w:eastAsia="Arial" w:hAnsi="Arial"/>
          <w:sz w:val="18"/>
          <w:szCs w:val="18"/>
          <w:color w:val="auto"/>
        </w:rPr>
        <w:t>( Bispecific T cell Engager) technology. Amgen is responsible for the clinical development, manufacturing and commercialization worldwide.</w:t>
      </w:r>
    </w:p>
    <w:p>
      <w:pPr>
        <w:spacing w:after="0" w:line="18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Under the terms of the agreement, we received a non-refundable, non-creditable upfront fee of $30 million and are eligible to receive additional development, regulatory and commercial milestone payments in aggregate amounts of up to $525 million, respectively, as well as tiered royalties on net sales for each licensed product at percentages ranging from high-single digits to low teens subject to customary reductions.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MorphoSys</w:t>
      </w:r>
    </w:p>
    <w:p>
      <w:pPr>
        <w:spacing w:after="0" w:line="11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In August 2015, we announced a strategic alliance with MorphoSys, a German company in the field of immuno-oncology. The alliance was formed to develop novel antibody-based therapies against a variety of cancer antigens that are recognized by T cells. The alliance agreement gives MorphoSys access to several of our proprietary tumor-associated peptides and, in return, we receive the right to develop MorphoSys’s Ylanthia antibodies against several tumor-associated peptides. The companies will pay each other milestone payments and royalties on commercialized products based on the companies’ development progress.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Roche</w:t>
      </w:r>
    </w:p>
    <w:p>
      <w:pPr>
        <w:spacing w:after="0" w:line="117"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In November 2013, we entered into a research and clinical development collaboration with Roche focused on identification of novel and relevant XPRESIDENT targets for cancer vaccine candidates and other immunotherapies in oncology, primarily in gastric, prostate and non-small cell lung cancer indications.</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December 2017, Roche exercised its option under the existing discovery, development and commercialization agreement with us to exclusively license from us a proprietary immunotherapy target for further development and commercialization in oncology. In December 2019, Roche discontinued development of the immunotherapy product directed against the target it has exclusively licensed from us in 2017 and delivered notice to us in February 2020 that it was terminating the collaboration, effective as of September 30,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We entered into a number of collaborations that are important for our ability to manufacture, supply and offer our adoptive cell therapies and TCR Bispecifics.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UTHealth</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entered into a multi-year collaboration agreement to secure exclusive access to three UTHealth cGMP suites to manufacture various ACT products within the Griffin Research Laboratory. Under the agreement, general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facility operations, maintenance, supply and reagents for cGMP manufacture, and co-release of product is provided by UTHealth. Under the agreement, we perform all manufacturing and in-process controls. The UTHealth facility is FDA registered to produce cells and tissues for clinical applications in compliance with cGMP and has received accreditation by the FACT in January 2016, which was renewed in 2019.</w:t>
      </w:r>
    </w:p>
    <w:p>
      <w:pPr>
        <w:spacing w:after="0" w:line="16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use several third-party contract manufacturers acting in accordance with FDA’s good laboratory practice (“GLP”) or cGMP, as applicable, practices for the manufacture of viral vectors and cell bank development. We generally apply second-supplier strategies to mitigate supply risks and to secure access to manufacturing innovation and competitive supply costs.</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For pivotal trial supply of ACT products, we plan on entering into one or more relationships with large CMOs with dedicated access to multiple cGMP suites and trained personnel, as well as into commercial supply agreements with raw material vendors.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For manufacturing and supply of TCR Bispecifics, we have contracted third party manufacturers and may enter into additional CMO relationships in the future.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w:t>
      </w:r>
    </w:p>
    <w:p>
      <w:pPr>
        <w:spacing w:after="0" w:line="12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as well as import and export of biological products. Some jurisdictions also regulate the pricing of medicinal products. The processes for obtaining marketing approvals in the United States and in foreign countries and jurisdictions, along with compliance with applicable statutes and regulations, require the expenditure of substantial time and financial resources.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Licensure and Regulation of Biologics in the United States</w:t>
      </w:r>
    </w:p>
    <w:p>
      <w:pPr>
        <w:spacing w:after="0" w:line="12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In the United States, biological products, including gene therapy products, are regulated under the Public Health Service Act (“PHSA”) and the Federal Food, Drug, and Cosmetic Act (“FDCA”), and their implementing regulations, as well as other federal, state and local statutes and regulations.</w:t>
      </w:r>
    </w:p>
    <w:p>
      <w:pPr>
        <w:spacing w:after="0" w:line="12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failure of an applicant to comply with the applicable regulatory requirements at any time during the product development process, including during testing, the approval process or post-approval process, may result in delays to the conduct of a study, regulatory review and approval, and/or administrative or judicial sanctions. Failure to comply with regulatory requirements may result in the FDA’s refusal to allow an applicant to proceed with clinical trials, refusal to approve pending applications, license suspension or revocation, withdrawal of an approval, warning letters, product recalls, product seizures, total or partial suspension of production or distribution, injunctions, fines, and civil or criminal investigations and penalties brought by the FDA or Department of Justice (“DOJ”), or other government entities, including state agencies.</w:t>
      </w:r>
    </w:p>
    <w:p>
      <w:pPr>
        <w:spacing w:after="0" w:line="17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An applicant seeking to market and distribute a new biologic in the United States generally must satisfactorily complete each of the following steps before the product candidate will be licensed by the FDA:</w:t>
      </w:r>
    </w:p>
    <w:p>
      <w:pPr>
        <w:spacing w:after="0" w:line="76" w:lineRule="exact"/>
        <w:rPr>
          <w:sz w:val="20"/>
          <w:szCs w:val="20"/>
          <w:color w:val="auto"/>
        </w:rPr>
      </w:pPr>
    </w:p>
    <w:p>
      <w:pPr>
        <w:ind w:left="1080" w:right="36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GLP regulations, as applicable;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approval by an institutional review board (“IRB”) representing each clinical site before each clinical trial may be initiated;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product candidate for each proposed indication, in accordance with current good clinical practices (“GCP”);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(“BLA”) for a biological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FDA acceptance and substantive review of the BLA;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satisfactory completion of any FDA audits of clinical trial sites to assure compliance with GCP and the integrity of clinical data in support of the BLA;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securing FDA approval of the BLA to allow marketing of the new biological product.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Preclinical Studies and Investigational New Drug Application</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Before an applicant begins testing a product candidate with potential therapeutic value in humans, the product candidate enters preclinical testing. Preclinical studies include studies to evaluate, among other things, the toxicity of the product candidate. The conduct of the preclinical tests must comply with federal regulations and requirements, as applicable, including GLP regulations. Some long-term preclinical testing, such as animal tests of reproductive adverse events and carcinogenicity, and long-term toxicity studies, may continue after the IND is submitted. Additional nonclinical tests are conducted and include laboratory evaluations of product chemistry, formulation, and stability.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 and IRB Processes</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BLA.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85"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Following commencement of a clinical trial,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60"/>
          </w:cols>
          <w:pgMar w:left="320" w:top="459"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A sponsor may choose, but is not required, to conduct a foreign clinical trial under an IND. When a foreign clinical trial is conducted under an IND, all FDA IND requirements must be met unless waived. When a foreign clinical trial is not conducted under an IND, the sponsor must ensure that the study complies with certain regulatory requirements of the FDA in order to use the study as support for an IND or application for marketing approval or licensing. In particular, such studies must be conducted in accordance with GCP, including review and approval by an independent ethics committee (“IEC”) and informed consent from subjects. The FDA must be able to validate the data through an onsite inspection, if deemed necessary by the FDA.</w:t>
      </w:r>
    </w:p>
    <w:p>
      <w:pPr>
        <w:spacing w:after="0" w:line="16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7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study.</w:t>
      </w:r>
    </w:p>
    <w:p>
      <w:pPr>
        <w:spacing w:after="0" w:line="184"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addition to the submission of an IND to the FDA before initiation of a clinical trial in the United States, certain human clinical trials involving recombinant or synthetic nucleic acid molecules had historically been subject to review by the Recombinant DNA Advisory Committee (“RAC”) of the National Institutes of Health (“NIH”), Office of Biotechnology Activities (“OBA”), pursuant to the NIH Guidelines for Research Involving Recombinant DNA Molecules (“NIH Guidelines”). On August 17, 2018, the NIH issued a notice in the Federal Register and issued a public statement proposing changes to the oversight framework for gene therapy trials, including changes to the applicable NIH Guidelines to modify the roles and responsibilities of the RAC with respect to human clinical trials of gene therapy products, and requesting public comment on its proposed modifications. During the public comment period, which closed October 16, 2018, the NIH announced that it will no longer accept new human gene transfer protocols for review as a part of the protocol registration process or convene the RAC to review individual clinical protocols. In April 2019, NIH announced the updated guidelines, which reflect these proposed changes, and clarified that these trials will remain subject to the FDA’s oversight and other clinical trial regulations, and oversight at the local level will continue as set forth in the NIH Guidelines.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being conducted at or sponsored by institutions receiving NIH funding of recombinant or synthetic nucleic acid molecule research, many companies and other institutions not otherwise subject to the NIH Guidelines voluntarily follow them.</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Information about clinical trials must be submitted within specific timeframes to the NIH for public dissemination on its ClinicalTrials.gov website.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Trials in Support of a BLA</w:t>
      </w:r>
    </w:p>
    <w:p>
      <w:pPr>
        <w:spacing w:after="0" w:line="121"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objectives of the study, inclusion and exclusion criteria, the parameters to be used in monitoring safety, and the effectiveness and safety criteria to be evaluated.</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licensing.</w:t>
      </w:r>
    </w:p>
    <w:p>
      <w:pPr>
        <w:spacing w:after="0" w:line="76" w:lineRule="exact"/>
        <w:rPr>
          <w:sz w:val="20"/>
          <w:szCs w:val="20"/>
          <w:color w:val="auto"/>
        </w:rPr>
      </w:pPr>
    </w:p>
    <w:p>
      <w:pPr>
        <w:ind w:left="1080" w:hanging="424"/>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Phase 1 clinical trials are initially conducted in a limited population to test the product candidate for safety, including adverse effects, dose tolerance, absorption, metabolism, distribution, excretion, and pharmacodynamics in healthy humans or in patients. During Phase 1 clinical trials, information about the investigational biological product’s pharmacokinetics and pharmacological effects may be obtained to permit the design of well-controlled and scientifically valid Phase 2 clinical trials.</w:t>
      </w:r>
    </w:p>
    <w:p>
      <w:pPr>
        <w:spacing w:after="0" w:line="92"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Phase 2 clinical trials are generally conducted in a limited patient population to identify possible adverse effects and safety risks, evaluate the efficacy of the product candidate for specific targeted indications, and determine dose tolerance and optimal dosage.</w:t>
      </w:r>
    </w:p>
    <w:p>
      <w:pPr>
        <w:spacing w:after="0" w:line="51" w:lineRule="exact"/>
        <w:rPr>
          <w:rFonts w:ascii="Arial" w:cs="Arial" w:eastAsia="Arial" w:hAnsi="Arial"/>
          <w:sz w:val="17"/>
          <w:szCs w:val="17"/>
          <w:color w:val="auto"/>
        </w:rPr>
      </w:pPr>
    </w:p>
    <w:p>
      <w:pPr>
        <w:jc w:val="both"/>
        <w:ind w:left="1080" w:right="340" w:hanging="424"/>
        <w:spacing w:after="0" w:line="311"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Phase 3 clinical trials are undertaken within an expanded patient population to further evaluate dosage, provide substantial evidence of clinical efficacy, and further test for safety. A well-controlled, statistically robust Phase 3 trial may be designed to deliver the data that regulatory authorities will use to decide whether or not to license, and, if licensed, how to appropriately label a biologic.</w:t>
      </w:r>
    </w:p>
    <w:p>
      <w:pPr>
        <w:spacing w:after="0" w:line="14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While the FDA requires in most cases two adequate and well-controlled pivotal clinical trials to demonstrate the efficacy of a product candidate, a single trial with strong confirmatory evidence may be sufficient in instances where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In rare cancer indications with very limited treatment options a large and/or controlled trial are often not feasible and thus data from smaller and even uncontrolled trials may be sufficient for regulatory approval.</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some cases, the FDA may approve a BLA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biologics licensed under Accelerated Approval regulations. Failure to exhibit due diligence with regard to conducting Phase 4 clinical trials could result in withdrawal of approval for products.</w:t>
      </w:r>
    </w:p>
    <w:p>
      <w:pPr>
        <w:spacing w:after="0" w:line="188"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 xml:space="preserve">Progress reports detailing the results of the clinical trials must be submitted at least annually to the FDA. In addition, IND safety reports must be submitted to the FDA for any of the following: serious and unexpected suspected adverse reactions; findings from other studies or animal or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testing that suggest a significant risk in humans exposed to the product; and any clinically important increase in the case of a serious suspected</w:t>
      </w:r>
      <w:r>
        <w:rPr>
          <w:rFonts w:ascii="Arial" w:cs="Arial" w:eastAsia="Arial" w:hAnsi="Arial"/>
          <w:sz w:val="18"/>
          <w:szCs w:val="18"/>
          <w:i w:val="1"/>
          <w:iCs w:val="1"/>
          <w:color w:val="auto"/>
        </w:rPr>
        <w:t xml:space="preserve"> </w:t>
      </w:r>
      <w:r>
        <w:rPr>
          <w:rFonts w:ascii="Arial" w:cs="Arial" w:eastAsia="Arial" w:hAnsi="Arial"/>
          <w:sz w:val="18"/>
          <w:szCs w:val="18"/>
          <w:color w:val="auto"/>
        </w:rPr>
        <w:t>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19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Clinical trials including the use of an investigational device sometimes require submission of an application for an Investigational Device Exemption (“IDE”), to the FDA. The IDE application must be supported by appropriate data, such as animal and laboratory testing results, showing that it is safe to test the device in humans and that the investigational protocol is scientifically sound. The IDE application must be approved in advance by the FDA, unless the product is deemed a non-significant risk device and eligible for more abbreviated IDE requirements. Clinical trials for a significant risk device may begin once the IDE application is approved by the FDA as well as the appropriate IRBs at the clinical trial sites, and the informed consent of the patients participating in the clinical trial is obtained.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Review and Approval of a BLA</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In order to obtain approval to market a biological product in the United States, a biologics license application must be submitted to the FDA that provides sufficient data establishing the safety, purity and potency of the proposed biological product for its intended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w:t>
      </w:r>
    </w:p>
    <w:p>
      <w:pPr>
        <w:spacing w:after="0" w:line="17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Under federal law, the submission of most BLAs is subject to an application user fee, which for federal fiscal year 2020 is $2,942,965 for an application requiring clinical data. The sponsor of an approved BLA is also subject to an annual program fee, which for fiscal year 2020 is $325,424. Certain exceptions and waivers are available for some of these fees, such as an exception from the application fee for products with orphan designation and a waiver for certain small businesses.</w:t>
      </w:r>
    </w:p>
    <w:p>
      <w:pPr>
        <w:spacing w:after="0" w:line="18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Following submission of a BLA, the FDA conducts a preliminary review of the application generally within 60 calendar days of its receipt and strives to inform the sponsor by the 74th day after the FDA’s receipt of the submission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the BLAs. Under that agreement, 90% of original BLA submissions are meant to be reviewed within ten months of the 60-day filing date, and 90% of original BLAs that have been designated for “priority review” are meant to be reviewed within six months of the 60-day filing date. The review process may be extended once per review cycle by the FDA for three additional months to consider new information or clarification provided by the applicant to address an outstanding deficiency identified by the FDA following the original submission.</w:t>
      </w:r>
    </w:p>
    <w:p>
      <w:pPr>
        <w:spacing w:after="0" w:line="18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Before approving an application, the FDA will typically audit the preclinical study and clinical trial sites that generated the data in support of the BLA. Additionally, the FDA typically will inspect the facility or facilities where the product is or will be manufactured. These pre-approval inspections may cover all facilities associated with a BLA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176"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As a condition of approval, the FDA may require an applicant to develop a Risk Evaluation Mitigation Strategy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15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FDA will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Fast Track, Breakthrough Therapy, Priority Review and Regenerative Advanced Therapy Designations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referred to as Fast Track designation, Breakthrough Therapy designation, Priority Review designation and Regenerative Advanced Therapy designation.</w:t>
      </w:r>
    </w:p>
    <w:p>
      <w:pPr>
        <w:spacing w:after="0" w:line="24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Specifically, the FDA may designate a product for Fast Track designation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65"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Third, the FDA may designate a product for Priority Review if it is a product that treats a serious condition and, if licensed,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95"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FDA can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Accelerated Approval Pathway</w:t>
      </w:r>
    </w:p>
    <w:p>
      <w:pPr>
        <w:spacing w:after="0" w:line="12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2"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 Thus,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9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licensed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initiate expedited proceedings to withdraw approval of the product. All promotional materials for product candidates licensed under accelerated regulations are subject to prior review by the FDA.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FDA’s Decision on a BLA</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those deficiencies have been addressed to the FDA’s satisfaction in a resubmission of the BLA,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licensing.</w:t>
      </w:r>
    </w:p>
    <w:p>
      <w:pPr>
        <w:spacing w:after="0" w:line="177" w:lineRule="exact"/>
        <w:rPr>
          <w:sz w:val="20"/>
          <w:szCs w:val="20"/>
          <w:color w:val="auto"/>
        </w:rPr>
      </w:pPr>
    </w:p>
    <w:p>
      <w:pPr>
        <w:ind w:left="120" w:right="180"/>
        <w:spacing w:after="0" w:line="271" w:lineRule="auto"/>
        <w:rPr>
          <w:sz w:val="20"/>
          <w:szCs w:val="20"/>
          <w:color w:val="auto"/>
        </w:rPr>
      </w:pPr>
      <w:r>
        <w:rPr>
          <w:rFonts w:ascii="Arial" w:cs="Arial" w:eastAsia="Arial" w:hAnsi="Arial"/>
          <w:sz w:val="17"/>
          <w:szCs w:val="17"/>
          <w:color w:val="auto"/>
        </w:rPr>
        <w:t>If the FDA licenses a new product, it may limit the licensed indications for use of the product.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 care professionals, and elements to assure safe use (“ETASU”). ETASU can include, but are not limited to, special training or certification for prescribing or dispensing, dispensing only under certain circumstances, special monitoring and the use of patient registries. The FDA may prevent or limit further marketing of a product based on the results of post-market studies or surveillance programs. After licensing, many types of changes to the licensed product, such as adding new indications, manufacturing changes and additional labeling claims, are subject to further testing requirements and FDA review and approval.</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Post-Licensing Regulation</w:t>
      </w:r>
    </w:p>
    <w:p>
      <w:pPr>
        <w:spacing w:after="0" w:line="12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If regulatory licensing for marketing of a product or new indication for an existing product is obtained, the sponsor will be required to comply with all regular post-licensing regulatory requirements as well as any post-licensing requirements that the FDA may have imposed as part of the licensing process. The sponsor will be required to report, among other things, certain adverse reactions and manufacturing problems to the FDA, provide updated safety and potency or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processes are strictly regulated and often require prior FDA approval before being implemented. Accordingly, the sponsor and its third-party manufacturers must continue to expend time, money, and effort in the areas of production and quality control to maintain compliance with cGMP regulations and other regulatory requirements.</w:t>
      </w:r>
    </w:p>
    <w:p>
      <w:pPr>
        <w:spacing w:after="0" w:line="16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part of the manufacturing process, the manufacturer is required to perform certain tests on each lot of the product before it is released for distribution. After a BLA is approved for a biological product, the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In addition, the FDA conducts laboratory research related to the regulatory standards on the safety, purity, potency, and effectiveness of biological products.</w:t>
      </w:r>
    </w:p>
    <w:p>
      <w:pPr>
        <w:spacing w:after="0" w:line="19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Once a license is granted, the FDA may suspend or revoke the license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93"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fines, warning letters, or holds on post-licensing clinical trials;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licensed applications, or suspension or revocation of product licenses;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After licensing, a drug product generally may not be promoted for uses that are not licensed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conditions, for a manufacturer to engage in nonpromotional, non-misleading communication regarding off-label information, such as distributing scientific or medical journal information.</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78"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(“PDMA”) and its implementing regulations, as well as the Drug Supply Chain Security Act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Pediatric Studies and Exclusivity</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Under the Pediatric Research Equity Act, a BLA or supplement thereto for a biological product with a new active ingredient, indication, dosage form, dosing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66"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For products intended to treat a serious or life-threatening disease or condition, the FDA must, upon the request of an applicant, meet to discuss preparation of the initial pediatric study plan or to discuss deferral or waiver of pediatric assessments. In addition, FDA will meet early in the development process to discuss pediatric study plans with sponsors and FDA must meet with sponsors by no later than the end-of-Phase 1 meeting for serious or life-threatening diseases and by no later than ninety (90) days after FDA’s receipt of the study plan.</w:t>
      </w:r>
    </w:p>
    <w:p>
      <w:pPr>
        <w:spacing w:after="0" w:line="17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licensing of the product for use in adults, or full or partial waivers from the pediatric data requirements. Generally, the pediatric data requirements do not apply to products with orphan designation.</w:t>
      </w:r>
    </w:p>
    <w:p>
      <w:pPr>
        <w:spacing w:after="0" w:line="184"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FDA Reauthorization Act of 2017 established new requirements to govern certain molecularly targeted cancer indications. Any company that submits a BLA three years after the date of enactment of that statute must submit pediatric assessments with the BLA if the biologic is intended for the treatment of an adult cancer and is directed at a molecular target that FDA determines to be substantially relevant to the growth or progression of a pediatric cancer. The investigation must be designed to yield clinically meaningful pediatric study data regarding the dosing, safety and preliminary potency to inform pediatric labeling for the product. Deferrals and waivers as described above are also available.</w:t>
      </w:r>
    </w:p>
    <w:p>
      <w:pPr>
        <w:spacing w:after="0" w:line="17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Pediatric exclusivity is another type of non-patent marketing exclusivity in the United States and, if granted, provides for the attachment of an additional six months of marketing protection to the term of any existing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license another application.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Orphan Drug Designations and Exclusivity</w:t>
      </w:r>
    </w:p>
    <w:p>
      <w:pPr>
        <w:spacing w:after="0" w:line="121"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color w:val="auto"/>
        </w:rPr>
        <w:t>Under the Orphan Drug Act, the FDA may designate a biological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disease or condition will be recovered from sales of the product. A company must seek orphan drug designation before submitting a BLA for the candidate product. If the request is granted, the FDA will disclose the identity of the therapeutic agent and its potential use. Orphan drug designation does not shorten the PDUFA goal dates for the regulatory review and licensing process, although it does convey certain advantages such as tax benefits and exemption from the PDUFA application fee.</w:t>
      </w:r>
    </w:p>
    <w:p>
      <w:pPr>
        <w:spacing w:after="0" w:line="16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license another sponsor’s marketing application for the same drug for the same condition for seven years, except in certain limited circumstances. Orphan exclusivity does not block the licensing of a different product for the same rare disease or condition, nor does it block the licensing of the same product for different conditions. If a biologic designated as an orphan drug ultimately receives marketing licensing for an indication broader than what was designated in its orphan drug application, it may not be entitled to exclusivity.</w:t>
      </w:r>
    </w:p>
    <w:p>
      <w:pPr>
        <w:spacing w:after="0" w:line="16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Orphan drug exclusivity will not bar licensing of another product under certain circumstances, including if a subsequent product with the same biologic for the same condition is shown to be clinically superior to the licensed product on the basis of greater effectiveness, safety in a substantial portion of the target populations, or providing a major contribution to patient care, or if the company with orphan drug exclusivity is not able to meet market demand.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Biosimilars and Exclusivity</w:t>
      </w:r>
    </w:p>
    <w:p>
      <w:pPr>
        <w:spacing w:after="0" w:line="121" w:lineRule="exact"/>
        <w:rPr>
          <w:sz w:val="20"/>
          <w:szCs w:val="20"/>
          <w:color w:val="auto"/>
        </w:rPr>
      </w:pPr>
    </w:p>
    <w:p>
      <w:pPr>
        <w:jc w:val="both"/>
        <w:ind w:left="120" w:right="460"/>
        <w:spacing w:after="0" w:line="259" w:lineRule="auto"/>
        <w:rPr>
          <w:sz w:val="20"/>
          <w:szCs w:val="20"/>
          <w:color w:val="auto"/>
        </w:rPr>
      </w:pPr>
      <w:r>
        <w:rPr>
          <w:rFonts w:ascii="Arial" w:cs="Arial" w:eastAsia="Arial" w:hAnsi="Arial"/>
          <w:sz w:val="18"/>
          <w:szCs w:val="18"/>
          <w:color w:val="auto"/>
        </w:rPr>
        <w:t>The 2010 Patient Protection and Affordable Care Act, which was signed into law on March 23, 2010, included a subtitle called the Biologics Price Competition and Innovation Act of 2009 (“BPCIA”). The BPCIA established a regulatory scheme authorizing the FDA to license biosimilars and interchangeable biosimilars. The FDA has licensed several biosimilar products for use in the United States. The FDA has issued several guidance documents outlining an approach to review and licensing of biosimilars.</w:t>
      </w:r>
    </w:p>
    <w:p>
      <w:pPr>
        <w:spacing w:after="0" w:line="18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Under the BPCIA, a manufacturer may submit an application for licensure of a biological product that is “biosimilar to” or “interchangeable with” a previously licensed biological product or “reference product.” In order for the FDA to license a biosimilar product, it must find, among other things, that the product is “highly similar” to the reference product notwithstanding minor differences in clinically inactive components and that there are no clinically meaningful differences between the reference product and proposed biosimilar product in terms of safety, purity, and potency. For the FDA to license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potency relative to exclusive use of the reference biologic.</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Under the BPCIA, an application for a biosimilar or interchangeable biological product may not be submitted to the FDA until four years following the date of licensing of the reference product. The FDA may not license a biosimilar or interchangeable biological product until 12 years from the date on which the reference product was licensed. Even if a product is considered to be a reference product eligible for exclusivity, another company could market a competing version of that product if the FDA licenses a full BLA for such product containing the sponsor’s own preclinical data and data from adequate and well-controlled clinical trials to demonstrate the safety, purity, and potency of their product. The BPCIA also created certain exclusivity periods for biosimilars licensed as interchangeable products. At this juncture, it is unclear whether products deemed “interchangeable” by the FDA will, in fact, be readily substituted by pharmacies, which are governed by state pharmacy law.</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 Term Restoration and Extension</w:t>
      </w:r>
    </w:p>
    <w:p>
      <w:pPr>
        <w:spacing w:after="0" w:line="121" w:lineRule="exact"/>
        <w:rPr>
          <w:sz w:val="20"/>
          <w:szCs w:val="20"/>
          <w:color w:val="auto"/>
        </w:rPr>
      </w:pPr>
    </w:p>
    <w:p>
      <w:pPr>
        <w:ind w:left="120" w:right="220"/>
        <w:spacing w:after="0" w:line="270" w:lineRule="auto"/>
        <w:rPr>
          <w:sz w:val="20"/>
          <w:szCs w:val="20"/>
          <w:color w:val="auto"/>
        </w:rPr>
      </w:pPr>
      <w:r>
        <w:rPr>
          <w:rFonts w:ascii="Arial" w:cs="Arial" w:eastAsia="Arial" w:hAnsi="Arial"/>
          <w:sz w:val="17"/>
          <w:szCs w:val="17"/>
          <w:color w:val="auto"/>
        </w:rPr>
        <w:t>A patent claiming a new biological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an IND and the submission date of a marketing application (such as a BLA), plus the time between the submission date of a marketing application and the ultimate licensing date. Patent term restoration cannot be used to extend the remaining term of a patent past a total of 14 years from the product’s licensing date. Only one patent applicable to a licensed product is eligible for the extension, and the application for the extension must be submitted prior to the expiration of the patent in question and within 60 days after approval of the relevant marketing application. A patent that covers multiple products for which licensing is sought can only be extended in connection with one of the licenses. The USPTO reviews and licenses the application for any patent term extension or restoration in consultation with the FDA.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of Companion Diagnostics</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success of certain of our product candidates may depend, in part, on the development and commercialization of a companion diagnostic. 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premarket notification, also called 510(k) clearance, and approval of a premarket approval (“PMA”).</w:t>
      </w:r>
    </w:p>
    <w:p>
      <w:pPr>
        <w:spacing w:after="0" w:line="18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In making a determination that the device is substantially equivalent to a predicate device, the FDA compares the proposed device to the predicate device or predicate devices and assesses whether the subject device is comparable to the predicate device or predicate devices with respect to intended use, technology, design and other features which could affect safety and effectiveness. If the FDA determines that the subject device is substantially equivalent to the predicate device or predicate devices, the subject device may be cleared for marketing.</w:t>
      </w:r>
    </w:p>
    <w:p>
      <w:pPr>
        <w:spacing w:after="0" w:line="17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PMA applications must be supported by valid scientific evidence, which typically requires extensive data, including technical, preclinical, clinical and manufacturing data, to demonstrate to the FDA’s satisfaction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(“QSR”), which requires manufacturers to follow design, testing, control, documentation and other quality assurance procedures.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18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On July 31, 2014, the FDA issued a final guidance document addressing the development and approval process for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Devices.” According to the guidance document, for novel therapeutic products that depend on the use of a diagnostic test and where the diagnostic device could be essential for the safe and effective use of the corresponding therapeutic product, the premarket application for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in July 2016 setting forth the principles for co-development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with a therapeutic product. The draft guidance describes principles to guide the development and contemporaneous marketing authorization for the therapeutic product and its corresponding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w:t>
      </w:r>
    </w:p>
    <w:p>
      <w:pPr>
        <w:spacing w:after="0" w:line="181"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Once cleared or approved, the companion diagnostic device must adhere to post-marketing requirements including the requirements of FDA’s quality system regulation, adverse event reporting, recalls and corrections along with product marketing requirements and limitations. Like drug and biologic makers, companion diagnostic makers are subject to unannounced FDA inspections at any time during which the FDA will conduct an audit of the product(s) and the company’s facilities for compliance with its authorities.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Healthcare Law and Regulation</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biological products that are granted marketing licensing.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77" w:lineRule="exact"/>
        <w:rPr>
          <w:sz w:val="20"/>
          <w:szCs w:val="20"/>
          <w:color w:val="auto"/>
        </w:rPr>
      </w:pPr>
    </w:p>
    <w:p>
      <w:pPr>
        <w:ind w:left="1080" w:right="46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29" w:lineRule="exact"/>
        <w:rPr>
          <w:rFonts w:ascii="Arial" w:cs="Arial" w:eastAsia="Arial" w:hAnsi="Arial"/>
          <w:sz w:val="16"/>
          <w:szCs w:val="16"/>
          <w:color w:val="auto"/>
        </w:rPr>
      </w:pPr>
    </w:p>
    <w:p>
      <w:pPr>
        <w:ind w:left="1080" w:right="60" w:hanging="424"/>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89" w:lineRule="exact"/>
        <w:rPr>
          <w:rFonts w:ascii="Arial" w:cs="Arial" w:eastAsia="Arial" w:hAnsi="Arial"/>
          <w:sz w:val="18"/>
          <w:szCs w:val="18"/>
          <w:color w:val="auto"/>
        </w:rPr>
      </w:pPr>
    </w:p>
    <w:p>
      <w:pPr>
        <w:ind w:left="1080" w:right="420" w:hanging="424"/>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which impose obligations, including mandatory contractual terms, with respect to safeguarding the privacy, security and transmission of individually identifiable health information;</w:t>
      </w:r>
    </w:p>
    <w:p>
      <w:pPr>
        <w:spacing w:after="0" w:line="89"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51" w:lineRule="exact"/>
        <w:rPr>
          <w:rFonts w:ascii="Arial" w:cs="Arial" w:eastAsia="Arial" w:hAnsi="Arial"/>
          <w:sz w:val="17"/>
          <w:szCs w:val="17"/>
          <w:color w:val="auto"/>
        </w:rPr>
      </w:pPr>
    </w:p>
    <w:p>
      <w:pPr>
        <w:ind w:left="1080" w:right="100" w:hanging="424"/>
        <w:spacing w:after="0" w:line="296"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2010 Patient Protection and Affordable Care Act, as amended by the Health Care Education Reconciliation Act (the ACA), which requires certain manufacturers of drugs, devices, biologics and medical supplies to report annually to the Centers for Medicare &amp; Medicaid Services (“CMS”) within HHS, information related to payments and other transfers of value made by that entity to physicians (as defined by the statute) and teaching hospitals, as well as ownership and investment interests held by physicians and their immediate family members; and</w:t>
      </w:r>
    </w:p>
    <w:p>
      <w:pPr>
        <w:spacing w:after="0" w:line="66"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Pharmaceutical Insurance Coverage and Health Care Reform</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licensed by the FDA and other government authorities. Thus, even if a product candidate is licensed,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licensed. Third-party payors are increasingly challenging the prices charged, examining the medical necessity and reviewing the cost-effectiveness of medical products and services and imposing controls to manage costs. Third-party payors may limit coverage to specific products on a licensed list, also known as a formulary, which might not include all of the licensed products for a particular indication.</w:t>
      </w:r>
    </w:p>
    <w:p>
      <w:pPr>
        <w:spacing w:after="0" w:line="18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order to secure coverage and reimbursement for any product that might be licensed for sale, a company may need to conduct expensive pharmacoeconomic studies in order to demonstrate the medical necessity and cost-effectiveness of the product, in addition to the costs required to obtain FDA or other comparable marketing licenses. Nonetheless, product candidates may not be considered medically necessary or cost effective. A decision by a third-party payor not to cover a product could reduce physician utilization once the product is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licensed and have a material adverse effect on sales, results of operations and financial condition. Additionally, a payor’s decision to provide coverage for a product does not imply that an adequate reimbursement rate will be licensed.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8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licensed products. Coverage policies and third-party reimbursement rates may change at any time. Even if favorable coverage and reimbursement status is attained for one or more products for which a company or its collaborators receive marketing licenses, less favorable coverage policies and reimbursement rates may be implemented in the future.</w:t>
      </w:r>
    </w:p>
    <w:p>
      <w:pPr>
        <w:spacing w:after="0" w:line="19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March 2010, Congress passed the ACA, a sweeping law intended to broaden access to health insurance, reduce or constrain the growth of health spending, enhance remedies against fraud and abuse, add new transparency requirements for the healthcare and health insurance industries, impose new taxes and fees on the health industry, and impose additional policy reforms. The ACA, for example, contains provisions that subject products to potential competition by lower-cost products and may reduce the profitability of products through increased rebates for drugs reimbursed by Medicaid programs; address a new methodology by which rebates owed by manufacturers under the Medicaid Drug Rebate Program are calculated for drugs that are inhaled, infused, instilled, implanted or injected, increase the minimum Medicaid rebates owed by manufacturers under the Medicaid Drug Rebate Program and extends the rebate program to individuals enrolled in Medicaid managed care organizations; establish annual fees and taxes on manufacturers of certain branded prescription drugs; and create a new Medicare Part D coverage gap discount program, in which manufacturers must agree to offer 70% (increased pursuant to the Bipartisan Budget Act of 2018 (“BBA”),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Since its enactment, there have been judicial, administrative, executive and Congressional legislative challenges to certain aspects of the ACA, and we expect there will be additional challenges and amendments to the ACA in the future. For example, various portions of the ACA are currently undergoing constitutional challenges in the United States Supreme Court, the current Administration has issued various Executive Orders eliminating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It is unclear whether the ACA will be overturned, repealed, replaced, or further amended, and we cannot predict what affect further changes to the ACA would have on our business.</w:t>
      </w:r>
    </w:p>
    <w:p>
      <w:pPr>
        <w:spacing w:after="0" w:line="177"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Other legislative changes have been proposed and adopted since the ACA was enacted. These changes include the Budget Control Act of 2011, which, among other things, led to aggregate reductions to Medicare payments to providers of up to 2% per fiscal year that started in 2013 and will stay in effect through 2029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licensing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for any licensed product and/or the level of reimbursement physicians receive for administering any licensed product. Reductions in reimbursement levels may negatively impact the prices or the frequency with which products are prescribed or administered. Any reduction in reimbursement from Medicare or other government programs may result in a similar reduction in payments from private payors.</w:t>
      </w:r>
    </w:p>
    <w:p>
      <w:pPr>
        <w:spacing w:after="0" w:line="17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 candidates, once licensed, or put pressure on our product pricing.</w:t>
      </w:r>
    </w:p>
    <w:p>
      <w:pPr>
        <w:spacing w:after="0" w:line="18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In addition, on May 11, 2018, the current U.S. presidential administration (the “</w:t>
      </w:r>
      <w:r>
        <w:rPr>
          <w:rFonts w:ascii="Arial" w:cs="Arial" w:eastAsia="Arial" w:hAnsi="Arial"/>
          <w:sz w:val="16"/>
          <w:szCs w:val="16"/>
          <w:i w:val="1"/>
          <w:iCs w:val="1"/>
          <w:color w:val="auto"/>
        </w:rPr>
        <w:t>Administration</w:t>
      </w:r>
      <w:r>
        <w:rPr>
          <w:rFonts w:ascii="Arial" w:cs="Arial" w:eastAsia="Arial" w:hAnsi="Arial"/>
          <w:sz w:val="16"/>
          <w:szCs w:val="16"/>
          <w:color w:val="auto"/>
        </w:rPr>
        <w:t>”) issued a plan to lower drug prices. Under this blueprint for action, the Administration indicated that HHS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w:t>
      </w:r>
    </w:p>
    <w:p>
      <w:pPr>
        <w:spacing w:after="0" w:line="16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 candidates, once licensed, or put pressure on our product pricing.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Review and Approval of Medicinal Products in the EU</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licensing for a product, an applicant will need to obtain the necessary approvals by the comparable non-U.S. regulatory authorities before it can commence clinical trials or marketing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of the product in those countries or jurisdictions. Specifically, the process governing approval of medicinal products in the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Trial Approval in the EU</w:t>
      </w:r>
    </w:p>
    <w:p>
      <w:pPr>
        <w:spacing w:after="0" w:line="12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Clinical Trials Directive 2001/20/EC, the Directive 2005/28/EC on GCP and the related national implementing provisions of the individual EU Member States govern the system for the approval of clinical trials in the EU.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95"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In April 2014, the EU adopted a new Clinical Trials Regulation (EU) No 536/2014, which is set to replace the current Clinical Trials Directive 2001/20/EC. It is expected that the new Clinical Trials Regulation (EU) No 536/2014 will apply following confirmation of full functionality of the Clinical Trials Information System (“CTIS”), the centralized EU portal and database for clinical trials foreseen by the regulation, through an independent audit. The regulation becomes applicable six months after the European Commission publishes notice of this confirmation. It will overhaul the current system of approvals for clinical studies in the EU. Specifically, the new regulation, which will be directly applicable in all member states, aims at simplifying and streamlining the approval of clinical studies in the EU. For instance, the new Clinical Trials Regulation provides for a streamlined application procedure via a single point and strictly defined deadlines for the assessment of clinical study applications.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PRIME Designation in the EU</w:t>
      </w:r>
    </w:p>
    <w:p>
      <w:pPr>
        <w:spacing w:after="0" w:line="121" w:lineRule="exact"/>
        <w:rPr>
          <w:sz w:val="20"/>
          <w:szCs w:val="20"/>
          <w:color w:val="auto"/>
        </w:rPr>
      </w:pPr>
    </w:p>
    <w:p>
      <w:pPr>
        <w:jc w:val="both"/>
        <w:ind w:left="120" w:right="180"/>
        <w:spacing w:after="0" w:line="287" w:lineRule="auto"/>
        <w:rPr>
          <w:sz w:val="20"/>
          <w:szCs w:val="20"/>
          <w:color w:val="auto"/>
        </w:rPr>
      </w:pPr>
      <w:r>
        <w:rPr>
          <w:rFonts w:ascii="Arial" w:cs="Arial" w:eastAsia="Arial" w:hAnsi="Arial"/>
          <w:sz w:val="16"/>
          <w:szCs w:val="16"/>
          <w:color w:val="auto"/>
        </w:rPr>
        <w:t>In March 2016, the European Medicines Agency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w:t>
      </w:r>
    </w:p>
    <w:p>
      <w:pPr>
        <w:spacing w:after="0" w:line="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Products from small- and medium-sized enterprises may qualify for earlier entry into the PRIME scheme than products from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Committee for Human Medicinal Products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Authorization in the EU</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To obtain a marketing authorization for a product under EU regulatory systems,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 Regulation</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(EC) No. 1901/2006 provides that prior to obtaining a marketing authorization in the EU, applicants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w:t>
      </w:r>
    </w:p>
    <w:p>
      <w:pPr>
        <w:spacing w:after="0" w:line="184"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across the European Economic Area. Pursuant to Regulation (EC) No. 726/2004, the centralized procedure is compulsory for specific products, including for medicines produced by certain biotechnological processes, products designated as orphan medicinal products, ATMPs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The centralized procedure may at the request of the applicant also be used in certain other cases. We anticipate that the centralized procedure will be mandatory for the product candidates we are developing.</w:t>
      </w:r>
    </w:p>
    <w:p>
      <w:pPr>
        <w:spacing w:after="0" w:line="177"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Under the centralized procedure, the CHMP is also responsible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and under PRIME designation,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w:t>
      </w:r>
    </w:p>
    <w:p>
      <w:pPr>
        <w:spacing w:after="0" w:line="3" w:lineRule="exact"/>
        <w:rPr>
          <w:sz w:val="20"/>
          <w:szCs w:val="20"/>
          <w:color w:val="auto"/>
        </w:rPr>
      </w:pPr>
    </w:p>
    <w:p>
      <w:pPr>
        <w:ind w:left="120" w:right="160"/>
        <w:spacing w:after="0" w:line="290" w:lineRule="auto"/>
        <w:rPr>
          <w:sz w:val="20"/>
          <w:szCs w:val="20"/>
          <w:color w:val="auto"/>
        </w:rPr>
      </w:pPr>
      <w:r>
        <w:rPr>
          <w:rFonts w:ascii="Arial" w:cs="Arial" w:eastAsia="Arial" w:hAnsi="Arial"/>
          <w:sz w:val="17"/>
          <w:szCs w:val="17"/>
          <w:color w:val="auto"/>
        </w:rPr>
        <w:t>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6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83" w:lineRule="exact"/>
        <w:rPr>
          <w:sz w:val="20"/>
          <w:szCs w:val="20"/>
          <w:color w:val="auto"/>
        </w:rPr>
      </w:pPr>
    </w:p>
    <w:p>
      <w:pPr>
        <w:ind w:left="10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51"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9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applicant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68"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 candidates we have in development do not make use of embryonic stem cells, it is possible that the national laws in certain EU Member States may prohibit or restrict us from commercializing our product candidates, even if they have been granted an EU marketing authorization.</w:t>
      </w:r>
    </w:p>
    <w:p>
      <w:pPr>
        <w:spacing w:after="0" w:line="157"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66"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Data Protection in the EU</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the entitlement for medicinal products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authorized in accordance with the centralized authorization procedure. Data exclusivity prevents applicants for authorization of generics of these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innovative products from referencing the innovator’s data to assess a generic (abridged) application for a period of eight years. During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two-year period of market exclusivity, a generic marketing authorization application can be submitted and authorized, and the innovator’s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data may be referenced, but no generic medicinal product can be placed on the EU market until the expiration of the market exclusivity.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overall ten-year period will be extended to a maximum of 11 years if, during the first eight years of those ten years, the marketing authorization holder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obtains an authorization for one or more new therapeutic indications which, during the scientific evaluation prior to their authorization, are held to bring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significant clinical benefit in comparison with existing therapies. Even if a compound is considered to be a new chemical entity so that the innovator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gains the prescribed period of data exclusivity, another company may market another version of the product if such company obtained marketing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authorization based on an MAA with a complete independent data package of pharmaceutical tests, non-clinical tests and clinical trials.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Periods of Authorization and Renewals</w:t>
      </w:r>
    </w:p>
    <w:p>
      <w:pPr>
        <w:spacing w:after="0" w:line="12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w:t>
      </w:r>
    </w:p>
    <w:p>
      <w:pPr>
        <w:spacing w:after="0" w:line="15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Orphan Drug Designation and Exclusivity</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77"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Requirements after a Marketing Authorization has been Obtained</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76" w:lineRule="exact"/>
        <w:rPr>
          <w:sz w:val="20"/>
          <w:szCs w:val="20"/>
          <w:color w:val="auto"/>
        </w:rPr>
      </w:pPr>
    </w:p>
    <w:p>
      <w:pPr>
        <w:ind w:left="1080" w:right="34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compliance with the European Union’s stringent pharmacovigilance or safety reporting rules must be ensured. These rules can impose post-authorization studies and additional monitoring obligations;</w:t>
      </w:r>
    </w:p>
    <w:p>
      <w:pPr>
        <w:spacing w:after="0" w:line="75" w:lineRule="exact"/>
        <w:rPr>
          <w:rFonts w:ascii="Arial" w:cs="Arial" w:eastAsia="Arial" w:hAnsi="Arial"/>
          <w:sz w:val="18"/>
          <w:szCs w:val="18"/>
          <w:color w:val="auto"/>
        </w:rPr>
      </w:pPr>
    </w:p>
    <w:p>
      <w:pPr>
        <w:ind w:left="1080" w:right="40" w:hanging="424"/>
        <w:spacing w:after="0" w:line="255"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 and</w:t>
      </w:r>
    </w:p>
    <w:p>
      <w:pPr>
        <w:spacing w:after="0" w:line="97" w:lineRule="exact"/>
        <w:rPr>
          <w:rFonts w:ascii="Arial" w:cs="Arial" w:eastAsia="Arial" w:hAnsi="Arial"/>
          <w:sz w:val="18"/>
          <w:szCs w:val="18"/>
          <w:color w:val="auto"/>
        </w:rPr>
      </w:pPr>
    </w:p>
    <w:p>
      <w:pPr>
        <w:ind w:left="1080" w:right="20" w:hanging="424"/>
        <w:spacing w:after="0" w:line="311"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EU Member State laws. Direct-to-consumer advertising of prescription medicines is prohibited across the EU.</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Brexit and the Regulatory Framework in the United Kingdom</w:t>
      </w:r>
    </w:p>
    <w:p>
      <w:pPr>
        <w:spacing w:after="0" w:line="121"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On June 23, 2016, the electorate in the United Kingdom voted in favor of leaving the EU (commonly referred to as “Brexit”). Thereafter, on March 29, 2017, the country formally notified the EU of its intention to withdraw pursuant to Article 50 of the Lisbon Treaty. The United Kingdom formally left the EU on January 31, 2020. A transition period began on February 1, 2020, during which EU pharmaceutical law remains applicable to the United Kingdom. This transition period is due to end on December 31, 2020.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Decisions for Approved Products in the EU</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Member States to restrict the range of products for which their national health insurance systems provide reimbursement and to control the prices of medicinal products for human use.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Member States, and parallel trade, or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9"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As of January 27, 2020, Immatics OpCo has three locations in Germany. The corporate headquarters are located at Paul-Ehrlich-Straße 15 in 72076 Tübingen. It comprises approximately 1,600 square meters of office space as well as research and laboratory space. It houses Operations, Immunology, TCR Discovery and Validation, TCR Engineering &amp; Bispecifics, Immunomonitoring, Discovery, Companion Diagnostics and CMC.</w:t>
      </w:r>
    </w:p>
    <w:p>
      <w:pPr>
        <w:spacing w:after="0" w:line="14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Our operations facility is approximately 700 square meters and is located at Aischbachstraße 1 in 72070 Tübingen. It houses Operations, HR, IT, Finance, Translational Development, Regulatory Affairs and Clinical Development.</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Our third facility is approximately 380 square meters and is located in Machtlfinger Straße 11 in 81379 Munich. It houses Intellectual Property, IT, Communications and Business Development.</w:t>
      </w:r>
    </w:p>
    <w:p>
      <w:pPr>
        <w:spacing w:after="0" w:line="170"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Immatics US has two locations, the corporate headquarters, which is a direct lease, and the research and laboratory facility, which is subleased from University of Texas MD Anderson Cancer Center. The corporate headquarters is a 6,690 square foot facility located at 2201 West Holcombe, Houston, TX 77030, and houses Operations, Human Resources, Finance, Clinical Operations, Regulatory, Bioinformatics and Program Management.</w:t>
      </w:r>
    </w:p>
    <w:p>
      <w:pPr>
        <w:spacing w:after="0" w:line="149" w:lineRule="exact"/>
        <w:rPr>
          <w:sz w:val="20"/>
          <w:szCs w:val="20"/>
          <w:color w:val="auto"/>
        </w:rPr>
      </w:pPr>
    </w:p>
    <w:p>
      <w:pPr>
        <w:jc w:val="both"/>
        <w:ind w:left="120" w:right="280"/>
        <w:spacing w:after="0" w:line="286" w:lineRule="auto"/>
        <w:rPr>
          <w:sz w:val="20"/>
          <w:szCs w:val="20"/>
          <w:color w:val="auto"/>
        </w:rPr>
      </w:pPr>
      <w:r>
        <w:rPr>
          <w:rFonts w:ascii="Arial" w:cs="Arial" w:eastAsia="Arial" w:hAnsi="Arial"/>
          <w:sz w:val="17"/>
          <w:szCs w:val="17"/>
          <w:color w:val="auto"/>
        </w:rPr>
        <w:t>The research and laboratory facility is is a 15,694 square foot facility located in the Life Science Plaza building at 2130 West Holcombe, Suite 1100, Houston, Texas 77030. The research and laboratory facility is comprised primarily of laboratory space, with limited office seating that houses CMC, Immunology, Biomarkers, Quality Assurance and Quality Control. Our sublease on the space will expire in August 2023.</w:t>
      </w:r>
    </w:p>
    <w:p>
      <w:pPr>
        <w:spacing w:after="0" w:line="16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 cell products are manufactured by our at the UTHealth Evelyn H. Griffin Stem Cell Therapeutics Research Laboratory in a 1,850 square foot state-of-the-art cGMP facility exclusively used by us in Houston, Texas.</w:t>
      </w:r>
    </w:p>
    <w:p>
      <w:pPr>
        <w:spacing w:after="0" w:line="170"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We believe that our office, research and laboratory facilities in Germany and the United States are sufficient to meet our current needs. However, in anticipation of future demand, we are negotiating for a new lease for a larger office facility and also pursuing options for a laboratory facility at both locations.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As of July 31, 2020, Immatics US employed 71 full-time employees of which 22 hold doctorate degrees and 2 have the credentials of M.D. Of these employees, 46 are employed in positions relating to research and development (including CMC, Target-based Biomarkers, Immunology and Quality Assurance and Control, and Bioinformatics), 14 are employed in positions relating to Clinical Operations/Development, Regulatory and Program Management, 8 are employed in administrative functions (including Finance, IT, Operations and Human Resources), and 3 were employed in senior management positions.</w:t>
      </w:r>
    </w:p>
    <w:p>
      <w:pPr>
        <w:spacing w:after="0" w:line="18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As of July 31, 2020, Immatics OpCo has a headcount of 156 employees and 134 full-time equivalent employees. 59 of these employees hold a doctorate degree. 109 are full-time employed. Of these 156 employees, 107 are employed in positions relating to research and development positions (including Immunology, Discovery, Companion Diagnostics, CMC, Translational Development), 6 are employed in Clinical Development, 2 are employed in Regulatory Affairs, 2 are employed in Business Development, 4 are employed in Intellectual Property and 30 are employed in Administrative Functions (including Finance, IT, Operations, Quality Management, human resources, Communications and Facility) and 5 in senior management positions.</w:t>
      </w:r>
    </w:p>
    <w:p>
      <w:pPr>
        <w:spacing w:after="0" w:line="16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have never had a work stoppage and is not covered under any collective bargaining agreements nor are any of our employees represented by a labor union. We believe we have good employee relations.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July 2020, there are no ongoing material legal proceedings.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9"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Immatics OpCo’s consolidated financial statements and the related notes thereto and the unaudited pro forma condensed combined financial information included elsewhere in this prospectus. The following discussion is based on the financial information of Immatics OpCo prepared in accordance with IFRS, which may differ in material respects from generally accepted accounting principles in other jurisdictions, including U.S. GAAP.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section titled “Risk Factors” for a discussion of important factors that could cause actual results to differ materially from the results described in or implied by the forward-looking statements contained in the following discussion and analysis.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Impact of the COVID-19 Pandemic</w:t>
      </w:r>
    </w:p>
    <w:p>
      <w:pPr>
        <w:spacing w:after="0" w:line="11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Management is monitoring the global outbreak and spread of the novel strain of coronavirus (“COVID-19”) and has taken steps to identify and mitigate the adverse effects and risks to our company as a result of the pandemic. As a result, we have modified our business practices, including implementing work from home arrangements for employees able to perform their duties remotely, restricting nonessential travel, and practicing safe social distancing in our laboratory operations. Management expects to continue to take actions as may be required or recommended by government authorities or in the best interests of our employees and business partners. To date, the pandemic has resulted in a slowdown in activities related to our laboratory operations and at some of our suppliers. The ongoing spread of COVID-19 may also negatively impact our clinical trials in the future, including potential delays and restrictions on our ability to recruit and retain patients, principal investigators and healthcare employees. COVID-19 could also affect the operations of CROs, which may result in delays or disruptions in the supply of product candidates.</w:t>
      </w:r>
    </w:p>
    <w:p>
      <w:pPr>
        <w:spacing w:after="0" w:line="165"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Due to COVID-19, we have also experienced delays in research activities performed under our collaboration agreements. Consequently, we recognized less revenue under these agreements during the first quarter of 2020 than previously planned. Management believes declines in revenue associated with the delay in research activities is largely temporary, as the revenue is primarily associated with non-refundable upfront payments recognized on a cost-to-cost basis. COVID-19 may continue to impact the timing and amount of revenue recognized under these agreements in the future.</w:t>
      </w:r>
    </w:p>
    <w:p>
      <w:pPr>
        <w:spacing w:after="0" w:line="157"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The COVID-19 pandemic remains a rapidly evolving situation and management does not yet know the full extent of our potential impact on our business operations. We will continue to closely monitor the effects of the pandemic. For additional information on risks posed by the COVID-19 pandemic, refer to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included elsewhere in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are a biotechnology company that is primarily engaged in the research and development of T cell redirecting immunotherapies for the treatment of cancer. We use our proprietary suite of technologies to identify intracellular drug targets, so called pHLA targets, as a basis for a broad range of potential immunotherapies designed to overcome the current limitations in immuno-oncology. Unlike CAR-T therapy and current antibody-based approaches, which can only target cell surface proteins, our technology enables the identification of otherwise inaccessible intercellular protein targets and thus significantly increases the diversity and novelty of the targets it can pursue. Such intracellular targets are generally recognized as one of the most important keys to unlock hard-to-treat cancer, particularly solid cancers. We believe that the elucidation of these targets gives us an advantage that we are leveraging to develop a pipeline of novel TCR-based products designed to deliver a robust and specific T cell response against cancer cells.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Since 2000, when Immatics OpCo was incorporated, we have focused on raising capital and performing research and development activities to advance our research, development and technology. We are a development phase company and have not yet marketed any products commercially. Our success depends on the successful development and regulatory approval of our products and our ability to finance operations.</w:t>
      </w:r>
    </w:p>
    <w:p>
      <w:pPr>
        <w:spacing w:after="0" w:line="165"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We have assembled a team of approximately 200 employees and have established relationships with four pharmaceutical collaborators, including Amgen Inc. (“Amgen”), Genmab A/S, (“Genmab”), Celgene Switzerland LLC (“BMS”) and GlaxoSmithKline plc (“GSK”).</w:t>
      </w:r>
    </w:p>
    <w:p>
      <w:pPr>
        <w:spacing w:after="0" w:line="146"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Immatics OpCo has raised approximately €378.5 million through private placements of securities and from our collaborators. These funds are used to fund operations and investing activities across research for technology creation, drug discovery and clinical development programs, infrastructure (including digital infrastructure), creation of portfolio of intellectual property, and administrative support.</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Immatics OpCo has incurred significant operating losses since its incorporation. Net losses were €8.6 million and €5.9 million for the three months ended March 31, 2020 and 2019, respectively, and €32.5 million and €32.4 million for the years ended December 31, 2019 and 2018, respectively. As of March 31, 2020, Immatics OpCo’ accumulated deficit was €241.5 million. We expect to continue to incur significant expenses and operating losses for the near future.</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do not expect to generate revenue from our product candidates unless and until we successfully complete clinical development and obtain regulatory approval for such product candidates. If we seek to obtain regulatory approval for any of our product candidates, we expect to incur significant commercialization expenses.</w:t>
      </w:r>
    </w:p>
    <w:p>
      <w:pPr>
        <w:spacing w:after="0" w:line="184"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As a result, we will need substantial additional funding to support our continued operations and pursue our growth strategy. Until we can generate significant revenue from product sales, if ever, we expect to finance our operations through a combination of public or private equity offerings and debt financings, government funding arrangements, collaborations and marketing, distribution and licensing arrangements. We may be unable to raise additional funds or enter into such other arrangements on favorable terms, or at all. If we fail to raise capital or enter into such arrangements as, and when, needed, we may have to significantly delay, scale back or discontinue the development and commercialization of one or more of our programs.</w:t>
      </w:r>
    </w:p>
    <w:p>
      <w:pPr>
        <w:spacing w:after="0" w:line="161"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Because of the numerous risks and uncertainties associated with pharmaceutical development, we are unable to predict the timing or amount of increased expenses or when or if we will be able to achieve or maintain profitability. If we fail to become profitable or is unable to sustain profitability on a continuing basis, then we may be unable to continue our operations at planned levels and may be forced to reduce our operations.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details concerning our business and key areas of focus for research, see the section titled “</w:t>
      </w:r>
      <w:r>
        <w:rPr>
          <w:rFonts w:ascii="Arial" w:cs="Arial" w:eastAsia="Arial" w:hAnsi="Arial"/>
          <w:sz w:val="18"/>
          <w:szCs w:val="18"/>
          <w:i w:val="1"/>
          <w:iCs w:val="1"/>
          <w:color w:val="auto"/>
        </w:rPr>
        <w:t>Business</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from Collaboration Agreements</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To date, we have not generated any revenue from the sale of pharmaceutical products. Our revenue has been solely derived from our collaboration agreements with Amgen, Genmab, BMS and GSK.</w:t>
      </w:r>
    </w:p>
    <w:p>
      <w:pPr>
        <w:spacing w:after="0" w:line="170" w:lineRule="exact"/>
        <w:rPr>
          <w:sz w:val="20"/>
          <w:szCs w:val="20"/>
          <w:color w:val="auto"/>
        </w:rPr>
      </w:pPr>
    </w:p>
    <w:p>
      <w:pPr>
        <w:ind w:left="120" w:right="380"/>
        <w:spacing w:after="0" w:line="291" w:lineRule="auto"/>
        <w:rPr>
          <w:sz w:val="20"/>
          <w:szCs w:val="20"/>
          <w:color w:val="auto"/>
        </w:rPr>
      </w:pPr>
      <w:r>
        <w:rPr>
          <w:rFonts w:ascii="Arial" w:cs="Arial" w:eastAsia="Arial" w:hAnsi="Arial"/>
          <w:sz w:val="16"/>
          <w:szCs w:val="16"/>
          <w:color w:val="auto"/>
        </w:rPr>
        <w:t>Our revenue from collaboration agreements consists of upfront payments as well as reimbursement of research and development expenses. Upfront payments are initially recorded on our statement of financial position as deferred revenue and are subsequently recognized as revenue</w:t>
      </w:r>
    </w:p>
    <w:p>
      <w:pPr>
        <w:ind w:left="120" w:right="40"/>
        <w:spacing w:after="0" w:line="260" w:lineRule="auto"/>
        <w:rPr>
          <w:sz w:val="20"/>
          <w:szCs w:val="20"/>
          <w:color w:val="auto"/>
        </w:rPr>
      </w:pPr>
      <w:r>
        <w:rPr>
          <w:rFonts w:ascii="Arial" w:cs="Arial" w:eastAsia="Arial" w:hAnsi="Arial"/>
          <w:sz w:val="18"/>
          <w:szCs w:val="18"/>
          <w:color w:val="auto"/>
        </w:rPr>
        <w:t>on a cost-to-cost measurement basis in accordance with our accounting policy as described further in “Significant accounting judgements, estimates and assumptions”.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 part of the collaboration arrangements, we grant exclusive licensing rights for the development and commercialization of future product candidates developed for specified targets defined in the respective collaboration agreement, in addition to research activities, including screening of highly specific molecules for reactivity with the specified targets and off-targets using our proprietary technology and know-how, participation on a joint steering committee, and preparation of data packages. In each of our collaboration agreements, these promises represent one combined performance obligation, because the research activities are mutually dependent and the collaborator is unable to derive significant benefits from its access to these targets without our research activities, which are highly specialized and cannot be performed by other organizations.</w:t>
      </w:r>
    </w:p>
    <w:p>
      <w:pPr>
        <w:spacing w:after="0" w:line="17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collaboration agreements resulted in €186.6 million of up-front cash payments, intended to fund the research and development activities under each contract. As part of the agreements, we contribute our XPRESIDENT technology, as well as other technology and commit to participate in joint research activities. In addition, we agree to license certain target rights and the possible product candidates developed under the collaboration. The agreements provide for future payments if development, regulatory or sales milestones are achieved. In addition, we are entitled to future royalties.</w:t>
      </w:r>
    </w:p>
    <w:p>
      <w:pPr>
        <w:spacing w:after="0" w:line="15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Under each of our collaboration agreements, we are entitled to receive payments for certain development and commercial milestone events, in addition to royalty payments upon successful commercialization of a product. The uncertainty of achieving these certain milestones significantly impacts our ability to generate revenue.</w:t>
      </w:r>
    </w:p>
    <w:p>
      <w:pPr>
        <w:spacing w:after="0" w:line="184"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Our ability to generate revenue from sales of pharmaceutical products and to become profitable depends on our ability to successfully commercialize our product candidates. For the foreseeable future, we do not expect revenue from product sales. To the extent that existing or potential future collaborations generate revenue, our revenue may vary due to many uncertainties in the development of our product candidates and other factors.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Research and development expenses consist primarily of personnel-related costs (including share-based compensation) for the various research and development departments, IP expenses, facility-related costs and amortization as well as direct expenses for programs such as direct cost for clinical trials.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core business is focused on the following initiatives with the goal of enabling us to achieve the next advance in immunotherapy:</w:t>
      </w:r>
    </w:p>
    <w:p>
      <w:pPr>
        <w:spacing w:after="0" w:line="131" w:lineRule="exact"/>
        <w:rPr>
          <w:sz w:val="20"/>
          <w:szCs w:val="20"/>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Advance the proprietary pipeline of product candidates focusing on ACTengine</w:t>
      </w:r>
      <w:r>
        <w:rPr>
          <w:rFonts w:ascii="Arial" w:cs="Arial" w:eastAsia="Arial" w:hAnsi="Arial"/>
          <w:sz w:val="15"/>
          <w:szCs w:val="15"/>
          <w:color w:val="auto"/>
        </w:rPr>
        <w:t>®</w:t>
      </w:r>
      <w:r>
        <w:rPr>
          <w:rFonts w:ascii="Arial" w:cs="Arial" w:eastAsia="Arial" w:hAnsi="Arial"/>
          <w:sz w:val="18"/>
          <w:szCs w:val="18"/>
          <w:color w:val="auto"/>
        </w:rPr>
        <w:t xml:space="preserve"> and TCR Bispecifics;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Develop Adoptive Cell Therapies and off-the-shelf biologics with distinct mode of 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Advance off-the-shelf cell therapies into the clinic;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Enhance commercial viability of autologous cell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Disrupt the tumor microenvironment through combination therapies, next-generation technologies and novel target classes;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Expand leadership in ultra-personalized multi-target immunotherapy;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Maintain and enhance the competitive edge of our target and TCR technology platforms;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Leverage existing collaboration agreements with Amgen, Genmab, BMS and GSK;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Expand our intellectual property portfolio.</w:t>
      </w:r>
    </w:p>
    <w:p>
      <w:pPr>
        <w:spacing w:after="0" w:line="225"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Research expenses are defined as costs incurred for current or planned investigations undertaken with the prospect of gaining new scientific or technical knowledge and understanding. All research and development costs are expensed as incurred due to scientific uncertainty.</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expect our research and development expenses to increase substantially in the future as we advance existing and future proprietary product candidates into and through clinical studies and pursue regulatory approval. The process of conducting the necessary clinical studies to obtain regulatory approval is costly and time-consuming. We are increasing our headcount to support our continued research activities and development of our product candidates. Clinical studies generally become larger and more costly to conduct as they advance into later stages and, in the future, we will be required to make estimates for expense accruals related to clinical study expenses. At this time, we cannot reasonably estimate or know the nature, timing and estimated costs of the efforts that will be necessary to complete the development of any product candidates that we develop from our programs. 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86"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after reviewing trial results, we or our collaborators may abandon projects that might previously have believed to be promising;</w:t>
      </w:r>
    </w:p>
    <w:p>
      <w:pPr>
        <w:spacing w:after="0" w:line="142" w:lineRule="exact"/>
        <w:rPr>
          <w:rFonts w:ascii="Arial" w:cs="Arial" w:eastAsia="Arial" w:hAnsi="Arial"/>
          <w:sz w:val="17"/>
          <w:szCs w:val="17"/>
          <w:color w:val="auto"/>
        </w:rPr>
      </w:pPr>
    </w:p>
    <w:p>
      <w:pPr>
        <w:ind w:left="1080" w:right="28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regulatory authorities may find that our clinical trial design or conduct does not meet the applicable approval requirements; and</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70"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Clinical testing is very expensive, can take many years, and the outcome is uncertain. It could take several years before we learn the results from any clinical trial using ACT or TCR Bispecifics. The data collected from our clinical trials may not be sufficient to support approval by the FDA, EMA, or regulatory authorities in other countries of our ACT- or TCR Bispecifics-based product candidates for the treatment of solid tumors. The clinical trials for our products under development may not be completed on schedule and the FDA, EMA or regulatory authorities in other countries may not ultimately approve any of our product candidates for commercial sale. If we fail to adequately demonstrate the safety and effectiveness of any product candidate under development, we may not receive regulatory approval for those product candidates, which would prevent us from generating revenues or achieving profitability.</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120" w:right="440"/>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costs (including share-based compensation) for finance, legal, human resources, business development and other administrative and operational functions, professional fees, accounting and legal services, information technology and facility-related costs. These costs relate to the operation of the business, unrelated to the research and development function or any individual program.</w:t>
      </w:r>
    </w:p>
    <w:p>
      <w:pPr>
        <w:spacing w:after="0" w:line="18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Due to our substantial increase in planned research and development expenses, as explained above, we also expect that our general and administrative expenses will increase proportionally. We expect to incur increased accounting, audit, legal, regulatory, compliance, director and officer insurance costs, as well as investor and public relations expenses associated with being a public company. We anticipate that the additional costs for these services will substantially increase our general and administrative expenses. Additionally, if and when a</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regulatory approval of a product candidate appears likely, we anticipate an increase in payroll and expenses as a result of our preparation for commercial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receive income through government grants for specific research and development projects. We recognize grant income as we perform research and development activities specified by the grant agreements.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components of other income have historically been immaterial.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Result</w:t>
      </w:r>
    </w:p>
    <w:p>
      <w:pPr>
        <w:spacing w:after="0" w:line="117"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Financial result consists of both financial income and financial expense. Financial income results primarily from interest income on cash and foreign exchange gains. Our financial expense consists of interest expense related to lease liabilities and foreign exchange losses.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consolidated statements of operations for each period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96"/>
              </w:rPr>
              <w:t>Year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553"/>
              <w:spacing w:after="0"/>
              <w:rPr>
                <w:sz w:val="20"/>
                <w:szCs w:val="20"/>
                <w:color w:val="auto"/>
              </w:rPr>
            </w:pPr>
            <w:r>
              <w:rPr>
                <w:rFonts w:ascii="Arial" w:cs="Arial" w:eastAsia="Arial" w:hAnsi="Arial"/>
                <w:sz w:val="14"/>
                <w:szCs w:val="14"/>
                <w:b w:val="1"/>
                <w:bCs w:val="1"/>
                <w:color w:val="auto"/>
                <w:w w:val="95"/>
              </w:rPr>
              <w:t>March 31,</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413"/>
              <w:spacing w:after="0"/>
              <w:rPr>
                <w:sz w:val="20"/>
                <w:szCs w:val="20"/>
                <w:color w:val="auto"/>
              </w:rPr>
            </w:pPr>
            <w:r>
              <w:rPr>
                <w:rFonts w:ascii="Arial" w:cs="Arial" w:eastAsia="Arial" w:hAnsi="Arial"/>
                <w:sz w:val="14"/>
                <w:szCs w:val="14"/>
                <w:b w:val="1"/>
                <w:bCs w:val="1"/>
                <w:color w:val="auto"/>
                <w:w w:val="90"/>
              </w:rPr>
              <w:t>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 except share and per share data)</w:t>
            </w:r>
          </w:p>
        </w:tc>
        <w:tc>
          <w:tcPr>
            <w:tcW w:w="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18,449</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(12,246)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(7,990)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(40,091)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(33,971)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income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(33,013)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(34,409)</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Financial income</w:t>
            </w:r>
          </w:p>
        </w:tc>
        <w:tc>
          <w:tcPr>
            <w:tcW w:w="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9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(32,355)</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Taxes on income</w:t>
            </w:r>
          </w:p>
        </w:tc>
        <w:tc>
          <w:tcPr>
            <w:tcW w:w="9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(8,580)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(5,881)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(32,487)</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(32,355)</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1,163,625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1,163,625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1,163,625</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1,163,625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from Collaboration Agreements</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Revenue from collaboration agreements increased by €3.4 million, from €3.6 million for the three months ended March 31, 2019 to €7.0 million for the three months ended March 31, 2020. Approximately €2.9 million of the increase resulted from the collaboration agreements with GSK and BMS, which we entered into during December 2019 and August 2019, respectively. Due to the COVID-19 pandemic, we experienced delays in research activities performed under the Amgen and Genmab collaboration agreements. As we recognize revenue under these contracts on a cost-to-cost model based on research activities, we recognized less revenue under the Amgen and Genmab agreements during the first quarter of 2020 than previously planned. Consequently, revenue recognized under the Genmab agreement decreased by €440 thousand. While revenue earned under the Amgen</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agreement was less than initially planned, revenue recognized during the three months ended March 31, 2020 exceed the prior year comparative period by €979 thousand. We believe that any declines in revenue associated with delayed research activities are largely temporary, because the revenue is primarily associated with non-refundable upfront payments.</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Revenue from collaboration agreements increased by €14.6 million, from €3.8 million for the year ended December 31, 2018 to €18.4 million for the year ended December 31, 2019. This increase primarily resulted from the new collaboration agreement with BMS and a ramp-up in research activities performed under the Genmab and Amgen agreements. Our collaboration with GSK did not result in any revenue in 2019 as no work was performed under the collaboration agreement in 2019.</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did not achieve any milestones or receive any royalty payments in connection with our collaboration agreements during the presented periods.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collaboration revenue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10"/>
          </w:tcPr>
          <w:p>
            <w:pPr>
              <w:jc w:val="center"/>
              <w:ind w:right="80"/>
              <w:spacing w:after="0"/>
              <w:rPr>
                <w:sz w:val="20"/>
                <w:szCs w:val="20"/>
                <w:color w:val="auto"/>
              </w:rPr>
            </w:pPr>
            <w:r>
              <w:rPr>
                <w:rFonts w:ascii="Arial" w:cs="Arial" w:eastAsia="Arial" w:hAnsi="Arial"/>
                <w:sz w:val="14"/>
                <w:szCs w:val="14"/>
                <w:b w:val="1"/>
                <w:bCs w:val="1"/>
                <w:color w:val="auto"/>
                <w:w w:val="95"/>
              </w:rPr>
              <w:t>Three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8"/>
            <w:vMerge w:val="restart"/>
          </w:tcPr>
          <w:p>
            <w:pPr>
              <w:ind w:lef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8"/>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8"/>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(Euros in thousands)</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bottom w:val="single" w:sz="8" w:color="auto"/>
            </w:tcBorders>
            <w:gridSpan w:val="3"/>
          </w:tcPr>
          <w:p>
            <w:pPr>
              <w:jc w:val="right"/>
              <w:ind w:right="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collaboration agreements: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tcPr>
          <w:p>
            <w:pPr>
              <w:ind w:left="360"/>
              <w:spacing w:after="0"/>
              <w:rPr>
                <w:sz w:val="20"/>
                <w:szCs w:val="20"/>
                <w:color w:val="auto"/>
              </w:rPr>
            </w:pPr>
            <w:r>
              <w:rPr>
                <w:rFonts w:ascii="Arial" w:cs="Arial" w:eastAsia="Arial" w:hAnsi="Arial"/>
                <w:sz w:val="18"/>
                <w:szCs w:val="18"/>
                <w:color w:val="auto"/>
              </w:rPr>
              <w:t>Amgen</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5"/>
          </w:tcPr>
          <w:p>
            <w:pPr>
              <w:jc w:val="right"/>
              <w:ind w:right="40"/>
              <w:spacing w:after="0"/>
              <w:rPr>
                <w:sz w:val="20"/>
                <w:szCs w:val="20"/>
                <w:color w:val="auto"/>
              </w:rPr>
            </w:pPr>
            <w:r>
              <w:rPr>
                <w:rFonts w:ascii="Arial" w:cs="Arial" w:eastAsia="Arial" w:hAnsi="Arial"/>
                <w:sz w:val="18"/>
                <w:szCs w:val="18"/>
                <w:color w:val="auto"/>
                <w:w w:val="93"/>
              </w:rPr>
              <w:t>€ 2,150</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1,171</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6,197</w:t>
            </w:r>
          </w:p>
        </w:tc>
        <w:tc>
          <w:tcPr>
            <w:tcW w:w="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Genmab</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11,191</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tcPr>
          <w:p>
            <w:pPr>
              <w:ind w:left="360"/>
              <w:spacing w:after="0"/>
              <w:rPr>
                <w:sz w:val="20"/>
                <w:szCs w:val="20"/>
                <w:color w:val="auto"/>
              </w:rPr>
            </w:pPr>
            <w:r>
              <w:rPr>
                <w:rFonts w:ascii="Arial" w:cs="Arial" w:eastAsia="Arial" w:hAnsi="Arial"/>
                <w:sz w:val="18"/>
                <w:szCs w:val="18"/>
                <w:color w:val="auto"/>
              </w:rPr>
              <w:t>BMS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6"/>
          </w:tcPr>
          <w:p>
            <w:pPr>
              <w:jc w:val="right"/>
              <w:ind w:right="40"/>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GSK</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453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revenue from collaboration agreements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€ 7,040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3,626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€ 18,449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2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w w:val="90"/>
              </w:rPr>
              <w:t>The following table summarizes our research and development expenses:</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00" w:type="dxa"/>
            <w:vAlign w:val="bottom"/>
            <w:gridSpan w:val="12"/>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8"/>
          </w:tcPr>
          <w:p>
            <w:pPr>
              <w:ind w:left="1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8"/>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(Euros in thousands)</w:t>
            </w:r>
          </w:p>
        </w:tc>
        <w:tc>
          <w:tcPr>
            <w:tcW w:w="20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61"/>
              <w:spacing w:after="0" w:line="14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research and development expenses by program:</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tcPr>
          <w:p>
            <w:pPr>
              <w:ind w:left="360"/>
              <w:spacing w:after="0"/>
              <w:rPr>
                <w:sz w:val="20"/>
                <w:szCs w:val="20"/>
                <w:color w:val="auto"/>
              </w:rPr>
            </w:pPr>
            <w:r>
              <w:rPr>
                <w:rFonts w:ascii="Arial" w:cs="Arial" w:eastAsia="Arial" w:hAnsi="Arial"/>
                <w:sz w:val="18"/>
                <w:szCs w:val="18"/>
                <w:color w:val="auto"/>
              </w:rPr>
              <w:t>ACTengine</w:t>
            </w:r>
          </w:p>
        </w:tc>
        <w:tc>
          <w:tcPr>
            <w:tcW w:w="2160" w:type="dxa"/>
            <w:vAlign w:val="bottom"/>
            <w:gridSpan w:val="2"/>
          </w:tcPr>
          <w:p>
            <w:pPr>
              <w:ind w:left="2040"/>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1,520</w:t>
            </w:r>
          </w:p>
        </w:tc>
        <w:tc>
          <w:tcPr>
            <w:tcW w:w="22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600</w:t>
            </w:r>
          </w:p>
        </w:tc>
        <w:tc>
          <w:tcPr>
            <w:tcW w:w="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4,234</w:t>
            </w:r>
          </w:p>
        </w:tc>
        <w:tc>
          <w:tcPr>
            <w:tcW w:w="8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Next Generation ACT</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777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3,447</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tcPr>
          <w:p>
            <w:pPr>
              <w:ind w:left="360"/>
              <w:spacing w:after="0"/>
              <w:rPr>
                <w:sz w:val="20"/>
                <w:szCs w:val="20"/>
                <w:color w:val="auto"/>
              </w:rPr>
            </w:pPr>
            <w:r>
              <w:rPr>
                <w:rFonts w:ascii="Arial" w:cs="Arial" w:eastAsia="Arial" w:hAnsi="Arial"/>
                <w:sz w:val="18"/>
                <w:szCs w:val="18"/>
                <w:color w:val="auto"/>
              </w:rPr>
              <w:t>TCR Bispecifics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1,585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 Platforms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262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1,184</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tcPr>
          <w:p>
            <w:pPr>
              <w:ind w:left="360"/>
              <w:spacing w:after="0"/>
              <w:rPr>
                <w:sz w:val="20"/>
                <w:szCs w:val="20"/>
                <w:color w:val="auto"/>
              </w:rPr>
            </w:pPr>
            <w:r>
              <w:rPr>
                <w:rFonts w:ascii="Arial" w:cs="Arial" w:eastAsia="Arial" w:hAnsi="Arial"/>
                <w:sz w:val="18"/>
                <w:szCs w:val="18"/>
                <w:color w:val="auto"/>
              </w:rPr>
              <w:t>Collaboration agreements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Sub-total direct expenses</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3,273</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2,078</w:t>
            </w:r>
          </w:p>
        </w:tc>
        <w:tc>
          <w:tcPr>
            <w:tcW w:w="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11,381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79"/>
              </w:rPr>
              <w:t>€</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7,971</w:t>
            </w:r>
          </w:p>
        </w:tc>
        <w:tc>
          <w:tcPr>
            <w:tcW w:w="0" w:type="dxa"/>
            <w:vAlign w:val="bottom"/>
          </w:tcPr>
          <w:p>
            <w:pPr>
              <w:spacing w:after="0"/>
              <w:rPr>
                <w:sz w:val="1"/>
                <w:szCs w:val="1"/>
                <w:color w:val="auto"/>
              </w:rPr>
            </w:pPr>
          </w:p>
        </w:tc>
      </w:tr>
      <w:tr>
        <w:trPr>
          <w:trHeight w:val="223"/>
        </w:trPr>
        <w:tc>
          <w:tcPr>
            <w:tcW w:w="5320" w:type="dxa"/>
            <w:vAlign w:val="bottom"/>
            <w:gridSpan w:val="2"/>
          </w:tcPr>
          <w:p>
            <w:pPr>
              <w:ind w:left="440"/>
              <w:spacing w:after="0"/>
              <w:rPr>
                <w:sz w:val="20"/>
                <w:szCs w:val="20"/>
                <w:color w:val="auto"/>
              </w:rPr>
            </w:pPr>
            <w:r>
              <w:rPr>
                <w:rFonts w:ascii="Arial" w:cs="Arial" w:eastAsia="Arial" w:hAnsi="Arial"/>
                <w:sz w:val="18"/>
                <w:szCs w:val="18"/>
                <w:b w:val="1"/>
                <w:bCs w:val="1"/>
                <w:color w:val="auto"/>
              </w:rPr>
              <w:t>Internal research and development expenses:</w:t>
            </w:r>
          </w:p>
        </w:tc>
        <w:tc>
          <w:tcPr>
            <w:tcW w:w="2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Personnel related (including stock-based compensation)</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4,811</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3,319</w:t>
            </w:r>
          </w:p>
        </w:tc>
        <w:tc>
          <w:tcPr>
            <w:tcW w:w="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89"/>
              </w:rPr>
              <w:t>€15,226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12,643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tcPr>
          <w:p>
            <w:pPr>
              <w:ind w:left="360"/>
              <w:spacing w:after="0"/>
              <w:rPr>
                <w:sz w:val="20"/>
                <w:szCs w:val="20"/>
                <w:color w:val="auto"/>
              </w:rPr>
            </w:pPr>
            <w:r>
              <w:rPr>
                <w:rFonts w:ascii="Arial" w:cs="Arial" w:eastAsia="Arial" w:hAnsi="Arial"/>
                <w:sz w:val="18"/>
                <w:szCs w:val="18"/>
                <w:color w:val="auto"/>
              </w:rPr>
              <w:t>Facility related</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IP Expenses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2,235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7,093</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795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2,945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internal costs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546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2,271</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880" w:type="dxa"/>
            <w:vAlign w:val="bottom"/>
          </w:tcPr>
          <w:p>
            <w:pPr>
              <w:ind w:left="360"/>
              <w:spacing w:after="0"/>
              <w:rPr>
                <w:sz w:val="20"/>
                <w:szCs w:val="20"/>
                <w:color w:val="auto"/>
              </w:rPr>
            </w:pPr>
            <w:r>
              <w:rPr>
                <w:rFonts w:ascii="Arial" w:cs="Arial" w:eastAsia="Arial" w:hAnsi="Arial"/>
                <w:sz w:val="18"/>
                <w:szCs w:val="18"/>
                <w:b w:val="1"/>
                <w:bCs w:val="1"/>
                <w:color w:val="auto"/>
              </w:rPr>
              <w:t>Sub-total internal expenses</w:t>
            </w:r>
          </w:p>
        </w:tc>
        <w:tc>
          <w:tcPr>
            <w:tcW w:w="20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8,973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5,912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28,710</w:t>
            </w:r>
          </w:p>
        </w:tc>
        <w:tc>
          <w:tcPr>
            <w:tcW w:w="2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26,000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26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12,246</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7,990</w:t>
            </w:r>
          </w:p>
        </w:tc>
        <w:tc>
          <w:tcPr>
            <w:tcW w:w="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40,091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33,971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40" w:type="dxa"/>
            <w:vAlign w:val="bottom"/>
            <w:vMerge w:val="restart"/>
          </w:tcPr>
          <w:p>
            <w:pPr>
              <w:jc w:val="right"/>
              <w:ind w:right="1630"/>
              <w:spacing w:after="0"/>
              <w:rPr>
                <w:sz w:val="20"/>
                <w:szCs w:val="20"/>
                <w:color w:val="auto"/>
              </w:rPr>
            </w:pPr>
            <w:r>
              <w:rPr>
                <w:rFonts w:ascii="Arial" w:cs="Arial" w:eastAsia="Arial" w:hAnsi="Arial"/>
                <w:sz w:val="18"/>
                <w:szCs w:val="18"/>
                <w:color w:val="auto"/>
                <w:w w:val="99"/>
              </w:rPr>
              <w:t>158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For the three months ended March 31, 2020, our research and development expenses were €12.2 million compared to €8.0 million for the three months ended March 31, 2019.</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For the three months ended March 31, 2020, direct research and development expenses associated with our programs increased due to increased preclinical and clinical work performed under the programs compared to three months ended March 31, 2019. The increase in ACTengine expenses is mainly due to the start of clinical trials in the United States, which began in February 2019. The decrease in Next Generation ACT expenses in the three months ended March 31, 2020 is due to a planned slow-down in the ACTolog clinical trial, as no additional patients are being enrolled into this trial. The increase in TCR Bispecifics expenses is related to the start of GMP manufacturing of a cell line in 2019.</w:t>
      </w:r>
    </w:p>
    <w:p>
      <w:pPr>
        <w:spacing w:after="0" w:line="16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Direct research expenses related to collaboration agreements increased due to an overall increase in research activities performed under our four collaboration agreements.</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Personnel related research and development expenses for the three months ended March 31, 2020 and 2019 were €4.8 million and €3.3 million, respectively. These increases were primarily a result of our increased research and development headcount and increased share-based compensation expenses. The increase in IP expenses for the three months ended March 31, 2020 compared to the three months ended March 31, 2019 is due to timing of legal cost related to filing and defending of the Group’s patents.</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For the year ended December 31, 2019, our research and development expenses were €40.1 million compared to €34.0 million for the year ended December 31, 2018.</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For the year ended December 31, 2019, our direct research and development expenses associated with our programs increased due to increased preclinical and clinical work performed under the programs compared to the year ended December 31, 2018. The increase in ACTengine expenses is mainly due to the start of clinical trials in the United States. The increase in Next Generation ACT expenses is mainly due to additional expenses related to the ACTolog clinical trial. The decrease in expenses in Technology Platforms is mainly due to a time shift of expenses. It is expected that expenses for Technology Platforms will go up again in the future.</w:t>
      </w:r>
    </w:p>
    <w:p>
      <w:pPr>
        <w:spacing w:after="0" w:line="18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Direct research expenses related to collaboration agreements increased due to further increase in the work performed under the collaboration agreements with Amgen and Genmab as well as the additional collaboration with BMS.</w:t>
      </w:r>
    </w:p>
    <w:p>
      <w:pPr>
        <w:spacing w:after="0" w:line="170"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Personnel related research and development expenses for the years ended December 31, 2019 and 2018 were €15.2 million and €12.6 million, respectively. This increase of €2.6 million was primarily a result of our increased research and development headcount and increased share-based compensation expenses. Facility related research and development expenses decreased, whereas depreciation expenses increased due to the first-time application of IFRS 16.</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General and administrative expenses for the three months ended March 31, 2020 and 2019 were €6.2 million and €2.3 million, respectively.</w:t>
      </w:r>
    </w:p>
    <w:p>
      <w:pPr>
        <w:spacing w:after="0" w:line="23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€3.9 million increase in general and administrative expenses for the three months ended March 31, 2020 compared to the three months ended March 31, 2019 was primarily due to an increase in personnel related expenses of €0.7 million and an increase in professional and consulting fees of €2.7 million. Personnel related expenses increased mainly due to the growth in headcount in our finance function as well as the communications functions. The increase in professional and consulting fees resulted from an increase in accounting, audit and legal fees as well as costs associated with ongoing business activities and our preparations to operate as a public company.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and administrative expenses for the years ended December 31, 2019 and 2018 were €11.8 million and €7.7 million, respectively.</w:t>
      </w:r>
    </w:p>
    <w:p>
      <w:pPr>
        <w:spacing w:after="0" w:line="225"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The increase in general and administrative expenses in the year ended 2019 compared to the year ended December 31, 2018 was primarily due to an increase in personnel related expenses of €1.8 million and an increase in professional and consulting fees of €1.7 million. Personnel related expenses increased mainly due to the growth in headcount in our finance function as well as IP and communications function. The increase in professional and consulting fees resulted from an increase in accounting, audit and legal fees, as well as costs associated with ongoing business activities and our preparations to operate as a public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income during the three months ended March 31, 2020 and 2019 was €113 thousand and €3 thousand, respectively. This increase of</w:t>
      </w:r>
    </w:p>
    <w:p>
      <w:pPr>
        <w:spacing w:after="0" w:line="35"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€110 thousand resulted primarily from a €82 thousand increase in grant income in the three months ended March 31, 2020 compared to three months ended March 31, 2019.</w:t>
      </w:r>
    </w:p>
    <w:p>
      <w:pPr>
        <w:spacing w:after="0" w:line="185"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Other income during the years ended December 31, 2019 and 2018 was €385 thousand and €3.5 million, respectively. The decrease of €3.1 million in 2019 resulted primarily from lower grant income, which decreased from €2.9 million in 2018 to €26 thousand in 2019. The decrease in grant income resulted from the closing of the CPRIT grant of Immatics US in 2018. There are no unfulfilled conditions or contingencies related to these grants.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Result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result consists of both financial income and financial expense.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Financial income increased to €2.7 million for the three months ended March 31, 2020 compared to €825 thousand for the three months ended</w:t>
      </w:r>
    </w:p>
    <w:p>
      <w:pPr>
        <w:spacing w:after="0" w:line="35"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March 31, 2019. This increase of €1.9 million resulted primarily from an increase in foreign exchange gains of €1.7 million for the three months ended March 31, 2020 compared to the three months ended March 31, 2019. Interest income increased by €175 thousand to €319 thousand for the three months ended March 31, 2020, compared to €144 thousand for the three months ended March 31, 2019. This increase is due to higher cash balances as well as short-term deposits, resulting from the upfront payments received as part of the collaboration agreements.</w:t>
      </w:r>
    </w:p>
    <w:p>
      <w:pPr>
        <w:spacing w:after="0" w:line="1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During the three months ended March 31, 2020, financial expenses amounted to €29 thousand, compared to €70 thousand during the three months ended March 31, 2019. Our interest expenses for both periods are substantially related to lease liabilities. Financial expenses for the three months ended March 31, 2020 consisted primarily of €28 thousand in interest expense from lease liabilities, with the remainder resulting from foreign exchange losses. Financial expenses for the three months ended March 31, 2019 consisted primarily of €51 thousand in interest from lease liabilities with the remainder resulting from foreign exchange losses.</w:t>
      </w:r>
    </w:p>
    <w:p>
      <w:pPr>
        <w:spacing w:after="0" w:line="18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Financial income decreased to €790 thousand for the 12 months ended December 31, 2019, compared to €2.2 million during the 12 months ended December 31, 2018. During 2019, financial income consisted almost entirely of interest income from short-term deposits. During 2018, financial income consisted of foreign exchange gains of €1.7 million and interest income of €507 thousand. Changes in foreign currency gains resulted from changes in the exchange rates between the U.S. Dollar and Euro. Interest income increased due to higher cash balances as well as short-term deposits, resulting from the upfront payments received as part of the collaboration agreements.</w:t>
      </w:r>
    </w:p>
    <w:p>
      <w:pPr>
        <w:spacing w:after="0" w:line="176"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During 2019, financial expenses amounted to €264 thousand, compared to €161 thousand during 2018. Financial expenses in 2019 consisted primarily of €170 thousand in interest expense from lease liabilities, with the remainder resulting from foreign exchange losses. Financial expenses in 2018 consisted primarily of €145 thousand in foreign exchange losses. The increase in interest expense from lease liabilities resulted from the adoption of IFRS 16 in 2019.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historically funded our operations primarily from private placements of our ordinary shares and proceeds from collaborators.</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of March 31, 2020 and as of December 31, 2019, we had cash and cash equivalents of €72.2 million and €103.4 million, respectively. Cash and cash equivalents are invested in accordance with our investment policy, primarily with a view to liquidity and capital preservation, and consist primarily of cash in banks and short-term deposits with an original maturity of between three and nine months.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primary sources and uses of cash for each period presented:</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8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160" w:type="dxa"/>
            <w:vAlign w:val="bottom"/>
            <w:gridSpan w:val="4"/>
          </w:tcPr>
          <w:p>
            <w:pPr>
              <w:jc w:val="center"/>
              <w:ind w:left="398"/>
              <w:spacing w:after="0"/>
              <w:rPr>
                <w:sz w:val="20"/>
                <w:szCs w:val="20"/>
                <w:color w:val="auto"/>
              </w:rPr>
            </w:pPr>
            <w:r>
              <w:rPr>
                <w:rFonts w:ascii="Arial" w:cs="Arial" w:eastAsia="Arial" w:hAnsi="Arial"/>
                <w:sz w:val="14"/>
                <w:szCs w:val="14"/>
                <w:b w:val="1"/>
                <w:bCs w:val="1"/>
                <w:color w:val="auto"/>
                <w:w w:val="99"/>
              </w:rPr>
              <w:t>March 31,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6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€(28,286)</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(248)</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€68,045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(446)</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(1,862)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flow</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(31,284)</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(1,027)</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64,046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30,818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primarily derive cash from our collaboration agreements. Our cash flows from operating activities are significantly influenced by our use of cash for operating expenses and working capital to support the business, in addition to the placement of cash and cash equivalents into short-term deposits, which do not meet the classification criteria of cash and cash equivalents in accordance with IAS 7 (“Statement of Cash Flows”).</w:t>
      </w:r>
    </w:p>
    <w:p>
      <w:pPr>
        <w:spacing w:after="0" w:line="16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experienced net cash outflows from operating activities during both the three months ended March 31, 2020 and 2019, resulting primarily from the net loss of the periods and working capital changes.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first quarter 2020, net cash used in operating activities of €28.3 million primarily resulted from an increase in working capital of</w:t>
      </w:r>
    </w:p>
    <w:p>
      <w:pPr>
        <w:spacing w:after="0" w:line="23"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€21.2 million combined with a net loss of €8.6 million during the quarter, partially offset by non-cash charges of €1.5 million. The increase in working capital mainly resulted from an increase in short-term deposits of €16.8 million, which have an original maturity of four to six months and do not meet the requirements of cash and cash equivalents under IAS 7, and a decrease in accounts payable and other current liabilities of €4.8 million, primarily related to the recognition of deferred revenue from upfront payments.</w:t>
      </w:r>
    </w:p>
    <w:p>
      <w:pPr>
        <w:spacing w:after="0" w:line="193"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During the three months ended March 31, 2019, net cash used in operating activities of €0.2 million resulted from a net loss of €5.9 million during the quarter, offset by a decrease in working capital of €4.5 million and non-cash charges of €1.2 million. The decrease in working capital mainly resulted from a decrease in other assets of €9.0 million, resulting from the disbursement of cash held in short-term deposits that previously did not meet the definition of cash and cash equivalents according to IAS 7, partially offset by a decrease in accounts payable and other current liabilities of €4.4 million primarily related to the recognition of deferred revenue from upfront payments.</w:t>
      </w:r>
    </w:p>
    <w:p>
      <w:pPr>
        <w:spacing w:after="0" w:line="17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For the years ended December 31, 2019 and 2018, we experienced positive cash flows from operating activities primarily from upfront payments of collaboration agreements.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Net loss amounted to €32.5 million and €32.4 million for the years ended December 31, 2019 and 2018, respectively, and drove the operating cashflow in 2019 and 2018.</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2019, net cash flow from operating activities of €68.0 million primarily resulted from a €94.6 million change in working capital</w:t>
      </w:r>
    </w:p>
    <w:p>
      <w:pPr>
        <w:spacing w:after="0" w:line="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and non-cash charges of €5.9 million, partially offset by €32.5 million net loss for the year. This increase in working capital mainly resulted from an increase in accounts payable and other current liabilities of €98.9 million primarily related to deferred revenue from upfront payments received from our collaborators BMS and GSK, partially offset by an increase in other assets of €4.4 million that primarily resulted from a €3.0 million increase in short-term deposits.</w:t>
      </w:r>
    </w:p>
    <w:p>
      <w:pPr>
        <w:spacing w:after="0" w:line="19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During 2018, net cash flow from operating activities of €7.6 million consisted primarily of a change in working capital amounting to €36.6 million and non-cash charges of €3.3 million, partially offset by €32.4 million of net loss for the year. This increase in working capital mainly resulted from an increase in accounts payable and other current liabilities of €43.7 million primarily related to deferred revenue from upfront payments received from our collaborator Genmab, partially offset by an increase in other assets of €7.5 million that primarily resulted from a €6.9 million decrease in grant receivables and a €13.1 million increase in short-term deposits.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2020 was €2.4 million, mainly due to payments related to new laboratory space and office equipment.</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2019 was €333 thousand, which is primarily attributable to the acquisition of new property, plant and equipment.</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Net cash used in investing activities for the year ended December 31, 2019 was €2.1 million, of which €91 thousand was attributable to the purchase of intangible assets, and €2.1 million to the purchase of property, plant and equipment, partially offset by proceeds from the sale of property, plant and equipment amounting to €97 thousand.</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Net cash used in investing activities for the year ended December 31, 2018 was €413 thousand, of which €78 thousand was attributable to the purchase of intangible assets, and €429 thousand was attributable to the purchase of property, plant and equipment, partially offset by proceeds from the sale of property, plant and equipment amounting to €94 thousand.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 in investing activities reflects the increase in our research and development activities.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During the three months ended March 31, 2020 and 2019 net cash used in financing activities was of €611 thousand and €446 thousand, resulting entirely from the payment of the principal portion of lease liabilities.</w:t>
      </w:r>
    </w:p>
    <w:p>
      <w:pPr>
        <w:spacing w:after="0" w:line="170"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During the year ended December 31, 2019 net cash used in financing activities consisted of €1.9 million from the payment of the principal portion of lease liabilities. During the year ended December 31, 2018, cash inflow from financing activities of €23.6 million was generated from the share premium proceeds received relating to the issuance of shares in 2017.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Operation and Funding Requirements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Historically, we have incurred significant losses due to our substantial research and development expenses. We had an accumulated deficit of</w:t>
      </w:r>
    </w:p>
    <w:p>
      <w:pPr>
        <w:spacing w:after="0" w:line="35" w:lineRule="exact"/>
        <w:rPr>
          <w:sz w:val="20"/>
          <w:szCs w:val="20"/>
          <w:color w:val="auto"/>
        </w:rPr>
      </w:pPr>
    </w:p>
    <w:p>
      <w:pPr>
        <w:ind w:left="120" w:right="20"/>
        <w:spacing w:after="0" w:line="323" w:lineRule="auto"/>
        <w:rPr>
          <w:sz w:val="20"/>
          <w:szCs w:val="20"/>
          <w:color w:val="auto"/>
        </w:rPr>
      </w:pPr>
      <w:r>
        <w:rPr>
          <w:rFonts w:ascii="Arial" w:cs="Arial" w:eastAsia="Arial" w:hAnsi="Arial"/>
          <w:sz w:val="16"/>
          <w:szCs w:val="16"/>
          <w:color w:val="auto"/>
        </w:rPr>
        <w:t>€241.5 million as of March 31, 2020 and of €233.2 million as of December 31, 2019. We expect to continue to incur significant losses in the foreseeable future and expect our expenses to increase in connection with our ongoing activities, particularly as we continue research and development and</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clinical activities for our product candidates. In addition, we expect to incur additional costs associated with operating as a public company. Our expenses will also increase if, and as, we:</w:t>
      </w:r>
    </w:p>
    <w:p>
      <w:pPr>
        <w:spacing w:after="0" w:line="76" w:lineRule="exact"/>
        <w:rPr>
          <w:sz w:val="20"/>
          <w:szCs w:val="20"/>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continue or expand our research or development programs in preclinical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continue or expand the scope of our clinical trials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initiate additional preclinical studies or clinical or other trials for our product candidates, including under our collaboration agreements;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change or add to internal manufacturing capacity or capability;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change or add additional suppliers;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we progress product candidates toward commercialization;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130" w:lineRule="exact"/>
        <w:rPr>
          <w:rFonts w:ascii="Arial" w:cs="Arial" w:eastAsia="Arial" w:hAnsi="Arial"/>
          <w:sz w:val="18"/>
          <w:szCs w:val="18"/>
          <w:color w:val="auto"/>
        </w:rPr>
      </w:pPr>
    </w:p>
    <w:p>
      <w:pPr>
        <w:ind w:left="1080" w:right="90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 and our product development and planned future commercialization efforts, including expansion of sites in Germany and in the United States;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acquire or in-licenses other product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experience any delays, interruptions or encounter issues with any of the above.</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are subject to all of the risks related to the development and commercialization of pharmaceutical products, and we may encounter unforeseen expenses, difficulties, complications, delays and other unknown factors that may adversely affect our business. Our forecast of sufficient financial runway to support our operations is a forward-looking statement and involves risks and uncertainties, and actual results could vary as a result of a number of factors. We have based this estimate on assumptions that may prove to be wrong, and could utilize our available capital resources sooner than we currently expect. We believe that our cash and cash equivalents, will be sufficient to enable us to fund our operating expenses and capital expenditure requirements through at least the next 12 months. 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97" w:lineRule="exact"/>
        <w:rPr>
          <w:sz w:val="20"/>
          <w:szCs w:val="20"/>
          <w:color w:val="auto"/>
        </w:rPr>
      </w:pPr>
    </w:p>
    <w:p>
      <w:pPr>
        <w:jc w:val="both"/>
        <w:ind w:left="1080" w:right="100" w:hanging="424"/>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Adoptive Cell Therapy (“ACT”), and bispecific T cell engaging receptor, or TCR Bispecific, product candidates for our ongoing, planned and potential future clinical trials;</w:t>
      </w:r>
    </w:p>
    <w:p>
      <w:pPr>
        <w:spacing w:after="0" w:line="89"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time and cost to conduct investigational new drug application (“IND”) or clinical trial application (“CTA”) enabling studies for our preclinical programs;</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time and costs required to perform research and development to identify and characterize new product candidates from our research programs;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time and cost necessary to obtain regulatory authorizations and approvals that may be required by regulatory authorities to execute clinical trials or commercialize our product;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products successfully manufactured consistent with U.S. Food and Drug Administration (“FDA”), European Medicines Agency (“EMA”), and other authorities’ regulations;</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cost of building, staffing and validating our manufacturing processes, which may include capital expenditure;</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costs associated with any potential acquisitions, strategic collaborations, licensing agreements or other arrangements that we may establish; and</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inability of clinical sites to enroll patients as health care capacities are required to cope with natural disasters, epidemics or other health system emergencies, such as the COVID-19 pandemic.</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current and future product candidates could significantly change the costs and timing associated with the development of that product candidate. Furthermore, our operating plans may change in the future, and we may need additional funds to meet operational needs and capital requirements associated with such operating plans.</w:t>
      </w:r>
    </w:p>
    <w:p>
      <w:pPr>
        <w:spacing w:after="0" w:line="165"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Until we can generate sufficient product and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as well as grant funding. We will use the proceeds from the PIPE Financing, together with the proceeds received from our trust account, to fund our future research and development activities. These estimates are based on assumptions that may prove to be wrong.</w:t>
      </w:r>
    </w:p>
    <w:p>
      <w:pPr>
        <w:spacing w:after="0" w:line="18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If we raise additional capital through public or private equity offerings, the terms of these securities may include liquidation or other preferences that adversely affect our shareholders’ rights. Further, to the extent that we raise additional capital through the sale of ordinary shares or securities convertible or exchangeable into ordinary shares, our shareholders’ ownership interest will be diluted. If we raise additional capital through debt financing, we would be subject to fixed payment obligations and may be subject to covenants limiting or restricting our ability to take specific actions, such as incurring additional debt, making</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capital expenditures or declaring dividends. If we are unable to obtain additional funding on favorable terms when needed, we may have to delay, reduce the scope of or terminate one or more of our research and development programs or clinical trials.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During the periods presented, we did not have any off-balance sheet arrangements that have or are reasonably likely to have a current or future effect on our financial condition, revenues or expenses, results of operations, liquidity, capital expenditures or capital resources.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2019 and the effects that such obligations are expected to have on our liquidity and cash flows in future periods: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1760" w:type="dxa"/>
            <w:vAlign w:val="bottom"/>
          </w:tcPr>
          <w:p>
            <w:pPr>
              <w:spacing w:after="0"/>
              <w:rPr>
                <w:sz w:val="10"/>
                <w:szCs w:val="10"/>
                <w:color w:val="auto"/>
              </w:rPr>
            </w:pP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460" w:type="dxa"/>
            <w:vAlign w:val="bottom"/>
          </w:tcPr>
          <w:p>
            <w:pPr>
              <w:jc w:val="right"/>
              <w:ind w:right="17"/>
              <w:spacing w:after="0" w:line="119" w:lineRule="exact"/>
              <w:rPr>
                <w:sz w:val="20"/>
                <w:szCs w:val="20"/>
                <w:color w:val="auto"/>
              </w:rPr>
            </w:pPr>
            <w:r>
              <w:rPr>
                <w:rFonts w:ascii="Arial" w:cs="Arial" w:eastAsia="Arial" w:hAnsi="Arial"/>
                <w:sz w:val="13"/>
                <w:szCs w:val="13"/>
                <w:b w:val="1"/>
                <w:bCs w:val="1"/>
                <w:color w:val="auto"/>
              </w:rPr>
              <w:t>1 - 3</w:t>
            </w:r>
          </w:p>
        </w:tc>
        <w:tc>
          <w:tcPr>
            <w:tcW w:w="360" w:type="dxa"/>
            <w:vAlign w:val="bottom"/>
          </w:tcPr>
          <w:p>
            <w:pPr>
              <w:spacing w:after="0"/>
              <w:rPr>
                <w:sz w:val="10"/>
                <w:szCs w:val="10"/>
                <w:color w:val="auto"/>
              </w:rPr>
            </w:pPr>
          </w:p>
        </w:tc>
        <w:tc>
          <w:tcPr>
            <w:tcW w:w="3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3 - 5</w:t>
            </w:r>
          </w:p>
        </w:tc>
        <w:tc>
          <w:tcPr>
            <w:tcW w:w="3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180" w:type="dxa"/>
            <w:vAlign w:val="bottom"/>
          </w:tcPr>
          <w:p>
            <w:pPr>
              <w:spacing w:after="0"/>
              <w:rPr>
                <w:sz w:val="10"/>
                <w:szCs w:val="10"/>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2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years</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5 years</w:t>
            </w: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r>
              <w:rPr>
                <w:rFonts w:ascii="Arial" w:cs="Arial" w:eastAsia="Arial" w:hAnsi="Arial"/>
                <w:sz w:val="15"/>
                <w:szCs w:val="15"/>
                <w:color w:val="auto"/>
              </w:rPr>
              <w:t>(1)</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1,823</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€ 3,352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Other lease obligations</w:t>
            </w:r>
            <w:r>
              <w:rPr>
                <w:rFonts w:ascii="Arial" w:cs="Arial" w:eastAsia="Arial" w:hAnsi="Arial"/>
                <w:sz w:val="15"/>
                <w:szCs w:val="15"/>
                <w:color w:val="auto"/>
              </w:rPr>
              <w:t>(2)</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172</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324</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300</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300</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In-license agreements</w:t>
            </w:r>
            <w:r>
              <w:rPr>
                <w:rFonts w:ascii="Arial" w:cs="Arial" w:eastAsia="Arial" w:hAnsi="Arial"/>
                <w:sz w:val="15"/>
                <w:szCs w:val="15"/>
                <w:color w:val="auto"/>
              </w:rPr>
              <w:t>(3)</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Contract research organization agreements</w:t>
            </w:r>
            <w:r>
              <w:rPr>
                <w:rFonts w:ascii="Arial" w:cs="Arial" w:eastAsia="Arial" w:hAnsi="Arial"/>
                <w:sz w:val="15"/>
                <w:szCs w:val="15"/>
                <w:color w:val="auto"/>
              </w:rPr>
              <w:t>(4)</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1,131</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1,466</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1920" w:type="dxa"/>
            <w:vAlign w:val="bottom"/>
            <w:gridSpan w:val="2"/>
            <w:shd w:val="clear" w:color="auto" w:fill="CCEEFF"/>
          </w:tcPr>
          <w:p>
            <w:pPr>
              <w:ind w:left="176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3,240</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7"/>
              </w:rPr>
              <w:t>3,813</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347</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300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€ 7,700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0" w:hanging="424"/>
        <w:spacing w:after="0" w:line="255" w:lineRule="auto"/>
        <w:tabs>
          <w:tab w:leader="none" w:pos="540" w:val="left"/>
        </w:tabs>
        <w:numPr>
          <w:ilvl w:val="0"/>
          <w:numId w:val="96"/>
        </w:numPr>
        <w:rPr>
          <w:rFonts w:ascii="Arial" w:cs="Arial" w:eastAsia="Arial" w:hAnsi="Arial"/>
          <w:sz w:val="15"/>
          <w:szCs w:val="15"/>
          <w:color w:val="auto"/>
        </w:rPr>
      </w:pPr>
      <w:r>
        <w:rPr>
          <w:rFonts w:ascii="Arial" w:cs="Arial" w:eastAsia="Arial" w:hAnsi="Arial"/>
          <w:sz w:val="18"/>
          <w:szCs w:val="18"/>
          <w:color w:val="auto"/>
        </w:rPr>
        <w:t>Represents our future minimum commitments under non-cancellable lease liabilities reflected on the balance sheet in our audited consolidated financial statements included elsewhere in this prospectus. In addition, in 2020, we signed further lease agreements leading to additional payments of approximately €3.2 million.</w:t>
      </w:r>
    </w:p>
    <w:p>
      <w:pPr>
        <w:spacing w:after="0" w:line="2" w:lineRule="exact"/>
        <w:rPr>
          <w:rFonts w:ascii="Arial" w:cs="Arial" w:eastAsia="Arial" w:hAnsi="Arial"/>
          <w:sz w:val="15"/>
          <w:szCs w:val="15"/>
          <w:color w:val="auto"/>
        </w:rPr>
      </w:pPr>
    </w:p>
    <w:p>
      <w:pPr>
        <w:ind w:left="540" w:right="540" w:hanging="424"/>
        <w:spacing w:after="0" w:line="250" w:lineRule="auto"/>
        <w:tabs>
          <w:tab w:leader="none" w:pos="540" w:val="left"/>
        </w:tabs>
        <w:numPr>
          <w:ilvl w:val="0"/>
          <w:numId w:val="96"/>
        </w:numPr>
        <w:rPr>
          <w:rFonts w:ascii="Arial" w:cs="Arial" w:eastAsia="Arial" w:hAnsi="Arial"/>
          <w:sz w:val="15"/>
          <w:szCs w:val="15"/>
          <w:color w:val="auto"/>
        </w:rPr>
      </w:pPr>
      <w:r>
        <w:rPr>
          <w:rFonts w:ascii="Arial" w:cs="Arial" w:eastAsia="Arial" w:hAnsi="Arial"/>
          <w:sz w:val="18"/>
          <w:szCs w:val="18"/>
          <w:color w:val="auto"/>
        </w:rPr>
        <w:t>Represents our future minimum commitments under non-cancellable leasing arrangements, which are not capitalized under IFRS 16. These arrangements include short-term as well as low value leases, which are not reflected on our balance sheet.</w:t>
      </w:r>
    </w:p>
    <w:p>
      <w:pPr>
        <w:ind w:left="540" w:hanging="424"/>
        <w:spacing w:after="0"/>
        <w:tabs>
          <w:tab w:leader="none" w:pos="540" w:val="left"/>
        </w:tabs>
        <w:numPr>
          <w:ilvl w:val="0"/>
          <w:numId w:val="96"/>
        </w:numPr>
        <w:rPr>
          <w:rFonts w:ascii="Arial" w:cs="Arial" w:eastAsia="Arial" w:hAnsi="Arial"/>
          <w:sz w:val="15"/>
          <w:szCs w:val="15"/>
          <w:color w:val="auto"/>
        </w:rPr>
      </w:pPr>
      <w:r>
        <w:rPr>
          <w:rFonts w:ascii="Arial" w:cs="Arial" w:eastAsia="Arial" w:hAnsi="Arial"/>
          <w:sz w:val="18"/>
          <w:szCs w:val="18"/>
          <w:color w:val="auto"/>
        </w:rPr>
        <w:t>Represents obligations of non-cancellable terms of license agreements.</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96"/>
        </w:numPr>
        <w:rPr>
          <w:rFonts w:ascii="Arial" w:cs="Arial" w:eastAsia="Arial" w:hAnsi="Arial"/>
          <w:sz w:val="15"/>
          <w:szCs w:val="15"/>
          <w:color w:val="auto"/>
        </w:rPr>
      </w:pPr>
      <w:r>
        <w:rPr>
          <w:rFonts w:ascii="Arial" w:cs="Arial" w:eastAsia="Arial" w:hAnsi="Arial"/>
          <w:sz w:val="18"/>
          <w:szCs w:val="18"/>
          <w:color w:val="auto"/>
        </w:rPr>
        <w:t>Represents obligations from contract research organization agreements.</w:t>
      </w:r>
    </w:p>
    <w:p>
      <w:pPr>
        <w:spacing w:after="0" w:line="211"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We have lease agreements for land and buildings in our locations Tübingen, Munich and Houston, Texas, which will expire between 2020 and 2026. In addition, we have various leases for equipment and cars, which will expire in 2022. The amounts in the table above represent our fixed contractual lease obligations and do not include the optional extensions.</w:t>
      </w:r>
    </w:p>
    <w:p>
      <w:pPr>
        <w:spacing w:after="0" w:line="184" w:lineRule="exact"/>
        <w:rPr>
          <w:sz w:val="20"/>
          <w:szCs w:val="20"/>
          <w:color w:val="auto"/>
        </w:rPr>
      </w:pPr>
    </w:p>
    <w:p>
      <w:pPr>
        <w:ind w:left="120" w:right="360"/>
        <w:spacing w:after="0" w:line="301" w:lineRule="auto"/>
        <w:rPr>
          <w:sz w:val="20"/>
          <w:szCs w:val="20"/>
          <w:color w:val="auto"/>
        </w:rPr>
      </w:pPr>
      <w:r>
        <w:rPr>
          <w:rFonts w:ascii="Arial" w:cs="Arial" w:eastAsia="Arial" w:hAnsi="Arial"/>
          <w:sz w:val="16"/>
          <w:szCs w:val="16"/>
          <w:color w:val="auto"/>
        </w:rPr>
        <w:t>In addition to the above obligations, we enter into a variety of agreements and financial commitments in the normal course of business. The terms generally provide us with the option to cancel, reschedule and adjust our requirements based on our business needs, prior to the delivery of goods or performance of services. However, it is not possible to predict the maximum potential amount of future payments under these agreements due to the conditional nature of our obligations and the unique facts and circumstances involved in each particular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left="120" w:right="40"/>
        <w:spacing w:after="0" w:line="257" w:lineRule="auto"/>
        <w:rPr>
          <w:sz w:val="20"/>
          <w:szCs w:val="20"/>
          <w:color w:val="auto"/>
        </w:rPr>
      </w:pPr>
      <w:r>
        <w:rPr>
          <w:rFonts w:ascii="Arial" w:cs="Arial" w:eastAsia="Arial" w:hAnsi="Arial"/>
          <w:sz w:val="18"/>
          <w:szCs w:val="18"/>
          <w:color w:val="auto"/>
        </w:rPr>
        <w:t>Our consolidated financial statements for the years ended December 31, 2019 and 2018, respectively, have been prepared in accordance with IFRS. The preparation of the consolidated financial statements in accordance with IFRS requires the use of estimates and assumptions that affect the value of assets and liabilities — as well as contingent assets and liabilities — as reported on the balance sheet date, and revenues and expenses arising during the fiscal year. The main areas in which assumptions, estimates and the exercising of a degree of discretion are appropriate relate to revenue recognition, research and development expenses, share-based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compensation and income taxes. We based our assumptions and estimates on parameters available when the consolidated financial statements were prepared. Existing circumstances and assumptions about future developments, however, may change due to market changes or circumstances arising that are beyond our control. Hence, our estimates may vary from the actual values.</w:t>
      </w:r>
    </w:p>
    <w:p>
      <w:pPr>
        <w:spacing w:after="0" w:line="184"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believe that the following accounting policies are critical to the process of making significant judgments and estimates in the preparation of our consolidated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 for Collaboration Agreements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recognize revenue through collaboration and license agreements and reimbursement for research and development costs.</w:t>
      </w:r>
    </w:p>
    <w:p>
      <w:pPr>
        <w:spacing w:after="0" w:line="225"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Under our collaboration and license agreements, we may receive up-front licensing payments, milestone payments and reimbursement of research and development expenses. Such collaboration agreements also include licenses of certain of our intellectual property to the respective collaborators. As these agreements comprise several promises, it must be assessed whether these promises are capable of being distinct within the context of the contract. For each of our four collaboration agreements, we determined that the promises included in each agreement represented single combined performance obligation with a single measure of progress. The performance obligation is accounted for as a performance obligation satisfied over time on a cost-to-cost basis, as our customer simultaneously receives and consumes the benefits from our performance. Up-front licensing payments and reimbursement for development expenses are initially deferred on our statement of financial position and subsequently recognized as revenue over time as costs are incurred.</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Milestone payments are generally included in the transaction price at the amount stipulated in the respective agreement and recognized to the extent that it is highly probable that a significant reversal in the amount of cumulative revenue recognized will not occur. To date, no milestone has been included in the transaction price and recognized into revenue.</w:t>
      </w:r>
    </w:p>
    <w:p>
      <w:pPr>
        <w:spacing w:after="0" w:line="184"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For further information regarding our revenue recognition policy, please refer to Note 4.9 Revenue from collaboration agreements of the Notes to the Consolidated Financial Statements as of December 31, 2019 of our consolidated financial statements included elsewhere in this prospectus.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Research and development expenses are expensed as incurred. Research and development expenses consist of costs incurred in performing research and development activities, including salaries and bonuses, stock-based compensation, employee benefits, facilities costs, laboratory supplies, depreciation, manufacturing expenses and external costs of vendors engaged to conduct preclinical development activities and clinical trials as well as the cost of licensing technology.</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classified as research and development expenses and expensed as incurred due to the uncertainty about the recovery of the expenditure.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For the equity plan of Immatics OpCo, management applied a Black Scholes pricing model to estimate the fair value of Immatics Stock Appreciation Rights (“SARs”).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determined the value of the SARs with the assistance of a third party valuation specialist using certain assumptions, such as share price volatility, the determination of an appropriate risk-free interest rate, expected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dividends and the probability of reaching certain exercisability criteria. Expected volatility of the equity plan of Immatics OpCo was determined by calculating the historic volatility in share prices of peer companies within the biotechnology industry and the expected life in the model has been adjusted, based on our management’s best estimate, for the effects of non-transferability and exercise restrictions.</w:t>
      </w:r>
    </w:p>
    <w:p>
      <w:pPr>
        <w:spacing w:after="0" w:line="16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exercisability is dependent on our estimated combined probability of exit events. We discounted the fair values of the SARs based on these assumed probabilities of the awards becoming exercisable. The present value of the probability-weighted fair value under all scenarios represents the value of the SARs.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Uncertainties exist with respect to the interpretation of complex tax regulations, changes in tax laws, and the amount and timing of future taxable income. Given the wide range and complexity of existing contractual agreements, differences arising between the actual results and the assumptions made, or future changes to such assumptions, could necessitate future adjustments to tax income and expense already recorded. Deferred tax assets are recognized for unused tax losses to the extent that it is probable that taxable profit will be available against which the losses can be utilized. Significant management judgement is required to determine the amount of deferred tax assets that can be recognized, based upon the likely timing and the level of future taxable profits together with future tax planning strategies. Currently, all tax loss carryforwards are fully reserved due to management judgement regarding the future profitability of the company.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Pronouncement</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For information on the standards applied for the first time as of January 1, 2020 and 2019, please refer to our consolidated financial statements as of December 31, 2019 provided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are exposed to various risks in relation to financial instruments, including liquidity risk and currency risk. Our risk management is coordinated by our Executive Committee. We do not engage in the trading of financial assets for speculative purposes. The most significant financial risks to which we are exposed include the risks discussed below.</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principal financial instruments comprise cash, cash equivalents and fixed-term deposits. The main purpose of these financial instruments is to invest the proceeds of capital contributions and upfront payments from collaboration agreements. We have various other financial instruments such as other receivables and trade accounts payable, which arise directly from our operations.</w:t>
      </w:r>
    </w:p>
    <w:p>
      <w:pPr>
        <w:spacing w:after="0" w:line="184"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In accordance with our internal guidelines, we do not trade in derivatives. The main risks arising from our financial instruments are interest rate risk, liquidity risk and currency exchange risk. The Management Board reviews and agrees to policies for managing these risks as summarized below. We also monitor the market price risk arising from all financial instruments.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exposure to changes in interest rates relates to investments in deposits and to changes in the interest for overnight deposits. Changes in the general level of interest rates may lead to an increase or decrease in the fair value of these investments.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Regarding the liabilities shown in the statement of financial position, we are currently not subject to interest rate risks.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Financial instruments that potentially subject us to concentrations of credit and liquidity risk consist primarily of cash, cash equivalents, deposits and accounts receivable. Our cash, cash equivalents and deposits are denominated in Euros and U.S. Dollars. Cash, cash equivalents and deposits securities are maintained with two high-quality financial institutions in Germany and one in the United States.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continually monitor our positions with, and the credit quality of, the financial institutions and corporations that are counterparts to our financial instruments and we are not currently anticipating non-performance. The maximum default risk corresponds to the carrying amount of the financial assets shown in the statement of financial position. We monitor the risk of a liquidity shortage. The main factors considered here are the maturities of financial assets, as well as expected cash flows from equity measures.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Currency risk shows the risk that the value of a financial instrument will fluctuate due to changes in foreign exchange rates. In particular, it poses a threat if the value of the currency in which liabilities are priced appreciates relative to the currency of the assets. Our business transactions are generally conducted in Euros and U.S. Dollars. In the finance committee meetings, we analyze the currency risks. We aim to match U.S. Dollar cash inflows with U.S. Dollar cash outflows where possible.</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cash and cash equivalents were €72.2 million and €103.4 million as of March 31, 2020 and December 31, 2019, respectively. As of March 31, 2020 approximately 92% of our cash and cash equivalents were held in Germany, of which approximately 27% were denominated in Euros and 73% were denominated in U.S. Dollars. The remainder of our cash and cash equivalents are held in the United States and denominated in U.S. Dollars. Additionally, we have short-term deposits classified as other current assets denominated in U.S Dollars in the amount of €32.9 million as of March 31,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continuously monitor our risk to a shortage of funds. Our objective is to maintain a balance between continuity of funding and flexibility through the use of capital increases. We concluded that our liquidity risk is moderate.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audit of our consolidated financial statements for the year ended December 31, 2019, we identified material weaknesses in our internal controls related to (i) the sufficiency of resources with an appropriate level of technical accounting and SEC reporting experience, (ii) clearly defined control processes, roles and segregation of duties within our finance and accounting functions, and (iii) the design and operating effectiveness of IT general controls for information systems that are significant to the preparation of our consolidated financial statements. We are developing a remediation plan designed to address these material weaknesses and other existing deficiencies. In addition, we have, and are in the process of, recruiting, hiring, and retaining additional financial reporting personnel to develop and implement appropriate internal controls and reporting procedures.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Structure</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are a Dutch public limited liability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with a two-tier board structure that consists of a management board (</w:t>
      </w:r>
      <w:r>
        <w:rPr>
          <w:rFonts w:ascii="Arial" w:cs="Arial" w:eastAsia="Arial" w:hAnsi="Arial"/>
          <w:sz w:val="17"/>
          <w:szCs w:val="17"/>
          <w:i w:val="1"/>
          <w:iCs w:val="1"/>
          <w:color w:val="auto"/>
        </w:rPr>
        <w:t>bestuur</w:t>
      </w:r>
      <w:r>
        <w:rPr>
          <w:rFonts w:ascii="Arial" w:cs="Arial" w:eastAsia="Arial" w:hAnsi="Arial"/>
          <w:sz w:val="17"/>
          <w:szCs w:val="17"/>
          <w:color w:val="auto"/>
        </w:rPr>
        <w:t>) (the “Management Board”) and a supervisory board (</w:t>
      </w:r>
      <w:r>
        <w:rPr>
          <w:rFonts w:ascii="Arial" w:cs="Arial" w:eastAsia="Arial" w:hAnsi="Arial"/>
          <w:sz w:val="17"/>
          <w:szCs w:val="17"/>
          <w:i w:val="1"/>
          <w:iCs w:val="1"/>
          <w:color w:val="auto"/>
        </w:rPr>
        <w:t>raad van commissarissen</w:t>
      </w:r>
      <w:r>
        <w:rPr>
          <w:rFonts w:ascii="Arial" w:cs="Arial" w:eastAsia="Arial" w:hAnsi="Arial"/>
          <w:sz w:val="17"/>
          <w:szCs w:val="17"/>
          <w:color w:val="auto"/>
        </w:rPr>
        <w:t>) (the “Supervisory Board”). The Management Board and the Supervisory Board are separate boards and no individual may simultaneously be a member of both boards. We also have an executive committee (the “Executive Committee”) consisting of a sole managing director and executive officers appointed by the Management Board.</w:t>
      </w:r>
    </w:p>
    <w:p>
      <w:pPr>
        <w:spacing w:after="0" w:line="17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Under Dutch law, the Management Board is responsible for our management, strategy, policy and operations. The Supervisory Board is responsible for supervising the conduct of and providing advice to our Management Board and for supervising the business generally. Furthermore, each member of the Management Board and Supervisory Board has a duty to act in the corporate interest of the company and the business connected with it.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whereby the circumstances generally dictate how such duty is to be applied.</w:t>
      </w:r>
    </w:p>
    <w:p>
      <w:pPr>
        <w:spacing w:after="0" w:line="192"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On July 1, 2021, and pursuant to our articles of association, our two-tier board structure will automatically convert into a one-tier board structure. There will be one board of directors that will consist of executive directors and non-executive directors. In the one-tier board structure, the Executive Committee will consist of all executive directors and all executive officers. As used herein, the term “Board” refers to the Management Board and the Supervisory Board collectively through July 1, 2021, and to the one-tier board of directors after such date.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Board</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Harpreet Singh, Ph.D., our Chief Executive Officer, serves as the sole managing director. The Management Board consists of such number of managing directors as the Supervisory Board may determine.</w:t>
      </w:r>
    </w:p>
    <w:p>
      <w:pPr>
        <w:spacing w:after="0" w:line="170"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Subject to our articles of association, the Management Board is charged with the management of the company. In fulfilling their duties, managing directors serve the interest of the company and the business connected therewith. Resolutions of our Management Board that result in an important change in the identity or character of the company or the business connected with it (for example, transfer of the entire business to a third party) require approval of the general meeting. Additionally, resolutions of our Management Board that relate to significant corporate action (for example, listing on Nasdaq, capital expenditures or debt incurrence of over $500,000 and related party transactions) require prior approval by the Supervisory Board. A resolution taken by our Management Board in violation of our articles of association will be void or voidable. The Management Board has the power to represent the company.</w:t>
      </w:r>
    </w:p>
    <w:p>
      <w:pPr>
        <w:spacing w:after="0" w:line="195" w:lineRule="exact"/>
        <w:rPr>
          <w:sz w:val="20"/>
          <w:szCs w:val="20"/>
          <w:color w:val="auto"/>
        </w:rPr>
      </w:pPr>
    </w:p>
    <w:p>
      <w:pPr>
        <w:ind w:left="120" w:right="400"/>
        <w:spacing w:after="0" w:line="291" w:lineRule="auto"/>
        <w:rPr>
          <w:sz w:val="20"/>
          <w:szCs w:val="20"/>
          <w:color w:val="auto"/>
        </w:rPr>
      </w:pPr>
      <w:r>
        <w:rPr>
          <w:rFonts w:ascii="Arial" w:cs="Arial" w:eastAsia="Arial" w:hAnsi="Arial"/>
          <w:sz w:val="16"/>
          <w:szCs w:val="16"/>
          <w:color w:val="auto"/>
        </w:rPr>
        <w:t>Pursuant to our articles of association, managing directors are elected by the general meeting upon a binding nomination. The Supervisory Board is authorized to nominate a director candidate for appointment at the general meeting. Shareholders who individually or jointly represent at</w:t>
      </w:r>
    </w:p>
    <w:p>
      <w:pPr>
        <w:ind w:left="120" w:right="40"/>
        <w:spacing w:after="0" w:line="253" w:lineRule="auto"/>
        <w:rPr>
          <w:sz w:val="20"/>
          <w:szCs w:val="20"/>
          <w:color w:val="auto"/>
        </w:rPr>
      </w:pPr>
      <w:r>
        <w:rPr>
          <w:rFonts w:ascii="Arial" w:cs="Arial" w:eastAsia="Arial" w:hAnsi="Arial"/>
          <w:sz w:val="18"/>
          <w:szCs w:val="18"/>
          <w:color w:val="auto"/>
        </w:rPr>
        <w:t>least one-tenth of the issued share capital have the same right to nominate a director candidate for appointment at the general meeting. The general meeting may at any time suspend and dismiss a managing director. The general meeting may only adopt a resolution to suspend or dismiss a managing director by a majority of at least two thirds of the votes cast, representing more than half of the issued share capital, unless the resolution is adopted on the basis of a proposal of the Supervisory Board; in that case, the resolution may be adopted by an absolute majority of the votes cast, representing more than half of the issued share capital.</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Management Board is required to provide the Supervisory Board with the information it needs to carry out its duties. In addition, at least once a year, the Management Board must inform the Supervisory Board in writing of the strategic policy, the general and financial risks and the management and control system of the company.</w:t>
      </w:r>
    </w:p>
    <w:p>
      <w:pPr>
        <w:spacing w:after="0" w:line="184"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Our articles of association provide that if one or more managing directors have a direct or indirect personal interest that conflicts with the interest of the company and the business connected with it, they will not be authorized to participate in the discussion and the decision-making process. In the event that all managing directors have, or the only managing director has, a direct or indirect personal interest that conflicts with the interest of the company and the business connected with it, the resolution will be adopted by the Supervisory Board.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Supervisory Board</w:t>
      </w:r>
    </w:p>
    <w:p>
      <w:pPr>
        <w:spacing w:after="0" w:line="117" w:lineRule="exact"/>
        <w:rPr>
          <w:sz w:val="20"/>
          <w:szCs w:val="20"/>
          <w:color w:val="auto"/>
        </w:rPr>
      </w:pPr>
    </w:p>
    <w:p>
      <w:pPr>
        <w:jc w:val="both"/>
        <w:ind w:left="120" w:right="820"/>
        <w:spacing w:after="0" w:line="286" w:lineRule="auto"/>
        <w:rPr>
          <w:sz w:val="20"/>
          <w:szCs w:val="20"/>
          <w:color w:val="auto"/>
        </w:rPr>
      </w:pPr>
      <w:r>
        <w:rPr>
          <w:rFonts w:ascii="Arial" w:cs="Arial" w:eastAsia="Arial" w:hAnsi="Arial"/>
          <w:sz w:val="17"/>
          <w:szCs w:val="17"/>
          <w:color w:val="auto"/>
        </w:rPr>
        <w:t>The Supervisory Board consists of seven supervisory directors, although only six supervisory directors have been appointed at this time. The Supervisory Board may consist of such number of supervisory directors as the Supervisory Board may determine, but not less than three. The Supervisory Board is divided into three classes, with each class as nearly equal in number as possible.</w:t>
      </w:r>
    </w:p>
    <w:p>
      <w:pPr>
        <w:spacing w:after="0" w:line="16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role of the Supervisory Board is the supervision of the policies of the Management Board and of the general course of affairs of the company and the business connected with it. In doing so, the Supervisory Board also focuses on the effectiveness of our internal risk management and control systems and the integrity and quality of our financial reporting. In fulfilling their duties, the supervisory directors must serve the interests of the company and the business connected with it. This supervision includes the power to intervene whenever necessary and to take corrective actions as may be required in the interest of the company, subject to Dutch law and our articles of association. Our articles of association provide the Supervisory Board with the authority to approve or reject Management Board resolutions that relate to significant corporate action (for example, listing on Nasdaq, capital expenditures or debt incurrence of over $500,000 and related party transactions).</w:t>
      </w:r>
    </w:p>
    <w:p>
      <w:pPr>
        <w:spacing w:after="0" w:line="177"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Pursuant to our articles of association, the supervisory directors are appointed by the general meeting upon a binding nomination. The Supervisory Board is authorized to nominate a director candidate for appointment at the general meeting. Shareholders who individually or jointly represent at least one-tenth of the issued share capital have the same right to nominate a director candidate for appointment at the general meeting. The general meeting may at all times overrule the binding nature of each nomination by a resolution adopted by a majority of at least two thirds of the votes cast, representing more than half of the issued share capital.</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general meeting may at any time suspend and dismiss a supervisory director. The general meeting may only adopt a resolution to suspend or dismiss a supervisory director by a majority of at least two thirds of the votes cast, representing more than half of the issued share capital, unless the resolution is adopted on the basis of a proposal of the Supervisory Board; in that case, the resolution may be adopted by an absolute majority of the votes cast representing more than half of the issued share capital.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On July 1, 2021, and pursuant to our articles of association, our two-tier board structure will automatically convert into a one-tier board structure. There will be one Board that will consist of executive directors and non-executive directors.</w:t>
      </w:r>
    </w:p>
    <w:p>
      <w:pPr>
        <w:spacing w:after="0" w:line="170" w:lineRule="exact"/>
        <w:rPr>
          <w:sz w:val="20"/>
          <w:szCs w:val="20"/>
          <w:color w:val="auto"/>
        </w:rPr>
      </w:pPr>
    </w:p>
    <w:p>
      <w:pPr>
        <w:ind w:left="120" w:right="180"/>
        <w:spacing w:after="0" w:line="274" w:lineRule="auto"/>
        <w:rPr>
          <w:sz w:val="20"/>
          <w:szCs w:val="20"/>
          <w:color w:val="auto"/>
        </w:rPr>
      </w:pPr>
      <w:r>
        <w:rPr>
          <w:rFonts w:ascii="Arial" w:cs="Arial" w:eastAsia="Arial" w:hAnsi="Arial"/>
          <w:sz w:val="17"/>
          <w:szCs w:val="17"/>
          <w:color w:val="auto"/>
        </w:rPr>
        <w:t>Subject to our articles of association, the Board will be charged with the management of the company. In fulfilling their duties, our directors will serve the interest of the company and the business connected with it. The executive directors and the Executive Committee are charged with</w:t>
      </w:r>
    </w:p>
    <w:p>
      <w:pPr>
        <w:ind w:left="120" w:right="240"/>
        <w:spacing w:after="0" w:line="255" w:lineRule="auto"/>
        <w:rPr>
          <w:sz w:val="20"/>
          <w:szCs w:val="20"/>
          <w:color w:val="auto"/>
        </w:rPr>
      </w:pPr>
      <w:r>
        <w:rPr>
          <w:rFonts w:ascii="Arial" w:cs="Arial" w:eastAsia="Arial" w:hAnsi="Arial"/>
          <w:sz w:val="18"/>
          <w:szCs w:val="18"/>
          <w:color w:val="auto"/>
        </w:rPr>
        <w:t>the day-to-day management of the company. Supervision of the fulfilment of duties by the executive directors and of the general course of the company’s affairs and the business connected with it will primarily be carried out by the non-executive directors. The executive directors must in due time provide the non-executive directors with the information they need to carry out their duties.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Board consists of one or more executive directors and three or more non-executive directors. The majority of the Board, however, consists</w:t>
      </w:r>
    </w:p>
    <w:p>
      <w:pPr>
        <w:spacing w:after="0" w:line="35"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of non-executive directors. The number of executive directors and non-executive directors is determined by the Board. The Board will be divided into three classes with each class as nearly equal in number as possible.</w:t>
      </w:r>
    </w:p>
    <w:p>
      <w:pPr>
        <w:spacing w:after="0" w:line="18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After July 1, 2021, our directors will be elected by the general meeting upon a binding nomination. The Board will be authorized to nominate a director candidate for appointment at the general meeting. Shareholders who individually or jointly represent at least one-tenth of the issued share capital will have the same right to nominate a director candidate for appointment at the general meeting. The general meeting may at all times overrule the binding nature of each nomination by a resolution adopted by a majority of at least two thirds of the votes cast, representing more than half of the issued share capital.</w:t>
      </w:r>
    </w:p>
    <w:p>
      <w:pPr>
        <w:spacing w:after="0" w:line="188"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general meeting may at any time suspend and dismiss a non-executive director or executive director. The general meeting may only adopt a resolution to suspend or dismiss a non-executive director or executive director by a majority of at least two thirds of the votes cast, representing more than half of the issued share capital, unless the resolution is adopted on the basis of a proposal of the Board; in that case, the resolution may be adopted by an absolute majority of the votes cast, representing more than half of the issued share capital.</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Committee</w:t>
      </w:r>
    </w:p>
    <w:p>
      <w:pPr>
        <w:spacing w:after="0" w:line="121"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In addition to the Management Board and the Supervisory Board, or the Board after July 1, 2021, we have an Executive Committee. Pursuant to our articles of association, the Executive Committee consists of all managing directors and executive officers. Executive officers who are not managing directors are appointed by the Management Board. The Management Board may at any time suspend or dismiss an executive officer who is not a managing director. A resolution of the Management Board to appoint, suspend or dismiss an executive officer requires the prior approval of the Supervisory Board.</w:t>
      </w:r>
    </w:p>
    <w:p>
      <w:pPr>
        <w:spacing w:after="0" w:line="188"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The Executive Committee is charged with the matters concerning the day-to-day management of the company determined by the Management Board. Two executive officers acting jointly have the power to represent the company. The Management Board may, whether or not by rule, determine the duties with which each executive officer will be particularly charged, such resolution requires the prior approval of the Supervisory Board.</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20"/>
          </w:cols>
          <w:pgMar w:left="320" w:top="459" w:right="5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117"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The Management Board consists of one managing director, the Executive Committee consists of seven executive officers, and the Supervisory Board consists of seven supervisory directors, although only six supervisory directors have been appointed at this time. The following table lists the names, ages as of July 31, 2020 and positions of the individuals who are serving as managing director, executive officers and supervisory directors.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5080" w:type="dxa"/>
            <w:vAlign w:val="bottom"/>
            <w:gridSpan w:val="4"/>
          </w:tcPr>
          <w:p>
            <w:pPr>
              <w:spacing w:after="0"/>
              <w:rPr>
                <w:sz w:val="16"/>
                <w:szCs w:val="16"/>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Age</w:t>
            </w:r>
          </w:p>
        </w:tc>
        <w:tc>
          <w:tcPr>
            <w:tcW w:w="50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49"/>
        </w:trPr>
        <w:tc>
          <w:tcPr>
            <w:tcW w:w="1640" w:type="dxa"/>
            <w:vAlign w:val="bottom"/>
            <w:tcBorders>
              <w:bottom w:val="single" w:sz="8" w:color="auto"/>
            </w:tcBorders>
            <w:gridSpan w:val="4"/>
          </w:tcPr>
          <w:p>
            <w:pPr>
              <w:spacing w:after="0" w:line="149" w:lineRule="exact"/>
              <w:rPr>
                <w:sz w:val="20"/>
                <w:szCs w:val="20"/>
                <w:color w:val="auto"/>
              </w:rPr>
            </w:pPr>
            <w:r>
              <w:rPr>
                <w:rFonts w:ascii="Arial" w:cs="Arial" w:eastAsia="Arial" w:hAnsi="Arial"/>
                <w:sz w:val="17"/>
                <w:szCs w:val="17"/>
                <w:b w:val="1"/>
                <w:bCs w:val="1"/>
                <w:color w:val="auto"/>
                <w:w w:val="94"/>
              </w:rPr>
              <w:t>Executive Committee</w:t>
            </w:r>
          </w:p>
        </w:tc>
        <w:tc>
          <w:tcPr>
            <w:tcW w:w="38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060" w:type="dxa"/>
            <w:vAlign w:val="bottom"/>
            <w:tcBorders>
              <w:top w:val="single" w:sz="8" w:color="auto"/>
            </w:tcBorders>
          </w:tcPr>
          <w:p>
            <w:pPr>
              <w:spacing w:after="0"/>
              <w:rPr>
                <w:sz w:val="12"/>
                <w:szCs w:val="12"/>
                <w:color w:val="auto"/>
              </w:rPr>
            </w:pPr>
          </w:p>
        </w:tc>
      </w:tr>
      <w:tr>
        <w:trPr>
          <w:trHeight w:val="222"/>
        </w:trPr>
        <w:tc>
          <w:tcPr>
            <w:tcW w:w="5440" w:type="dxa"/>
            <w:vAlign w:val="bottom"/>
            <w:gridSpan w:val="5"/>
          </w:tcPr>
          <w:p>
            <w:pPr>
              <w:spacing w:after="0"/>
              <w:rPr>
                <w:sz w:val="20"/>
                <w:szCs w:val="20"/>
                <w:color w:val="auto"/>
              </w:rPr>
            </w:pPr>
            <w:r>
              <w:rPr>
                <w:rFonts w:ascii="Arial" w:cs="Arial" w:eastAsia="Arial" w:hAnsi="Arial"/>
                <w:sz w:val="18"/>
                <w:szCs w:val="18"/>
                <w:color w:val="auto"/>
              </w:rPr>
              <w:t>Harpreet Singh, Ph.D.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50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Thomas Ulmer</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Cedrik Britten, M.D.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506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Carsten Reinhardt, M.D., Ph.D.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5060" w:type="dxa"/>
            <w:vAlign w:val="bottom"/>
          </w:tcPr>
          <w:p>
            <w:pPr>
              <w:spacing w:after="0"/>
              <w:rPr>
                <w:sz w:val="20"/>
                <w:szCs w:val="20"/>
                <w:color w:val="auto"/>
              </w:rPr>
            </w:pPr>
            <w:r>
              <w:rPr>
                <w:rFonts w:ascii="Arial" w:cs="Arial" w:eastAsia="Arial" w:hAnsi="Arial"/>
                <w:sz w:val="18"/>
                <w:szCs w:val="18"/>
                <w:color w:val="auto"/>
              </w:rPr>
              <w:t>Chief Development Officer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Toni Weinschenk, Ph.D.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5060" w:type="dxa"/>
            <w:vAlign w:val="bottom"/>
          </w:tcPr>
          <w:p>
            <w:pPr>
              <w:spacing w:after="0"/>
              <w:rPr>
                <w:sz w:val="20"/>
                <w:szCs w:val="20"/>
                <w:color w:val="auto"/>
              </w:rPr>
            </w:pPr>
            <w:r>
              <w:rPr>
                <w:rFonts w:ascii="Arial" w:cs="Arial" w:eastAsia="Arial" w:hAnsi="Arial"/>
                <w:sz w:val="18"/>
                <w:szCs w:val="18"/>
                <w:color w:val="auto"/>
              </w:rPr>
              <w:t>Chief Innovation Officer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Rainer Kramer, Ph.D.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5060" w:type="dxa"/>
            <w:vAlign w:val="bottom"/>
          </w:tcPr>
          <w:p>
            <w:pPr>
              <w:spacing w:after="0"/>
              <w:rPr>
                <w:sz w:val="20"/>
                <w:szCs w:val="20"/>
                <w:color w:val="auto"/>
              </w:rPr>
            </w:pPr>
            <w:r>
              <w:rPr>
                <w:rFonts w:ascii="Arial" w:cs="Arial" w:eastAsia="Arial" w:hAnsi="Arial"/>
                <w:sz w:val="18"/>
                <w:szCs w:val="18"/>
                <w:color w:val="auto"/>
              </w:rPr>
              <w:t>Chief Business Officer</w:t>
            </w:r>
          </w:p>
        </w:tc>
      </w:tr>
      <w:tr>
        <w:trPr>
          <w:trHeight w:val="230"/>
        </w:trPr>
        <w:tc>
          <w:tcPr>
            <w:tcW w:w="5440" w:type="dxa"/>
            <w:vAlign w:val="bottom"/>
            <w:gridSpan w:val="5"/>
          </w:tcPr>
          <w:p>
            <w:pPr>
              <w:spacing w:after="0"/>
              <w:rPr>
                <w:sz w:val="20"/>
                <w:szCs w:val="20"/>
                <w:color w:val="auto"/>
              </w:rPr>
            </w:pPr>
            <w:r>
              <w:rPr>
                <w:rFonts w:ascii="Arial" w:cs="Arial" w:eastAsia="Arial" w:hAnsi="Arial"/>
                <w:sz w:val="18"/>
                <w:szCs w:val="18"/>
                <w:color w:val="auto"/>
              </w:rPr>
              <w:t>Steffen Walter, Ph.D.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50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83"/>
        </w:trPr>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Management Board</w:t>
            </w:r>
          </w:p>
        </w:tc>
        <w:tc>
          <w:tcPr>
            <w:tcW w:w="39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37"/>
        </w:trPr>
        <w:tc>
          <w:tcPr>
            <w:tcW w:w="5440" w:type="dxa"/>
            <w:vAlign w:val="bottom"/>
            <w:gridSpan w:val="5"/>
          </w:tcPr>
          <w:p>
            <w:pPr>
              <w:spacing w:after="0"/>
              <w:rPr>
                <w:sz w:val="20"/>
                <w:szCs w:val="20"/>
                <w:color w:val="auto"/>
              </w:rPr>
            </w:pPr>
            <w:r>
              <w:rPr>
                <w:rFonts w:ascii="Arial" w:cs="Arial" w:eastAsia="Arial" w:hAnsi="Arial"/>
                <w:sz w:val="18"/>
                <w:szCs w:val="18"/>
                <w:color w:val="auto"/>
              </w:rPr>
              <w:t>Harpreet Singh, Ph.D.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50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83"/>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Supervisory Board</w:t>
            </w:r>
          </w:p>
        </w:tc>
        <w:tc>
          <w:tcPr>
            <w:tcW w:w="398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22"/>
        </w:trPr>
        <w:tc>
          <w:tcPr>
            <w:tcW w:w="5440" w:type="dxa"/>
            <w:vAlign w:val="bottom"/>
            <w:gridSpan w:val="5"/>
          </w:tcPr>
          <w:p>
            <w:pPr>
              <w:spacing w:after="0"/>
              <w:rPr>
                <w:sz w:val="20"/>
                <w:szCs w:val="20"/>
                <w:color w:val="auto"/>
              </w:rPr>
            </w:pPr>
            <w:r>
              <w:rPr>
                <w:rFonts w:ascii="Arial" w:cs="Arial" w:eastAsia="Arial" w:hAnsi="Arial"/>
                <w:sz w:val="18"/>
                <w:szCs w:val="18"/>
                <w:color w:val="auto"/>
              </w:rPr>
              <w:t>Peter Chambré</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5060" w:type="dxa"/>
            <w:vAlign w:val="bottom"/>
          </w:tcPr>
          <w:p>
            <w:pPr>
              <w:spacing w:after="0"/>
              <w:rPr>
                <w:sz w:val="20"/>
                <w:szCs w:val="20"/>
                <w:color w:val="auto"/>
              </w:rPr>
            </w:pPr>
            <w:r>
              <w:rPr>
                <w:rFonts w:ascii="Arial" w:cs="Arial" w:eastAsia="Arial" w:hAnsi="Arial"/>
                <w:sz w:val="18"/>
                <w:szCs w:val="18"/>
                <w:color w:val="auto"/>
              </w:rPr>
              <w:t>Chairman of the Supervisory Board</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Michael G. Atieh</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506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Paul R. Carter</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506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Christof Hettich, L.L.D.</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506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color w:val="auto"/>
              </w:rPr>
              <w:t>Heather L. Mason</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506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230"/>
        </w:trPr>
        <w:tc>
          <w:tcPr>
            <w:tcW w:w="5440" w:type="dxa"/>
            <w:vAlign w:val="bottom"/>
            <w:gridSpan w:val="5"/>
          </w:tcPr>
          <w:p>
            <w:pPr>
              <w:spacing w:after="0"/>
              <w:rPr>
                <w:sz w:val="20"/>
                <w:szCs w:val="20"/>
                <w:color w:val="auto"/>
              </w:rPr>
            </w:pPr>
            <w:r>
              <w:rPr>
                <w:rFonts w:ascii="Arial" w:cs="Arial" w:eastAsia="Arial" w:hAnsi="Arial"/>
                <w:sz w:val="18"/>
                <w:szCs w:val="18"/>
                <w:color w:val="auto"/>
              </w:rPr>
              <w:t>Adam Stone</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5060" w:type="dxa"/>
            <w:vAlign w:val="bottom"/>
          </w:tcPr>
          <w:p>
            <w:pPr>
              <w:spacing w:after="0"/>
              <w:rPr>
                <w:sz w:val="20"/>
                <w:szCs w:val="20"/>
                <w:color w:val="auto"/>
              </w:rPr>
            </w:pPr>
            <w:r>
              <w:rPr>
                <w:rFonts w:ascii="Arial" w:cs="Arial" w:eastAsia="Arial" w:hAnsi="Arial"/>
                <w:sz w:val="18"/>
                <w:szCs w:val="18"/>
                <w:color w:val="auto"/>
              </w:rPr>
              <w:t>Supervisory Director</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i w:val="1"/>
          <w:iCs w:val="1"/>
          <w:color w:val="auto"/>
        </w:rPr>
        <w:t xml:space="preserve">Harpreet Singh, Ph.D. </w:t>
      </w:r>
      <w:r>
        <w:rPr>
          <w:rFonts w:ascii="Arial" w:cs="Arial" w:eastAsia="Arial" w:hAnsi="Arial"/>
          <w:sz w:val="17"/>
          <w:szCs w:val="17"/>
          <w:color w:val="auto"/>
        </w:rPr>
        <w:t>Dr. Singh co-founded Immatics OpCo in 2000, and since its foundation, Dr. Singh has served in a number of roles, including as</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director and Chief Scientific Officer. In addition, in 2014, Dr. Singh became President &amp; CEO of Immatics U.S., overseeing all operations in Houston, Texas and a strategic collaboration with MD Anderson Cancer Center to develop next-generation adoptive cell therapies. In 2019, Dr. Singh became CEO of Immatics OpCo. Dr. Singh has played a leadership role in raising more than $200 million of venture capital funding over several financing rounds as well $30 million of public grants. Dr. Singh is the inventor of numerous granted patents and patent applications and co-author of numerous scientific papers published by peer-reviewed journals including Nature, Nature Medicine, Nature Biotechnology, Journal of Experimental Medicine, Brain, Lancet Oncology and more. A scholar of Prof. Hans-Georg Rammensee, Dr. Singh completed his academic studies by gaining a Ph.D. in immunology at the University of Tübingen, Germany.</w:t>
      </w:r>
    </w:p>
    <w:p>
      <w:pPr>
        <w:spacing w:after="0" w:line="178"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We believe Dr. Singh’s qualifications to serve on our Management Board include his corporate leadership experience, perspective and experience as one of Immatics OpCo’s founders and as a long-term executive of Immatics in the United States and Germany, and his scientific background.</w:t>
      </w:r>
    </w:p>
    <w:p>
      <w:pPr>
        <w:spacing w:after="0" w:line="124"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i w:val="1"/>
          <w:iCs w:val="1"/>
          <w:color w:val="auto"/>
        </w:rPr>
        <w:t xml:space="preserve">Thomas Ulmer. </w:t>
      </w:r>
      <w:r>
        <w:rPr>
          <w:rFonts w:ascii="Arial" w:cs="Arial" w:eastAsia="Arial" w:hAnsi="Arial"/>
          <w:sz w:val="18"/>
          <w:szCs w:val="18"/>
          <w:color w:val="auto"/>
        </w:rPr>
        <w:t>Mr. Ulmer joined Immatics OpCo as its Chief Financial Officer in April 2018 from the Merck Group (“Merck”), where he was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the Allergopharma Business Unit. Mr. Ulmer began his professional career with Merck in 2004 where he held several roles, including Head of Business Planning &amp; Analysis and previously Head of Planning, Forecasting &amp; Resource Allocation. Mr. Ulmer has also been Chief Financial Officer for Australia and New Zealand and Financial Controller for Merck’s global generics business which was sold to Mylan Laboratories Inc. Mr. Ulmer also played a leading role of the integration of the business and built up an OTC business unit in Australia for which he received the company’s innovation award.</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Ulmer is a Certified Practicing Accountant of Australia and holds an MBA from Justus-Liebig-University of Giessen.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believe Mr. Ulmer’s qualifications to serve on the Executive Committee include his financial background and corporate leadership experience.</w:t>
      </w:r>
    </w:p>
    <w:p>
      <w:pPr>
        <w:spacing w:after="0" w:line="23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i w:val="1"/>
          <w:iCs w:val="1"/>
          <w:color w:val="auto"/>
        </w:rPr>
        <w:t xml:space="preserve">Cedrik M. Britten, M.D. </w:t>
      </w:r>
      <w:r>
        <w:rPr>
          <w:rFonts w:ascii="Arial" w:cs="Arial" w:eastAsia="Arial" w:hAnsi="Arial"/>
          <w:sz w:val="17"/>
          <w:szCs w:val="17"/>
          <w:color w:val="auto"/>
        </w:rPr>
        <w:t>Dr. Britten joined Immatics OpCo as its Chief Medical Officer in June 2020, assuming leadership for the management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global clinical development of our adoptive cell therapy and TCR Bispecifics pipeline from first testing in humans to registration trials, including managing regulatory affairs. Prior to that, Dr. Britten served as the Vice President and Head of the Oncology Cell Therapy Research Unit at GlaxoSmithKline plc (NYSE: GSK) from February 2015 to May 2020. While at GlaxoSmithKline, Dr. Britten was responsible for building the Oncology Cell Therapy Unit and driving the strategy and establishing the end-to-end capabilities required to research and develop innovative cell therapies in oncology. His main focus was on the early cell therapy portfolio covering target validation, the preclinical space and clinical trials up to proof of concept in patients. He also led several technical due diligences and deal preparations for new partnerships with various life science companies in the cell therapy space. He coordinated the opt-in and transfer of the late-stage NY-ESO TCR-T cell asset with multiple active clinical protocols into GSK, and oversaw four early cell therapy programs. Prior to his role at GlaxoSmithKline, Dr. Britten was Vice President of Research and Development at BioNTech RNA Pharmaceuticals GmbH. While at BioNTech, Dr. Britten was a key player establishing its clinical research group and led the clinical trial applications for BioNTech’s initial clinical assets until January 2015. Dr. Britten holds an M.D. from the University Medical Center of the Johannes-Gutenberg University.</w:t>
      </w:r>
    </w:p>
    <w:p>
      <w:pPr>
        <w:spacing w:after="0" w:line="17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believe Dr. Britten’s qualifications to serve on the Executive Committee include his long-term experience in drug development, his specific experience in immune-oncology including cell therapy, his medical background, his leadership experience, and his track record of developing corporate partnerships.</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i w:val="1"/>
          <w:iCs w:val="1"/>
          <w:color w:val="auto"/>
        </w:rPr>
        <w:t xml:space="preserve">Carsten Reinhardt, M.D., Ph.D. </w:t>
      </w:r>
      <w:r>
        <w:rPr>
          <w:rFonts w:ascii="Arial" w:cs="Arial" w:eastAsia="Arial" w:hAnsi="Arial"/>
          <w:sz w:val="16"/>
          <w:szCs w:val="16"/>
          <w:color w:val="auto"/>
        </w:rPr>
        <w:t>Dr. Reinhardt joined Immatics OpCo as its managing director and Chief Medical Officer in October 2009 from</w:t>
      </w:r>
      <w:r>
        <w:rPr>
          <w:rFonts w:ascii="Arial" w:cs="Arial" w:eastAsia="Arial" w:hAnsi="Arial"/>
          <w:sz w:val="16"/>
          <w:szCs w:val="16"/>
          <w:i w:val="1"/>
          <w:iCs w:val="1"/>
          <w:color w:val="auto"/>
        </w:rPr>
        <w:t xml:space="preserve"> </w:t>
      </w:r>
      <w:r>
        <w:rPr>
          <w:rFonts w:ascii="Arial" w:cs="Arial" w:eastAsia="Arial" w:hAnsi="Arial"/>
          <w:sz w:val="16"/>
          <w:szCs w:val="16"/>
          <w:color w:val="auto"/>
        </w:rPr>
        <w:t>Micromet, Inc., where he was Chief Medical Officer and a member of the management board. In June 2020, Dr. Reinhardt began serving as Immatics OpCo’s Chief Development Officer leading its Product Development Strategy. Furthermore, he leads our TCR Bispecifics platform and pipeline as well as the Immunology and Translational Development functions. Previously, as International Medical Leader at Hoffmann-La Roche (“Roche”),</w:t>
      </w:r>
    </w:p>
    <w:p>
      <w:pPr>
        <w:spacing w:after="0" w:line="1"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Dr. Reinhardt had global responsibility for the development of Herceptin. Prior to his tenure at Roche, Dr. Reinhardt was Head of Clinical Development at Fresenius Biotech GmbH. Prior to joining the pharma and biotech industry, Dr. Reinhardt held various academic medical positions and worked at the University of Tübingen and Max Planck Institute, Munich to complete his curriculum in Neurology. Dr. Reinhardt has co-authored more than 40 publications in peer-reviewed journals including Nature, Science, Nature Medicine, Lancet, Journal of Clinical Oncology, Cancer Research, and Journal of Experimental Medicine. Dr. Reinhardt is a Visiting Professor for Pharmaceutical Medicine at the University of Basel. Dr. Reinhardt received a Medical Degree in 1994 from the University of Munich, Germany and, in addition, completed a Ph.D. thesis in cellular immunology at the Institute of Immunology in Munich, Germany.</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believe Dr. Reinhardt’s qualifications to serve on the Executive Committee include his corporate leadership experience, his long-term experience in the areas of early- and late-stage drug development, and his medical and scientific background, as well as his track record of developing corporate partnerships and serving as an executive at public companies.</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 xml:space="preserve">Toni Weinschenk, Ph.D. </w:t>
      </w:r>
      <w:r>
        <w:rPr>
          <w:rFonts w:ascii="Arial" w:cs="Arial" w:eastAsia="Arial" w:hAnsi="Arial"/>
          <w:sz w:val="18"/>
          <w:szCs w:val="18"/>
          <w:color w:val="auto"/>
        </w:rPr>
        <w:t>Dr. Weinschenk co-founded Immatics OpCo in 2000. From 2002 to 2014, Dr. Weinschenk served as Immatics’ Head of</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Discovery. In 2015, Dr. Weinschenk became Immatics Opco’s Vice President Discovery, later transitioning to Chief Technology Officer for Immatics U.S. in 2015. In 2017, Dr. Weinschenk assumed the role of Immatics OpCo’s Chief Technology Officer. As of June 2020, Dr. Weinschenk serves as our Chief Innovation Officer. Dr. Weinschenk is the inventor of our proprietary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60"/>
          </w:cols>
          <w:pgMar w:left="320" w:top="459" w:right="5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XPRESIDENT technology platform and leads the discovery and validation of novel and innovative I/O targets. Furthermore, he is responsible for advancing our vision for ultrapersonalized multi-target immunotherapies and the X-AI data computing platform. pHLA targets discovered by his XPRESIDENT platform have been utilized for all of our drug candidates and for the collaboration with leading players in the field including Amgen, Genmab, BMS and GSK. Dr. Weinschenk is an inventor who holds many patents and has co-authored numerous publications in the cancer immunology field in peer-reviewed journals including Nature, Nature Medicine, Nature Immunology, Immunological Reviews and Cell Report. Dr. Weinschenk holds a Doctor of Science degree and a diploma in biochemistry from the University of Tübingen, Germany.</w:t>
      </w:r>
    </w:p>
    <w:p>
      <w:pPr>
        <w:spacing w:after="0" w:line="178" w:lineRule="exact"/>
        <w:rPr>
          <w:sz w:val="20"/>
          <w:szCs w:val="20"/>
          <w:color w:val="auto"/>
        </w:rPr>
      </w:pPr>
    </w:p>
    <w:p>
      <w:pPr>
        <w:jc w:val="both"/>
        <w:ind w:left="120" w:right="480"/>
        <w:spacing w:after="0" w:line="342" w:lineRule="auto"/>
        <w:rPr>
          <w:sz w:val="20"/>
          <w:szCs w:val="20"/>
          <w:color w:val="auto"/>
        </w:rPr>
      </w:pPr>
      <w:r>
        <w:rPr>
          <w:rFonts w:ascii="Arial" w:cs="Arial" w:eastAsia="Arial" w:hAnsi="Arial"/>
          <w:sz w:val="16"/>
          <w:szCs w:val="16"/>
          <w:color w:val="auto"/>
        </w:rPr>
        <w:t>We believe Dr. Weinschenk’s qualifications to serve on the Executive Committee include his corporate leadership experience, his globally leading expertise in the field of pHLA target discovery, his perspective and experience as one of Immatics OpCo’s founders and his scientific background.</w:t>
      </w:r>
    </w:p>
    <w:p>
      <w:pPr>
        <w:spacing w:after="0" w:line="124"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i w:val="1"/>
          <w:iCs w:val="1"/>
          <w:color w:val="auto"/>
        </w:rPr>
        <w:t xml:space="preserve">Rainer Kramer, Ph.D. </w:t>
      </w:r>
      <w:r>
        <w:rPr>
          <w:rFonts w:ascii="Arial" w:cs="Arial" w:eastAsia="Arial" w:hAnsi="Arial"/>
          <w:sz w:val="17"/>
          <w:szCs w:val="17"/>
          <w:color w:val="auto"/>
        </w:rPr>
        <w:t>Dr. Kramer joined Immatics OpCo as its Chief Business Officer in April 2012 from Signature Diagnostics AG, where he was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the Management Board and Chief Business Officer. Dr. Kramer still serves as Chief Business Officer, and he is responsible for our corporate business development activities, intellectual property and strategic alliance management. Dr. Kramer also currently serves as a director on the board of Immatics U.S. Dr. Kramer has worked in research and business development functions with increasing responsibilities at Amgen Inc., MorphoSys AG, Jerini AG, Shire PLC and Signature Diagnostics AG. During his career, Dr. Kramer negotiated and contributed to the completion of more than 50 partnering, M&amp;A and financing transactions with an aggregate value of more than $6 billion. Dr. Kramer holds a diploma in molecular biology from the University of Regensburg and a Ph.D. in neurobiology from the Max-Planck-Institute, Martinsried, Germany.</w:t>
      </w:r>
    </w:p>
    <w:p>
      <w:pPr>
        <w:spacing w:after="0" w:line="17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believe Dr. Kramer’s qualifications to serve on the Executive Committee include his corporate leadership experience and educational background, as well as his broad business experience and track record within the life sciences industry.</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Dr. Steffen Walter</w:t>
      </w:r>
      <w:r>
        <w:rPr>
          <w:rFonts w:ascii="Arial" w:cs="Arial" w:eastAsia="Arial" w:hAnsi="Arial"/>
          <w:sz w:val="17"/>
          <w:szCs w:val="17"/>
          <w:color w:val="auto"/>
        </w:rPr>
        <w:t>. After serving as a scientific consultant in 2004, Dr. Walter joined Immatics OpCo `in 2005 where he initially served as Director and</w:t>
      </w:r>
      <w:r>
        <w:rPr>
          <w:rFonts w:ascii="Arial" w:cs="Arial" w:eastAsia="Arial" w:hAnsi="Arial"/>
          <w:sz w:val="17"/>
          <w:szCs w:val="17"/>
          <w:i w:val="1"/>
          <w:iCs w:val="1"/>
          <w:color w:val="auto"/>
        </w:rPr>
        <w:t xml:space="preserve"> </w:t>
      </w:r>
      <w:r>
        <w:rPr>
          <w:rFonts w:ascii="Arial" w:cs="Arial" w:eastAsia="Arial" w:hAnsi="Arial"/>
          <w:sz w:val="17"/>
          <w:szCs w:val="17"/>
          <w:color w:val="auto"/>
        </w:rPr>
        <w:t>Head of Immunology from January 2005 until December 2013, then as Vice President Immunology from January 2014 until April 2015, and then served as Chief Scientific Officer of Immatics U.S. As of June 2020, Dr. Walter serves as our Chief Technology Officer. Dr. Walter also established operations of Immatics US in Houston, Texas and contributed significantly to raising the necessary funding including a $20 million Cancer Prevention and Research grant by the State of Texas. Dr. Walter leads our Cell Therapy platform and pipeline including manufacturing and process development. Furthermore, he leads our Quality Management. For over 15 years, Dr. Walter has been active in the field of cancer immunotherapy and a leader in human T cell biology. In addition to supporting the development of the XPRESIDENT technology platform, under his initial leadership, we developed our powerful XCEPTOR platforms to support the generation of safe and effective TCR-based therapeutic modalities. Dr. Walter is an inventor on numerous patents and patent applications and has co-authored more than 30 publications in prestigious peer-reviewed journals including Nature Medicine, Cell Reports, Lancet Oncology, Brain and Blood. Dr. Walter gained his diploma in biochemistry and a Ph.D. in immunology from the University of Tübingen, Germany.</w:t>
      </w:r>
    </w:p>
    <w:p>
      <w:pPr>
        <w:spacing w:after="0" w:line="182"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We believe Dr. Walter’s qualifications to serve on the Executive Committee include his corporate leadership experience, his long-term experience in the field of T cell biology, his perspective and experience as one of the founders of Immatics US and his scientific background.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executive officers.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Managing Director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Harpreet Singh, Ph.D., our Chief Executive Officer, serves as the sole managing director.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Supervisory Directors</w:t>
      </w:r>
    </w:p>
    <w:p>
      <w:pPr>
        <w:spacing w:after="0" w:line="117"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i w:val="1"/>
          <w:iCs w:val="1"/>
          <w:color w:val="auto"/>
        </w:rPr>
        <w:t>Peter Chambré</w:t>
      </w:r>
      <w:r>
        <w:rPr>
          <w:rFonts w:ascii="Arial" w:cs="Arial" w:eastAsia="Arial" w:hAnsi="Arial"/>
          <w:sz w:val="17"/>
          <w:szCs w:val="17"/>
          <w:color w:val="auto"/>
        </w:rPr>
        <w:t>. Mr. Chambré joined Immatics OpCo as Chairman of the Board in October 2012, and still maintains the position of Chairman.</w:t>
      </w:r>
      <w:r>
        <w:rPr>
          <w:rFonts w:ascii="Arial" w:cs="Arial" w:eastAsia="Arial" w:hAnsi="Arial"/>
          <w:sz w:val="17"/>
          <w:szCs w:val="17"/>
          <w:i w:val="1"/>
          <w:iCs w:val="1"/>
          <w:color w:val="auto"/>
        </w:rPr>
        <w:t xml:space="preserve"> </w:t>
      </w:r>
      <w:r>
        <w:rPr>
          <w:rFonts w:ascii="Arial" w:cs="Arial" w:eastAsia="Arial" w:hAnsi="Arial"/>
          <w:sz w:val="17"/>
          <w:szCs w:val="17"/>
          <w:color w:val="auto"/>
        </w:rPr>
        <w:t>Mr. Chambré also acted as Executive Chairman between August 2015 and June 2019. Mr. Chambré was the Chief Executive Officer of Cambridge Antibody Technology Group plc (“CAT”) from 2002 until its acquisition by AstraZeneca plc in 2006. Before joining CAT, Mr. Chambré was Chief Operating Officer of Celera Genomics Group and, previously, CEO of Bespak plc (later Consort Medical plc), a drug delivery company. From 2008 to 2010, Mr. Chambré was Chairman of ApaTech Ltd., a specialist in orthobiologic bone graft technologies, which was acquired by Baxter International Inc. in March 2010. From 2008 to 2013, Mr. Chambré was Chairman of Xellia Pharmaceuticals AS, a company focused on the development, manufacturing and global commercialization of anti-infective therapies and between 2011 and 2019 he was Chairman of OneMed AB a leading distributor of medical products in Northern Europe. From 2006 to 2012, Mr. Chambré served as Non-executive Director of BTG plc and between 2006 and 2016, he served as a Non-Executive Director of Spectris plc. Mr. Chambré also currently holds chairman and non-executive board positions with other companies, including UDG Healthcare plc, Cancer Research UK (trustee), and 7TM Holding ApS. Mr. Chambré holds a Bachelor of Science in food science from the University of Reading.</w:t>
      </w:r>
    </w:p>
    <w:p>
      <w:pPr>
        <w:spacing w:after="0" w:line="18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We believe Mr. Chambré’s qualifications to serve on the Supervisory Board include his extensive business and leadership experience within the life sciences industry.</w:t>
      </w:r>
    </w:p>
    <w:p>
      <w:pPr>
        <w:spacing w:after="0" w:line="166"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i w:val="1"/>
          <w:iCs w:val="1"/>
          <w:color w:val="auto"/>
        </w:rPr>
        <w:t>Michael G. Atieh</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Mr. Atieh was Executive Vice President, Chief Financial and Business Officer at Ophthotech Inc. (Nasdaq: OPHT) from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2014 until his retirement in March 2016. Previously, he was Executive Chairman of Eyetech Inc., a private biotech company from 2009 until the company was acquired in 2012. Prior to Eyetech, he was with OSI Pharmaceuticals (Nasdaq: OSIP) where he served as Executive Vice President and Chief Financial Officer from 2005 until 2009. Mr. Atieh spent the majority of his career with Merck and Co., Inc. (NYSE: MRK) where he held various executive level positions over a 19 year period, including Vice President- U.S. Human Health, Senior Vice President- Merck Medco Managed Care, Vice President- Public Affairs, Vice President- Government Relations, and Treasurer. Mr. Atieh began his career at Arthur Young (now Ernst &amp; Young), where he became an Audit Manager. Mr. Atieh currently serves on the Board of Directors of Chubb Limited (NYSE: CB), where he is a member of the Risk &amp; Finance Committee, and previously chaired the Audit Committee from 2012 to 2018. His previous Board experience was with Theravance Biopharma (Nasdaq: TBPH) from 2014 to 2015, where he was a member of the Audit Committee, OSI Pharmaceuticals, where he served as a member of the Board and Chairman of the Audit Committee from 2003 to 2005 and Clintrak Clinical Labeling Services LLC, a private company where he served on the Board from 2004 to 2006. Mr. Atieh earned a B.A. from Upsala College.</w:t>
      </w:r>
    </w:p>
    <w:p>
      <w:pPr>
        <w:spacing w:after="0" w:line="16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believe Mr. Atieh’s qualifications to serve on the Supervisory Board include his business leadership experience, financial background and track record within the life sciences industry.</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 xml:space="preserve">Paul R. Carter, FCMA. </w:t>
      </w:r>
      <w:r>
        <w:rPr>
          <w:rFonts w:ascii="Arial" w:cs="Arial" w:eastAsia="Arial" w:hAnsi="Arial"/>
          <w:sz w:val="17"/>
          <w:szCs w:val="17"/>
          <w:color w:val="auto"/>
        </w:rPr>
        <w:t>Mr. Carter’s background includes 10 years of experience at Gilead Sciences, Inc., in their Foster City, CA and London, UK</w:t>
      </w:r>
      <w:r>
        <w:rPr>
          <w:rFonts w:ascii="Arial" w:cs="Arial" w:eastAsia="Arial" w:hAnsi="Arial"/>
          <w:sz w:val="17"/>
          <w:szCs w:val="17"/>
          <w:i w:val="1"/>
          <w:iCs w:val="1"/>
          <w:color w:val="auto"/>
        </w:rPr>
        <w:t xml:space="preserve"> </w:t>
      </w:r>
      <w:r>
        <w:rPr>
          <w:rFonts w:ascii="Arial" w:cs="Arial" w:eastAsia="Arial" w:hAnsi="Arial"/>
          <w:sz w:val="17"/>
          <w:szCs w:val="17"/>
          <w:color w:val="auto"/>
        </w:rPr>
        <w:t>offices, where he was employed as Executive Vice President, Commercial Operations from 2014 to 2016 and Senior Vice President and Head, International Commercial Operations from 2006-2014. Prior to that role, Mr. Carter spent 10 years at GlaxoSmithKline plc, where he served as Regional Vice President, China &amp; Hong Kong from 2002 to 2005, Vice President and General Manager, Pharmaceutical &amp; Consumer Health, Hong Kong &amp; South China from 1999-2002, and General Manager, SmithKline Beecham Consumer Health, Russia &amp; CIS from 1995 to 1999. Mr. Carter currently serves on the board of Hutchison China MediTech Ltd. (Nasdaq: HCM), a role he has held since 2017, where he is the Chairman of the Remuneration Committee and member of the Audit Committee, Nomination Committee and Technical Committee. Mr. Carter has also served as a board member of Mallinckrodt PLC (NYSE: MNK) since 2018, where he serves as a member of the Audit Committee. Mr. Carter is also the Chairman of Evox Therapeutics Ltd, a private biotechnology company based in Oxford, UK. Mr. Carter is also a board observer of Echosens SA, a private medical technology company. From 2015-2019, Mr. Carter was a board member, member of the Remuneration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spacing w:after="0" w:line="311" w:lineRule="auto"/>
        <w:rPr>
          <w:sz w:val="20"/>
          <w:szCs w:val="20"/>
          <w:color w:val="auto"/>
        </w:rPr>
      </w:pPr>
      <w:r>
        <w:rPr>
          <w:rFonts w:ascii="Arial" w:cs="Arial" w:eastAsia="Arial" w:hAnsi="Arial"/>
          <w:sz w:val="16"/>
          <w:szCs w:val="16"/>
          <w:color w:val="auto"/>
        </w:rPr>
        <w:t>Committee, and Chair of the Audit Committee of Alder BioPharmaceuticals, Inc. In addition to his board memberships, Mr. Carter also serves as a healthcare advisor to numerous entities, including Astorg Partners SAS (2017 to present), ZambonGroup (2017 to present), Indegene Inc. (2017 to present) and GLG Institute (2017 to present). Mr. Carter holds a Bachelor’s degree in business studies from the University of West London.</w:t>
      </w:r>
    </w:p>
    <w:p>
      <w:pPr>
        <w:spacing w:after="0" w:line="14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We believe Mr. Carter’s qualifications to serve on the Supervisory Board include his extensive business and leadership experience within the life sciences industry.</w:t>
      </w:r>
    </w:p>
    <w:p>
      <w:pPr>
        <w:spacing w:after="0" w:line="17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i w:val="1"/>
          <w:iCs w:val="1"/>
          <w:color w:val="auto"/>
        </w:rPr>
        <w:t xml:space="preserve">Christof Hettich, L.L.D. </w:t>
      </w:r>
      <w:r>
        <w:rPr>
          <w:rFonts w:ascii="Arial" w:cs="Arial" w:eastAsia="Arial" w:hAnsi="Arial"/>
          <w:sz w:val="18"/>
          <w:szCs w:val="18"/>
          <w:color w:val="auto"/>
        </w:rPr>
        <w:t>Dr. Hettich has served on the Board of Directors of Immatics OpCo since 2006. Dr. Hettich has served as the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SRH Holding (SdbR) since February 2015. Dr. Hettich also serves as chairman and a member on the board of several companies and foundations. Dr. Hettich is an attorney and partner of RITTERSHAUS Rechtsanwaelte in Mannheim/Frankfurt, Germany. Dr. Hettich is also a founding partner and managing director of dievini Hopp BioTech holding GmbH &amp; Co. KG (“dievini”). Dr. Hettich was nominated Honorary Professor at the University of Applied Sciences (FH) in Heidelberg, Germany in 2004. Dr. Hettich has a law degree from the University of Freiburg (Germany) and a Doctorate in Law from the University of Würzburg, Germany.</w:t>
      </w:r>
    </w:p>
    <w:p>
      <w:pPr>
        <w:spacing w:after="0" w:line="19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We believe Dr. Hettich’s qualifications to serve on the Supervisory Board include his extensive business and leadership experience within the life sciences industry.</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 xml:space="preserve">Heather L. Mason. </w:t>
      </w:r>
      <w:r>
        <w:rPr>
          <w:rFonts w:ascii="Arial" w:cs="Arial" w:eastAsia="Arial" w:hAnsi="Arial"/>
          <w:sz w:val="18"/>
          <w:szCs w:val="18"/>
          <w:color w:val="auto"/>
        </w:rPr>
        <w:t>Ms. Mason served in numerous roles in 27 years at Abbott Laboratories, Inc. from 1990-2017, including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Corporate Officer of Abbott Nutrition from 2014 to 2017, and as Senior Vice President, Corporate Officer of Abbott Diabetes Care from 2008 to 2014. Since 2019, Ms. Mason has served as a board member of Assertio Therapeutics, Inc. (Nasdaq: ASRT) (formerly Depomed), where she is a member of the Audit and Compensation Committees. Since April 2020, Ms. Mason has also served on the board of Pendulum Therapeutics, Inc., a private, venture capital-backed microbiome company. Ms. Mason holds a B.S.E. from the University of Michigan, Ann Arbor and an M.B.A. from the University of Chicago.</w:t>
      </w:r>
    </w:p>
    <w:p>
      <w:pPr>
        <w:spacing w:after="0" w:line="19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We believe Ms. Mason’s qualifications to serve on the Supervisory Board include her extensive business and leadership experience within the life sciences industry.</w:t>
      </w:r>
    </w:p>
    <w:p>
      <w:pPr>
        <w:spacing w:after="0" w:line="170"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i w:val="1"/>
          <w:iCs w:val="1"/>
          <w:color w:val="auto"/>
        </w:rPr>
        <w:t>Adam Stone</w:t>
      </w:r>
      <w:r>
        <w:rPr>
          <w:rFonts w:ascii="Arial" w:cs="Arial" w:eastAsia="Arial" w:hAnsi="Arial"/>
          <w:sz w:val="16"/>
          <w:szCs w:val="16"/>
          <w:color w:val="auto"/>
        </w:rPr>
        <w:t>. Mr. Stone was the Chief Executive Officer of ARYA and a member of the board of directors of ARYA. Mr. Stone joined Perceptive</w:t>
      </w:r>
      <w:r>
        <w:rPr>
          <w:rFonts w:ascii="Arial" w:cs="Arial" w:eastAsia="Arial" w:hAnsi="Arial"/>
          <w:sz w:val="16"/>
          <w:szCs w:val="16"/>
          <w:i w:val="1"/>
          <w:iCs w:val="1"/>
          <w:color w:val="auto"/>
        </w:rPr>
        <w:t xml:space="preserve"> </w:t>
      </w:r>
      <w:r>
        <w:rPr>
          <w:rFonts w:ascii="Arial" w:cs="Arial" w:eastAsia="Arial" w:hAnsi="Arial"/>
          <w:sz w:val="16"/>
          <w:szCs w:val="16"/>
          <w:color w:val="auto"/>
        </w:rPr>
        <w:t>Advisors in 2006 and has acted as Chief Investment Officer since 2012 and is a member of the internal investment committees of Perceptive Advisors’ credit opportunities and venture funds. Mr. Stone currently also serves on the boards of directors of Solid Biosciences (Nasdaq: SLDB), Renovia, and Xontogeny, which are portfolio companies of Perceptive Advisors. Prior to joining Perceptive Advisors, Mr. Stone was a Senior Analyst at Ursus Capital from 2001 to 2006 where he focused on biotechnology and specialty pharmaceuticals. During Mr. Stone’s tenure at Ursus Capital, Mr. Stone focused on biotech and specialty pharmaceuticals. Mr. Stone graduated with honors from Princeton University with a BA in molecular biology.</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Mr. Stone’s qualifications to serve on the Supervisory Board include his broad investment and transactional experience.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and Officer Qualifications</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have not established any specific, minimum qualifications that must be met by each of our officers. However, we generally evaluate the following qualities: educational background, diversity of professional experience, including whether the person is a current or was a former chief executive officer or chief financial officer of a public company or the head of a division of a prominent international organization, knowledge of our business, integrity, professional reputation, independence, wisdom, and ability to represent the best interests of our shareholders.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Nominating Committee of the Supervisory Board has prepared policies regarding director qualification requirements and the process for identifying and evaluating director candidates for adoption by the Supervisory Board.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Management Board consists of one managing director and the Supervisory Board consists of six supervisory directors:</w:t>
      </w:r>
    </w:p>
    <w:p>
      <w:pPr>
        <w:spacing w:after="0" w:line="131" w:lineRule="exact"/>
        <w:rPr>
          <w:sz w:val="20"/>
          <w:szCs w:val="20"/>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managing director is Harpreet Singh;</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Class I supervisory directors are Michael G. Atieh, a designee of the ARYA Sponsor and the pre-Business Combination independent directors of ARYA (collectively, the “ARYA Initial shareholders”) and Paul R. Carter, a designee of dievini, and their terms will expire at the first annual meeting of shareholders following the Closing Date;</w:t>
      </w:r>
    </w:p>
    <w:p>
      <w:pPr>
        <w:spacing w:after="0" w:line="89"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Class II supervisory directors are Peter Chambré and Heather L. Mason, and their terms will expire at the second annual meeting of shareholders following the date of the Closing Date;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Class III supervisory directors are Adam Stone, a designee of the ARYA Initial shareholders, and Christof Hettich, a designee of dievini, and their terms will expire at the third annual meeting of shareholders following the Closing Date.</w:t>
      </w:r>
    </w:p>
    <w:p>
      <w:pPr>
        <w:spacing w:after="0" w:line="17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On July 1, 2021, and pursuant to our articles of association, our two-tier board structure will automatically convert into a one-tier board structure which will consist of a nine member staggered board divided into three classes. The supervisory directors will retain their designated class upon the transition to the one-tier board.</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As a result of the staggered board, only one class of directors will be elected at each annual meeting of shareholders, with the other classes continuing for the remainder of their respective terms.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Supervisory Board</w:t>
      </w:r>
    </w:p>
    <w:p>
      <w:pPr>
        <w:spacing w:after="0" w:line="121"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Supervisory Board has established three standing committees: Audit Committee, Compensation Committee and Nominating &amp; Corporate Governance Committee.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Audit Committee members include Michael G. Atieh, Paul R. Carter and Heather L. Mason. Mr. Atieh serves as chairman of the Audit Committee.</w:t>
      </w:r>
    </w:p>
    <w:p>
      <w:pPr>
        <w:spacing w:after="0" w:line="23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Each member of the Audit Committee is expected to be financially literate and is expected to qualify as an “Audit Committee financial expert” as defined in applicable SEC rules.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Supervisory Board has adopted Audit Committee rules, which detail the principal functions of the Audit Committee, including:</w:t>
      </w:r>
    </w:p>
    <w:p>
      <w:pPr>
        <w:spacing w:after="0" w:line="131"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monitoring the independence of our independent registered public accounting firm;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assuring the rotation of the audit partners (including the lead and concurring partners) as required by law;</w:t>
      </w:r>
    </w:p>
    <w:p>
      <w:pPr>
        <w:spacing w:after="0" w:line="130" w:lineRule="exact"/>
        <w:rPr>
          <w:rFonts w:ascii="Arial" w:cs="Arial" w:eastAsia="Arial" w:hAnsi="Arial"/>
          <w:sz w:val="18"/>
          <w:szCs w:val="18"/>
          <w:color w:val="auto"/>
        </w:rPr>
      </w:pPr>
    </w:p>
    <w:p>
      <w:pPr>
        <w:ind w:left="5480" w:right="200" w:hanging="4824"/>
        <w:spacing w:after="0" w:line="449" w:lineRule="auto"/>
        <w:tabs>
          <w:tab w:leader="none" w:pos="1079"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177</w:t>
      </w:r>
    </w:p>
    <w:p>
      <w:pPr>
        <w:sectPr>
          <w:pgSz w:w="11900" w:h="16838" w:orient="portrait"/>
          <w:cols w:equalWidth="0" w:num="1">
            <w:col w:w="11080"/>
          </w:cols>
          <w:pgMar w:left="320" w:top="459"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making recommendations regarding the appointment or replacement of our independent registered public accounting firm;</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our independent registered public accounting firm (including resolution of disagreements between the Executive Committee and the independent auditors regarding financial reporting) for the purpose of preparing or issuing an audit report or related work;</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and the Executive Officers our annual financial statements and related disclosures as well as critical accounting policies and practices used by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reviewing all related person transactions for potential conflict of interest situations and voting with respect to all such transactions;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supervising the integrity of our financial reporting and the effectiveness of our internal risk management and control systems; and</w:t>
      </w:r>
    </w:p>
    <w:p>
      <w:pPr>
        <w:spacing w:after="0" w:line="142"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the company regarding accounting, internal accounting controls or auditing matters.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Compensation Committee members include Paul R. Carter, Adam Stone and Heather L. Mason. Mr. Carter serves as chairman of the Compensation Committee.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Supervisory Board has adopted Compensation Committee rules, which detail the principal functions of the Compensation Committee, including:</w:t>
      </w:r>
    </w:p>
    <w:p>
      <w:pPr>
        <w:spacing w:after="0" w:line="154"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reviewing and approving the corporate goals and objectives relevant to the compensation of our Chief Executive Officer;</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goals and objectives and determining and approving the compensation of the Chief Executive Officer based on such evaluation;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reviewing and approving the compensation of all other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reviewing and making recommendations to the Supervisory Board regarding policies and procedures for the grant of equity-based awards;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administering our incentive-based and equity-based compensation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retaining or obtaining the advice of outside compensation consultants, legal counsel or other advisers;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reviewing and discussing with management which executive compensation information should be included in our annual proxy statement;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reviewing and, where appropriate, making recommendations with regard to the compensation of directors.</w:t>
      </w:r>
    </w:p>
    <w:p>
      <w:pPr>
        <w:spacing w:after="0" w:line="225"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rules will also provide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Nominating and Corporate Governance Committee members include Peter Chambré, Christof Hettich and Adam Stone. Mr. Chambré serves as chairman of the nominating and corporate governance committee.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40"/>
          </w:cols>
          <w:pgMar w:left="320" w:top="459" w:right="5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Supervisory Board has adopted Nominating and Corporate Governance Committee rules, which detail the principal functions of the Nominating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Corporate Governance Committee, including:</w:t>
      </w:r>
    </w:p>
    <w:p>
      <w:pPr>
        <w:spacing w:after="0" w:line="116" w:lineRule="exact"/>
        <w:rPr>
          <w:sz w:val="20"/>
          <w:szCs w:val="20"/>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recommending criteria for Management Board, Supervisory Board and committee membership;</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assessing the performance of individual managing directors, supervisory directors and Supervisory Board committee members and reporting findings to the Supervisory Board;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developing a plan for the succession of managing directors and supervisory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supervising selection criteria and appointment procedures for executive officers other than the Chief Executive Officer;</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developing and recommending to the Supervisory Board a set of corporate governance guidelines and periodically reviewing and reassessing the adequacy of such guidelines;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reviewing and discussing with management disclosure of the company’s corporate governance practices.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We have adopted a code of business conduct and ethics that applies to all of our employees, officers and directors, including those officers responsible for financial reporting. Our code of business conduct and ethics is available on our website. We intend to disclose any amendment to the code, or any waivers of its requirements, on our website.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currently expect to retain all future earnings for use in the operation and expansion of our business and does not plan to pay any dividends on our shares in the near future. The general meeting is authorized to declare distributions. The general meeting may only resolve to declare distributions on the proposal of our Management Board, which requires the prior approval of the Supervisory Board or, after July 1, 2021, the Board. Declaration and payment of any dividends in the future will depend on a number of factors, including our earnings, capital requirements, overall financial condition, applicable law and contractual restrictions.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Immatics OpCo became our wholly owned subsidiary upon the closing of the Business Combination on July 1, 2020, and its senior management became our senior management. The following summarizes the compensation earned by the executive officers of Immatics OpCo for the fiscal year ended December 31, 2019. This section also discusses the material elements of the executive compensation policies and decisions of Immatics OpCo and important factors relevant to an analysis of such policies and decisions. It provides qualitative information regarding the manner and context in which compensation is awarded to and earned by our executive officers and is intended to place in perspective the information presented in the following tables and the corresponding narrative. The following section is historical and has not been adjusted to give effect to the Business Acquisition.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amount of compensation, including benefits in kind, accrued or paid to the executive officers of Immatics OpCo with respect to the year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is described in the table below:</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260" w:type="dxa"/>
            <w:vAlign w:val="bottom"/>
          </w:tcPr>
          <w:p>
            <w:pPr>
              <w:spacing w:after="0"/>
              <w:rPr>
                <w:sz w:val="20"/>
                <w:szCs w:val="20"/>
                <w:color w:val="auto"/>
              </w:rPr>
            </w:pPr>
            <w:r>
              <w:rPr>
                <w:rFonts w:ascii="Arial" w:cs="Arial" w:eastAsia="Arial" w:hAnsi="Arial"/>
                <w:sz w:val="14"/>
                <w:szCs w:val="14"/>
                <w:b w:val="1"/>
                <w:bCs w:val="1"/>
                <w:color w:val="auto"/>
              </w:rPr>
              <w:t>(Euros in thousands)</w:t>
            </w:r>
            <w:r>
              <w:rPr>
                <w:rFonts w:ascii="Arial" w:cs="Arial" w:eastAsia="Arial" w:hAnsi="Arial"/>
                <w:sz w:val="12"/>
                <w:szCs w:val="12"/>
                <w:b w:val="1"/>
                <w:bCs w:val="1"/>
                <w:color w:val="auto"/>
              </w:rPr>
              <w:t>(1)</w:t>
            </w: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Harpreet Singh, Ph.D.</w:t>
            </w:r>
          </w:p>
        </w:tc>
        <w:tc>
          <w:tcPr>
            <w:tcW w:w="5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All other executives</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Periodically-paid remuneration</w:t>
            </w: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740" w:type="dxa"/>
            <w:vAlign w:val="bottom"/>
            <w:tcBorders>
              <w:top w:val="single" w:sz="8" w:color="CCEEFF"/>
            </w:tcBorders>
            <w:shd w:val="clear" w:color="auto" w:fill="CCEEFF"/>
          </w:tcPr>
          <w:p>
            <w:pPr>
              <w:jc w:val="right"/>
              <w:ind w:right="484"/>
              <w:spacing w:after="0"/>
              <w:rPr>
                <w:sz w:val="20"/>
                <w:szCs w:val="20"/>
                <w:color w:val="auto"/>
              </w:rPr>
            </w:pPr>
            <w:r>
              <w:rPr>
                <w:rFonts w:ascii="Arial" w:cs="Arial" w:eastAsia="Arial" w:hAnsi="Arial"/>
                <w:sz w:val="15"/>
                <w:szCs w:val="15"/>
                <w:color w:val="auto"/>
                <w:w w:val="87"/>
              </w:rPr>
              <w:t>(2)</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Bonuses</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84"/>
              <w:spacing w:after="0"/>
              <w:rPr>
                <w:sz w:val="20"/>
                <w:szCs w:val="20"/>
                <w:color w:val="auto"/>
              </w:rPr>
            </w:pPr>
            <w:r>
              <w:rPr>
                <w:rFonts w:ascii="Arial" w:cs="Arial" w:eastAsia="Arial" w:hAnsi="Arial"/>
                <w:sz w:val="18"/>
                <w:szCs w:val="18"/>
                <w:color w:val="auto"/>
              </w:rPr>
              <w:t>151</w:t>
            </w:r>
            <w:r>
              <w:rPr>
                <w:rFonts w:ascii="Arial" w:cs="Arial" w:eastAsia="Arial" w:hAnsi="Arial"/>
                <w:sz w:val="15"/>
                <w:szCs w:val="15"/>
                <w:color w:val="auto"/>
              </w:rPr>
              <w:t>(2)</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r>
              <w:rPr>
                <w:rFonts w:ascii="Arial" w:cs="Arial" w:eastAsia="Arial" w:hAnsi="Arial"/>
                <w:sz w:val="15"/>
                <w:szCs w:val="15"/>
                <w:color w:val="auto"/>
              </w:rPr>
              <w:t>(3)</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Additional benefit payments</w:t>
            </w:r>
            <w:r>
              <w:rPr>
                <w:rFonts w:ascii="Arial" w:cs="Arial" w:eastAsia="Arial" w:hAnsi="Arial"/>
                <w:sz w:val="15"/>
                <w:szCs w:val="15"/>
                <w:color w:val="auto"/>
              </w:rPr>
              <w:t>(4)</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4"/>
              <w:spacing w:after="0"/>
              <w:rPr>
                <w:sz w:val="20"/>
                <w:szCs w:val="20"/>
                <w:color w:val="auto"/>
              </w:rPr>
            </w:pPr>
            <w:r>
              <w:rPr>
                <w:rFonts w:ascii="Arial" w:cs="Arial" w:eastAsia="Arial" w:hAnsi="Arial"/>
                <w:sz w:val="18"/>
                <w:szCs w:val="18"/>
                <w:color w:val="auto"/>
              </w:rPr>
              <w:t>67</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Total cash compensation</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64"/>
              <w:spacing w:after="0"/>
              <w:rPr>
                <w:sz w:val="20"/>
                <w:szCs w:val="20"/>
                <w:color w:val="auto"/>
              </w:rPr>
            </w:pPr>
            <w:r>
              <w:rPr>
                <w:rFonts w:ascii="Arial" w:cs="Arial" w:eastAsia="Arial" w:hAnsi="Arial"/>
                <w:sz w:val="18"/>
                <w:szCs w:val="18"/>
                <w:color w:val="auto"/>
              </w:rPr>
              <w:t>549</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2,420</w:t>
            </w:r>
          </w:p>
        </w:tc>
      </w:tr>
    </w:tbl>
    <w:p>
      <w:pPr>
        <w:spacing w:after="0" w:line="210"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5"/>
          <w:szCs w:val="15"/>
          <w:color w:val="auto"/>
        </w:rPr>
      </w:pPr>
      <w:r>
        <w:rPr>
          <w:rFonts w:ascii="Arial" w:cs="Arial" w:eastAsia="Arial" w:hAnsi="Arial"/>
          <w:sz w:val="18"/>
          <w:szCs w:val="18"/>
          <w:color w:val="auto"/>
        </w:rPr>
        <w:t>Amounts paid in U.S. dollars have been converted to Euros using an annual exchange rate for 2019 of 1.1195 to one U.S. dollar.</w:t>
      </w:r>
    </w:p>
    <w:p>
      <w:pPr>
        <w:spacing w:after="0" w:line="23" w:lineRule="exact"/>
        <w:rPr>
          <w:rFonts w:ascii="Arial" w:cs="Arial" w:eastAsia="Arial" w:hAnsi="Arial"/>
          <w:sz w:val="15"/>
          <w:szCs w:val="15"/>
          <w:color w:val="auto"/>
        </w:rPr>
      </w:pPr>
    </w:p>
    <w:p>
      <w:pPr>
        <w:ind w:left="540" w:right="180" w:hanging="424"/>
        <w:spacing w:after="0" w:line="250" w:lineRule="auto"/>
        <w:tabs>
          <w:tab w:leader="none" w:pos="540" w:val="left"/>
        </w:tabs>
        <w:numPr>
          <w:ilvl w:val="0"/>
          <w:numId w:val="102"/>
        </w:numPr>
        <w:rPr>
          <w:rFonts w:ascii="Arial" w:cs="Arial" w:eastAsia="Arial" w:hAnsi="Arial"/>
          <w:sz w:val="15"/>
          <w:szCs w:val="15"/>
          <w:color w:val="auto"/>
        </w:rPr>
      </w:pPr>
      <w:r>
        <w:rPr>
          <w:rFonts w:ascii="Arial" w:cs="Arial" w:eastAsia="Arial" w:hAnsi="Arial"/>
          <w:sz w:val="18"/>
          <w:szCs w:val="18"/>
          <w:color w:val="auto"/>
        </w:rPr>
        <w:t>Harpreet Singh was appointed Chief Executive Officer of Immatics OpCo on July 1, 2019. His annual base salary was adjusted to €350,000 and the maximum annual bonus was adjusted to 70% of his base salary at such time. The numbers here display the aggregate for 2019 including remuneration prior to and following his appointment.</w:t>
      </w:r>
    </w:p>
    <w:p>
      <w:pPr>
        <w:spacing w:after="0" w:line="1" w:lineRule="exact"/>
        <w:rPr>
          <w:rFonts w:ascii="Arial" w:cs="Arial" w:eastAsia="Arial" w:hAnsi="Arial"/>
          <w:sz w:val="15"/>
          <w:szCs w:val="15"/>
          <w:color w:val="auto"/>
        </w:rPr>
      </w:pPr>
    </w:p>
    <w:p>
      <w:pPr>
        <w:ind w:left="540" w:right="80" w:hanging="424"/>
        <w:spacing w:after="0" w:line="250" w:lineRule="auto"/>
        <w:tabs>
          <w:tab w:leader="none" w:pos="540" w:val="left"/>
        </w:tabs>
        <w:numPr>
          <w:ilvl w:val="0"/>
          <w:numId w:val="102"/>
        </w:numPr>
        <w:rPr>
          <w:rFonts w:ascii="Arial" w:cs="Arial" w:eastAsia="Arial" w:hAnsi="Arial"/>
          <w:sz w:val="15"/>
          <w:szCs w:val="15"/>
          <w:color w:val="auto"/>
        </w:rPr>
      </w:pPr>
      <w:r>
        <w:rPr>
          <w:rFonts w:ascii="Arial" w:cs="Arial" w:eastAsia="Arial" w:hAnsi="Arial"/>
          <w:sz w:val="18"/>
          <w:szCs w:val="18"/>
          <w:color w:val="auto"/>
        </w:rPr>
        <w:t>In 2019, the compensation committee of Immatics OpCo approved, with supervisory board approval, an additional all-cash performance bonus to two executive officers, which amounts are included in the bonus line in the table above.</w:t>
      </w:r>
    </w:p>
    <w:p>
      <w:pPr>
        <w:ind w:left="540" w:right="380" w:hanging="424"/>
        <w:spacing w:after="0" w:line="260" w:lineRule="auto"/>
        <w:tabs>
          <w:tab w:leader="none" w:pos="540" w:val="left"/>
        </w:tabs>
        <w:numPr>
          <w:ilvl w:val="0"/>
          <w:numId w:val="102"/>
        </w:numPr>
        <w:rPr>
          <w:rFonts w:ascii="Arial" w:cs="Arial" w:eastAsia="Arial" w:hAnsi="Arial"/>
          <w:sz w:val="15"/>
          <w:szCs w:val="15"/>
          <w:color w:val="auto"/>
        </w:rPr>
      </w:pPr>
      <w:r>
        <w:rPr>
          <w:rFonts w:ascii="Arial" w:cs="Arial" w:eastAsia="Arial" w:hAnsi="Arial"/>
          <w:sz w:val="18"/>
          <w:szCs w:val="18"/>
          <w:color w:val="auto"/>
        </w:rPr>
        <w:t>Additional benefit payments include monthly stipends, housing allowance, medical, retirement, and life insurances, as well as car leasing and associated costs.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amount of compensation, including benefits in kind, accrued or paid to the Immatics OpCo directors who provided services to Immatics OpCo with respect to the year ended December 31, 2019 is described in the table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Peter</w:t>
            </w:r>
          </w:p>
        </w:tc>
        <w:tc>
          <w:tcPr>
            <w:tcW w:w="4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8"/>
              </w:rPr>
              <w:t>Harald F. Stock,</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Chambré</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Ph.D</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Periodically-paid remuneration</w:t>
            </w: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300</w:t>
            </w:r>
          </w:p>
        </w:tc>
        <w:tc>
          <w:tcPr>
            <w:tcW w:w="660" w:type="dxa"/>
            <w:vAlign w:val="bottom"/>
            <w:tcBorders>
              <w:top w:val="single" w:sz="8" w:color="CCEEFF"/>
            </w:tcBorders>
            <w:shd w:val="clear" w:color="auto" w:fill="CCEEFF"/>
          </w:tcPr>
          <w:p>
            <w:pPr>
              <w:jc w:val="right"/>
              <w:ind w:right="404"/>
              <w:spacing w:after="0"/>
              <w:rPr>
                <w:sz w:val="20"/>
                <w:szCs w:val="20"/>
                <w:color w:val="auto"/>
              </w:rPr>
            </w:pPr>
            <w:r>
              <w:rPr>
                <w:rFonts w:ascii="Arial" w:cs="Arial" w:eastAsia="Arial" w:hAnsi="Arial"/>
                <w:sz w:val="15"/>
                <w:szCs w:val="15"/>
                <w:color w:val="auto"/>
                <w:w w:val="87"/>
              </w:rPr>
              <w:t>(1)</w:t>
            </w: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Total cash compensation</w:t>
            </w:r>
          </w:p>
        </w:tc>
        <w:tc>
          <w:tcPr>
            <w:tcW w:w="1780" w:type="dxa"/>
            <w:vAlign w:val="bottom"/>
            <w:gridSpan w:val="2"/>
          </w:tcPr>
          <w:p>
            <w:pPr>
              <w:ind w:left="16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220"/>
              <w:spacing w:after="0"/>
              <w:rPr>
                <w:sz w:val="20"/>
                <w:szCs w:val="20"/>
                <w:color w:val="auto"/>
              </w:rPr>
            </w:pPr>
            <w:r>
              <w:rPr>
                <w:rFonts w:ascii="Arial" w:cs="Arial" w:eastAsia="Arial" w:hAnsi="Arial"/>
                <w:sz w:val="18"/>
                <w:szCs w:val="18"/>
                <w:color w:val="auto"/>
              </w:rPr>
              <w:t>300</w:t>
            </w:r>
          </w:p>
        </w:tc>
        <w:tc>
          <w:tcPr>
            <w:tcW w:w="7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40" w:right="200" w:hanging="424"/>
        <w:spacing w:after="0" w:line="342" w:lineRule="auto"/>
        <w:tabs>
          <w:tab w:leader="none" w:pos="540" w:val="left"/>
        </w:tabs>
        <w:numPr>
          <w:ilvl w:val="0"/>
          <w:numId w:val="103"/>
        </w:numPr>
        <w:rPr>
          <w:rFonts w:ascii="Arial" w:cs="Arial" w:eastAsia="Arial" w:hAnsi="Arial"/>
          <w:sz w:val="13"/>
          <w:szCs w:val="13"/>
          <w:color w:val="auto"/>
        </w:rPr>
      </w:pPr>
      <w:r>
        <w:rPr>
          <w:rFonts w:ascii="Arial" w:cs="Arial" w:eastAsia="Arial" w:hAnsi="Arial"/>
          <w:sz w:val="16"/>
          <w:szCs w:val="16"/>
          <w:color w:val="auto"/>
        </w:rPr>
        <w:t>Peter Chambré was executive chairman of Immatics OpCo until June 30, 2019. The fee he received in this role was €400 thousand annually. On July 1, 2019, his role reverted to non-executive chairman of the Supervisory Board, for which he received a fee of €200 thousand annually.</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directors and executive officers of Immatics OpCo held the following SARs and option awards (both vested and unvested) as of March 31, 2020:</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Strike</w:t>
            </w:r>
          </w:p>
        </w:tc>
        <w:tc>
          <w:tcPr>
            <w:tcW w:w="15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4"/>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2"/>
              </w:rPr>
              <w:t>Beneficiary</w:t>
            </w:r>
          </w:p>
        </w:tc>
        <w:tc>
          <w:tcPr>
            <w:tcW w:w="2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268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Vesting date</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SARs/options</w:t>
            </w:r>
          </w:p>
        </w:tc>
        <w:tc>
          <w:tcPr>
            <w:tcW w:w="88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20" w:type="dxa"/>
            <w:vAlign w:val="bottom"/>
            <w:tcBorders>
              <w:bottom w:val="single" w:sz="8" w:color="auto"/>
            </w:tcBorders>
            <w:vMerge w:val="continue"/>
          </w:tcPr>
          <w:p>
            <w:pPr>
              <w:spacing w:after="0"/>
              <w:rPr>
                <w:sz w:val="15"/>
                <w:szCs w:val="15"/>
                <w:color w:val="auto"/>
              </w:rPr>
            </w:pPr>
          </w:p>
        </w:tc>
        <w:tc>
          <w:tcPr>
            <w:tcW w:w="2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(2)</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2"/>
                <w:szCs w:val="12"/>
                <w:b w:val="1"/>
                <w:bCs w:val="1"/>
                <w:color w:val="auto"/>
                <w:w w:val="95"/>
              </w:rPr>
              <w:t>(3)</w:t>
            </w:r>
          </w:p>
        </w:tc>
        <w:tc>
          <w:tcPr>
            <w:tcW w:w="1520" w:type="dxa"/>
            <w:vAlign w:val="bottom"/>
          </w:tcPr>
          <w:p>
            <w:pPr>
              <w:jc w:val="right"/>
              <w:ind w:right="55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9"/>
        </w:trPr>
        <w:tc>
          <w:tcPr>
            <w:tcW w:w="2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Harpreet Singh, Ph.D.</w:t>
            </w:r>
          </w:p>
        </w:tc>
        <w:tc>
          <w:tcPr>
            <w:tcW w:w="12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January 1, 2007</w:t>
            </w:r>
          </w:p>
        </w:tc>
        <w:tc>
          <w:tcPr>
            <w:tcW w:w="10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Fully vested as of December 31,</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 1, 2007</w:t>
            </w:r>
          </w:p>
        </w:tc>
        <w:tc>
          <w:tcPr>
            <w:tcW w:w="1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Fully vested as of December 31,</w:t>
            </w:r>
          </w:p>
        </w:tc>
        <w:tc>
          <w:tcPr>
            <w:tcW w:w="114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2,175</w:t>
            </w:r>
          </w:p>
        </w:tc>
        <w:tc>
          <w:tcPr>
            <w:tcW w:w="8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 1, 2011</w:t>
            </w:r>
          </w:p>
        </w:tc>
        <w:tc>
          <w:tcPr>
            <w:tcW w:w="1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Fully vested as of December 31,</w:t>
            </w:r>
          </w:p>
        </w:tc>
        <w:tc>
          <w:tcPr>
            <w:tcW w:w="114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1,300</w:t>
            </w:r>
          </w:p>
        </w:tc>
        <w:tc>
          <w:tcPr>
            <w:tcW w:w="8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January 1, 2016</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Subject-to-exit SAR</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21, 2018</w:t>
            </w:r>
          </w:p>
        </w:tc>
        <w:tc>
          <w:tcPr>
            <w:tcW w:w="1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3,636 vested as of March 31, 2020,</w:t>
            </w:r>
          </w:p>
        </w:tc>
        <w:tc>
          <w:tcPr>
            <w:tcW w:w="114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3,825</w:t>
            </w:r>
          </w:p>
        </w:tc>
        <w:tc>
          <w:tcPr>
            <w:tcW w:w="8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$16.65</w:t>
            </w:r>
          </w:p>
        </w:tc>
        <w:tc>
          <w:tcPr>
            <w:tcW w:w="1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July 1, 2025</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4"/>
              </w:rPr>
              <w:t>and an additional 189 will vest daily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thereafter until the award is fully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21, 2018</w:t>
            </w:r>
          </w:p>
        </w:tc>
        <w:tc>
          <w:tcPr>
            <w:tcW w:w="1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3,622 vested as of March 31, 2020,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6,578</w:t>
            </w:r>
          </w:p>
        </w:tc>
        <w:tc>
          <w:tcPr>
            <w:tcW w:w="8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$16.65</w:t>
            </w:r>
          </w:p>
        </w:tc>
        <w:tc>
          <w:tcPr>
            <w:tcW w:w="1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July 1, 2027</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and an additional 2,956 will vest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daily thereafter until the award is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fully vested</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July, 1, 2019</w:t>
            </w:r>
          </w:p>
        </w:tc>
        <w:tc>
          <w:tcPr>
            <w:tcW w:w="1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2,645 SARs will vest as of June 30,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13,225</w:t>
            </w:r>
          </w:p>
        </w:tc>
        <w:tc>
          <w:tcPr>
            <w:tcW w:w="8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$18.30</w:t>
            </w:r>
          </w:p>
        </w:tc>
        <w:tc>
          <w:tcPr>
            <w:tcW w:w="1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July 1, 2029</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5"/>
              </w:rPr>
              <w:t>2020, and an additional 10,580 will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5"/>
              </w:rPr>
              <w:t>vest daily thereafter until the award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is fully vested</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Thomas Ulmer</w:t>
            </w:r>
          </w:p>
        </w:tc>
        <w:tc>
          <w:tcPr>
            <w:tcW w:w="1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March 21, 2018</w:t>
            </w:r>
          </w:p>
        </w:tc>
        <w:tc>
          <w:tcPr>
            <w:tcW w:w="10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w w:val="93"/>
              </w:rPr>
              <w:t>2,000 SARs vested as of March 31,</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5,000</w:t>
            </w:r>
          </w:p>
        </w:tc>
        <w:tc>
          <w:tcPr>
            <w:tcW w:w="8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$16.65</w:t>
            </w:r>
          </w:p>
        </w:tc>
        <w:tc>
          <w:tcPr>
            <w:tcW w:w="1520" w:type="dxa"/>
            <w:vAlign w:val="bottom"/>
          </w:tcPr>
          <w:p>
            <w:pPr>
              <w:jc w:val="right"/>
              <w:spacing w:after="0" w:line="201" w:lineRule="exact"/>
              <w:rPr>
                <w:sz w:val="20"/>
                <w:szCs w:val="20"/>
                <w:color w:val="auto"/>
              </w:rPr>
            </w:pPr>
            <w:r>
              <w:rPr>
                <w:rFonts w:ascii="Arial" w:cs="Arial" w:eastAsia="Arial" w:hAnsi="Arial"/>
                <w:sz w:val="18"/>
                <w:szCs w:val="18"/>
                <w:color w:val="auto"/>
              </w:rPr>
              <w:t>April 1, 2028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9"/>
              </w:rPr>
              <w:t>2020, and an additional 3,000 will</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5"/>
              </w:rPr>
              <w:t>vest daily thereafter until the award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is fully vested</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Cedrik Britten, M.D.</w:t>
            </w:r>
          </w:p>
        </w:tc>
        <w:tc>
          <w:tcPr>
            <w:tcW w:w="18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February 14, 2020</w:t>
            </w:r>
          </w:p>
        </w:tc>
        <w:tc>
          <w:tcPr>
            <w:tcW w:w="1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1,200 SARs will vest as of May 31,</w:t>
            </w:r>
          </w:p>
        </w:tc>
        <w:tc>
          <w:tcPr>
            <w:tcW w:w="114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6,000</w:t>
            </w:r>
          </w:p>
        </w:tc>
        <w:tc>
          <w:tcPr>
            <w:tcW w:w="8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$157.22</w:t>
            </w:r>
          </w:p>
        </w:tc>
        <w:tc>
          <w:tcPr>
            <w:tcW w:w="1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June 1, 2030</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9"/>
              </w:rPr>
              <w:t>2021, and an additional 4,800 will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5"/>
              </w:rPr>
              <w:t>vest daily thereafter until the award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is fully vested</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Carsten Reinhardt, M.D., Ph.D.</w:t>
            </w:r>
          </w:p>
        </w:tc>
        <w:tc>
          <w:tcPr>
            <w:tcW w:w="18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October 1, 2009</w:t>
            </w:r>
          </w:p>
        </w:tc>
        <w:tc>
          <w:tcPr>
            <w:tcW w:w="10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Fully vested as of September 30,</w:t>
            </w:r>
          </w:p>
        </w:tc>
        <w:tc>
          <w:tcPr>
            <w:tcW w:w="114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1,750</w:t>
            </w:r>
          </w:p>
        </w:tc>
        <w:tc>
          <w:tcPr>
            <w:tcW w:w="8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780" w:type="dxa"/>
            <w:vAlign w:val="bottom"/>
            <w:gridSpan w:val="2"/>
          </w:tcPr>
          <w:p>
            <w:pPr>
              <w:ind w:left="10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January 1, 2011</w:t>
            </w: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Fully vested as of December 31,</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1,300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780" w:type="dxa"/>
            <w:vAlign w:val="bottom"/>
            <w:gridSpan w:val="2"/>
          </w:tcPr>
          <w:p>
            <w:pPr>
              <w:ind w:left="10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January 1, 2016</w:t>
            </w: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Subject-to-exit SARs</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3,010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March 21, 2018</w:t>
            </w: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4"/>
              </w:rPr>
              <w:t>2,109 vested as of March 31, 2020,</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2,220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c>
          <w:tcPr>
            <w:tcW w:w="1520" w:type="dxa"/>
            <w:vAlign w:val="bottom"/>
          </w:tcPr>
          <w:p>
            <w:pPr>
              <w:jc w:val="right"/>
              <w:spacing w:after="0"/>
              <w:rPr>
                <w:sz w:val="20"/>
                <w:szCs w:val="20"/>
                <w:color w:val="auto"/>
              </w:rPr>
            </w:pPr>
            <w:r>
              <w:rPr>
                <w:rFonts w:ascii="Arial" w:cs="Arial" w:eastAsia="Arial" w:hAnsi="Arial"/>
                <w:sz w:val="18"/>
                <w:szCs w:val="18"/>
                <w:color w:val="auto"/>
              </w:rPr>
              <w:t>July 1, 2025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4"/>
              </w:rPr>
              <w:t>and an additional 111 will vest daily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March 21, 2018</w:t>
            </w: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4"/>
              </w:rPr>
              <w:t>2,196 vested as of March 31, 2020,</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3,987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c>
          <w:tcPr>
            <w:tcW w:w="1520" w:type="dxa"/>
            <w:vAlign w:val="bottom"/>
          </w:tcPr>
          <w:p>
            <w:pPr>
              <w:jc w:val="right"/>
              <w:spacing w:after="0"/>
              <w:rPr>
                <w:sz w:val="20"/>
                <w:szCs w:val="20"/>
                <w:color w:val="auto"/>
              </w:rPr>
            </w:pPr>
            <w:r>
              <w:rPr>
                <w:rFonts w:ascii="Arial" w:cs="Arial" w:eastAsia="Arial" w:hAnsi="Arial"/>
                <w:sz w:val="18"/>
                <w:szCs w:val="18"/>
                <w:color w:val="auto"/>
              </w:rPr>
              <w:t>July 1, 2027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and an additional 1,791 will vest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daily thereafter until the award is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fully vested</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780" w:type="dxa"/>
            <w:vAlign w:val="bottom"/>
            <w:gridSpan w:val="2"/>
          </w:tcPr>
          <w:p>
            <w:pPr>
              <w:jc w:val="right"/>
              <w:ind w:right="175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Strike</w:t>
            </w:r>
          </w:p>
        </w:tc>
        <w:tc>
          <w:tcPr>
            <w:tcW w:w="15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4"/>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2"/>
              </w:rPr>
              <w:t>Beneficiary</w:t>
            </w:r>
          </w:p>
        </w:tc>
        <w:tc>
          <w:tcPr>
            <w:tcW w:w="2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27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Vesting date</w:t>
            </w:r>
            <w:r>
              <w:rPr>
                <w:rFonts w:ascii="Arial" w:cs="Arial" w:eastAsia="Arial" w:hAnsi="Arial"/>
                <w:sz w:val="12"/>
                <w:szCs w:val="12"/>
                <w:b w:val="1"/>
                <w:bCs w:val="1"/>
                <w:color w:val="auto"/>
              </w:rPr>
              <w:t>(1)</w:t>
            </w:r>
          </w:p>
        </w:tc>
        <w:tc>
          <w:tcPr>
            <w:tcW w:w="1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9"/>
              </w:rPr>
              <w:t>SARs/options</w:t>
            </w:r>
          </w:p>
        </w:tc>
        <w:tc>
          <w:tcPr>
            <w:tcW w:w="880" w:type="dxa"/>
            <w:vAlign w:val="bottom"/>
            <w:gridSpan w:val="2"/>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20" w:type="dxa"/>
            <w:vAlign w:val="bottom"/>
            <w:tcBorders>
              <w:bottom w:val="single" w:sz="8" w:color="auto"/>
            </w:tcBorders>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2"/>
            <w:vMerge w:val="continue"/>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outstanding</w:t>
            </w:r>
            <w:r>
              <w:rPr>
                <w:rFonts w:ascii="Arial" w:cs="Arial" w:eastAsia="Arial" w:hAnsi="Arial"/>
                <w:sz w:val="12"/>
                <w:szCs w:val="12"/>
                <w:b w:val="1"/>
                <w:bCs w:val="1"/>
                <w:color w:val="auto"/>
                <w:w w:val="90"/>
              </w:rPr>
              <w:t>(2)</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price</w:t>
            </w:r>
            <w:r>
              <w:rPr>
                <w:rFonts w:ascii="Arial" w:cs="Arial" w:eastAsia="Arial" w:hAnsi="Arial"/>
                <w:sz w:val="12"/>
                <w:szCs w:val="12"/>
                <w:b w:val="1"/>
                <w:bCs w:val="1"/>
                <w:color w:val="auto"/>
              </w:rPr>
              <w:t>(3)</w:t>
            </w:r>
          </w:p>
        </w:tc>
        <w:tc>
          <w:tcPr>
            <w:tcW w:w="1500" w:type="dxa"/>
            <w:vAlign w:val="bottom"/>
          </w:tcPr>
          <w:p>
            <w:pPr>
              <w:ind w:left="6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Rainer Kramer, Ph.D.</w:t>
            </w: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April 1, 2012</w:t>
            </w:r>
          </w:p>
        </w:tc>
        <w:tc>
          <w:tcPr>
            <w:tcW w:w="10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Fully vested as of March 31, 2017</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ind w:left="12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January 1, 2016</w:t>
            </w:r>
          </w:p>
        </w:tc>
        <w:tc>
          <w:tcPr>
            <w:tcW w:w="2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Subject-to-exit SARs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March 21, 2018</w:t>
            </w:r>
          </w:p>
        </w:tc>
        <w:tc>
          <w:tcPr>
            <w:tcW w:w="2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Fully vested as of July 1, 2015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$16.65</w:t>
            </w:r>
          </w:p>
        </w:tc>
        <w:tc>
          <w:tcPr>
            <w:tcW w:w="15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0"/>
              </w:rPr>
              <w:t>July 1, 2025</w:t>
            </w: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21, 2018</w:t>
            </w:r>
          </w:p>
        </w:tc>
        <w:tc>
          <w:tcPr>
            <w:tcW w:w="10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2,852 SARs vested as of March 31,</w:t>
            </w:r>
          </w:p>
        </w:tc>
        <w:tc>
          <w:tcPr>
            <w:tcW w:w="10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3,000</w:t>
            </w:r>
          </w:p>
        </w:tc>
        <w:tc>
          <w:tcPr>
            <w:tcW w:w="88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$16.65</w:t>
            </w:r>
          </w:p>
        </w:tc>
        <w:tc>
          <w:tcPr>
            <w:tcW w:w="15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0"/>
              </w:rPr>
              <w:t>July 1, 2025</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and an additional 148 will</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vest daily thereafter until the award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 fully vested</w:t>
            </w: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21, 2018</w:t>
            </w:r>
          </w:p>
        </w:tc>
        <w:tc>
          <w:tcPr>
            <w:tcW w:w="10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2,677 SARs vested as of March 31,</w:t>
            </w:r>
          </w:p>
        </w:tc>
        <w:tc>
          <w:tcPr>
            <w:tcW w:w="10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4,862</w:t>
            </w:r>
          </w:p>
        </w:tc>
        <w:tc>
          <w:tcPr>
            <w:tcW w:w="88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$16.65</w:t>
            </w:r>
          </w:p>
        </w:tc>
        <w:tc>
          <w:tcPr>
            <w:tcW w:w="15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0"/>
              </w:rPr>
              <w:t>July 1, 2027</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and an additional 2,185 will</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vest daily thereafter until the award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 fully vested</w:t>
            </w: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Toni Weinschenk, Ph.D.</w:t>
            </w:r>
          </w:p>
        </w:tc>
        <w:tc>
          <w:tcPr>
            <w:tcW w:w="10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January 1, 2007</w:t>
            </w:r>
          </w:p>
        </w:tc>
        <w:tc>
          <w:tcPr>
            <w:tcW w:w="100" w:type="dxa"/>
            <w:vAlign w:val="bottom"/>
          </w:tcPr>
          <w:p>
            <w:pPr>
              <w:spacing w:after="0"/>
              <w:rPr>
                <w:sz w:val="17"/>
                <w:szCs w:val="17"/>
                <w:color w:val="auto"/>
              </w:rPr>
            </w:pPr>
          </w:p>
        </w:tc>
        <w:tc>
          <w:tcPr>
            <w:tcW w:w="2760" w:type="dxa"/>
            <w:vAlign w:val="bottom"/>
            <w:gridSpan w:val="2"/>
          </w:tcPr>
          <w:p>
            <w:pPr>
              <w:spacing w:after="0" w:line="201" w:lineRule="exact"/>
              <w:rPr>
                <w:sz w:val="20"/>
                <w:szCs w:val="20"/>
                <w:color w:val="auto"/>
              </w:rPr>
            </w:pPr>
            <w:r>
              <w:rPr>
                <w:rFonts w:ascii="Arial" w:cs="Arial" w:eastAsia="Arial" w:hAnsi="Arial"/>
                <w:sz w:val="18"/>
                <w:szCs w:val="18"/>
                <w:color w:val="auto"/>
              </w:rPr>
              <w:t>Fully vested as of December 31,</w:t>
            </w:r>
          </w:p>
        </w:tc>
        <w:tc>
          <w:tcPr>
            <w:tcW w:w="10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230</w:t>
            </w:r>
          </w:p>
        </w:tc>
        <w:tc>
          <w:tcPr>
            <w:tcW w:w="88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w:t>
            </w:r>
          </w:p>
        </w:tc>
        <w:tc>
          <w:tcPr>
            <w:tcW w:w="1500" w:type="dxa"/>
            <w:vAlign w:val="bottom"/>
          </w:tcPr>
          <w:p>
            <w:pPr>
              <w:ind w:left="12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January 1, 2008</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Fully vested as of December 31,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January 1, 2009</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Fully vested as of December 31,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January 1, 2011</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Fully vested as of December 31,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January 1, 2016</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Subject-to-exit SARs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March 21, 2018</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w w:val="96"/>
              </w:rPr>
              <w:t>1,939 SARs vested as of March 31,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2,040</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$16.65</w:t>
            </w:r>
          </w:p>
        </w:tc>
        <w:tc>
          <w:tcPr>
            <w:tcW w:w="1500" w:type="dxa"/>
            <w:vAlign w:val="bottom"/>
          </w:tcPr>
          <w:p>
            <w:pPr>
              <w:ind w:left="600"/>
              <w:spacing w:after="0"/>
              <w:rPr>
                <w:sz w:val="20"/>
                <w:szCs w:val="20"/>
                <w:color w:val="auto"/>
              </w:rPr>
            </w:pPr>
            <w:r>
              <w:rPr>
                <w:rFonts w:ascii="Arial" w:cs="Arial" w:eastAsia="Arial" w:hAnsi="Arial"/>
                <w:sz w:val="18"/>
                <w:szCs w:val="18"/>
                <w:color w:val="auto"/>
                <w:w w:val="90"/>
              </w:rPr>
              <w:t>July 1, 2025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2020, and an additional 101 will</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w w:val="98"/>
              </w:rPr>
              <w:t>vest daily thereafter until the award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is fully vested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March 21, 2018</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919 SARs vested as of March 31,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1,669</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$16.65</w:t>
            </w:r>
          </w:p>
        </w:tc>
        <w:tc>
          <w:tcPr>
            <w:tcW w:w="1500" w:type="dxa"/>
            <w:vAlign w:val="bottom"/>
          </w:tcPr>
          <w:p>
            <w:pPr>
              <w:ind w:left="600"/>
              <w:spacing w:after="0"/>
              <w:rPr>
                <w:sz w:val="20"/>
                <w:szCs w:val="20"/>
                <w:color w:val="auto"/>
              </w:rPr>
            </w:pPr>
            <w:r>
              <w:rPr>
                <w:rFonts w:ascii="Arial" w:cs="Arial" w:eastAsia="Arial" w:hAnsi="Arial"/>
                <w:sz w:val="18"/>
                <w:szCs w:val="18"/>
                <w:color w:val="auto"/>
                <w:w w:val="90"/>
              </w:rPr>
              <w:t>July 1, 2027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2020, and an additional 750 will</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w w:val="98"/>
              </w:rPr>
              <w:t>vest daily thereafter until the award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is fully vested</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60" w:type="dxa"/>
            <w:vAlign w:val="bottom"/>
            <w:gridSpan w:val="2"/>
          </w:tcPr>
          <w:p>
            <w:pPr>
              <w:jc w:val="right"/>
              <w:ind w:right="177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Beneficiary</w:t>
            </w: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ind w:left="52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6"/>
                <w:szCs w:val="16"/>
                <w:color w:val="auto"/>
              </w:rPr>
            </w:pPr>
          </w:p>
        </w:tc>
        <w:tc>
          <w:tcPr>
            <w:tcW w:w="2660" w:type="dxa"/>
            <w:vAlign w:val="bottom"/>
          </w:tcPr>
          <w:p>
            <w:pPr>
              <w:ind w:left="880"/>
              <w:spacing w:after="0"/>
              <w:rPr>
                <w:sz w:val="20"/>
                <w:szCs w:val="20"/>
                <w:color w:val="auto"/>
              </w:rPr>
            </w:pPr>
            <w:r>
              <w:rPr>
                <w:rFonts w:ascii="Arial" w:cs="Arial" w:eastAsia="Arial" w:hAnsi="Arial"/>
                <w:sz w:val="14"/>
                <w:szCs w:val="14"/>
                <w:b w:val="1"/>
                <w:bCs w:val="1"/>
                <w:color w:val="auto"/>
              </w:rPr>
              <w:t>Vesting date</w:t>
            </w:r>
            <w:r>
              <w:rPr>
                <w:rFonts w:ascii="Arial" w:cs="Arial" w:eastAsia="Arial" w:hAnsi="Arial"/>
                <w:sz w:val="12"/>
                <w:szCs w:val="12"/>
                <w:b w:val="1"/>
                <w:bCs w:val="1"/>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Steffen Walter, Ph.D.</w:t>
            </w:r>
          </w:p>
        </w:tc>
        <w:tc>
          <w:tcPr>
            <w:tcW w:w="100" w:type="dxa"/>
            <w:vAlign w:val="bottom"/>
          </w:tcPr>
          <w:p>
            <w:pPr>
              <w:spacing w:after="0"/>
              <w:rPr>
                <w:sz w:val="16"/>
                <w:szCs w:val="16"/>
                <w:color w:val="auto"/>
              </w:rPr>
            </w:pPr>
          </w:p>
        </w:tc>
        <w:tc>
          <w:tcPr>
            <w:tcW w:w="1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January 1, 2006</w:t>
            </w:r>
          </w:p>
        </w:tc>
        <w:tc>
          <w:tcPr>
            <w:tcW w:w="100" w:type="dxa"/>
            <w:vAlign w:val="bottom"/>
          </w:tcPr>
          <w:p>
            <w:pPr>
              <w:spacing w:after="0"/>
              <w:rPr>
                <w:sz w:val="16"/>
                <w:szCs w:val="16"/>
                <w:color w:val="auto"/>
              </w:rPr>
            </w:pPr>
          </w:p>
        </w:tc>
        <w:tc>
          <w:tcPr>
            <w:tcW w:w="2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Fully vested as of 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January 1, 2007</w:t>
            </w:r>
          </w:p>
        </w:tc>
        <w:tc>
          <w:tcPr>
            <w:tcW w:w="100" w:type="dxa"/>
            <w:vAlign w:val="bottom"/>
          </w:tcPr>
          <w:p>
            <w:pPr>
              <w:spacing w:after="0"/>
              <w:rPr>
                <w:sz w:val="17"/>
                <w:szCs w:val="17"/>
                <w:color w:val="auto"/>
              </w:rPr>
            </w:pPr>
          </w:p>
        </w:tc>
        <w:tc>
          <w:tcPr>
            <w:tcW w:w="2660" w:type="dxa"/>
            <w:vAlign w:val="bottom"/>
          </w:tcPr>
          <w:p>
            <w:pPr>
              <w:spacing w:after="0" w:line="201" w:lineRule="exact"/>
              <w:rPr>
                <w:sz w:val="20"/>
                <w:szCs w:val="20"/>
                <w:color w:val="auto"/>
              </w:rPr>
            </w:pPr>
            <w:r>
              <w:rPr>
                <w:rFonts w:ascii="Arial" w:cs="Arial" w:eastAsia="Arial" w:hAnsi="Arial"/>
                <w:sz w:val="18"/>
                <w:szCs w:val="18"/>
                <w:color w:val="auto"/>
              </w:rPr>
              <w:t>Fully vested as of 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tcPr>
          <w:p>
            <w:pPr>
              <w:spacing w:after="0"/>
              <w:rPr>
                <w:sz w:val="20"/>
                <w:szCs w:val="20"/>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 1, 2008</w:t>
            </w:r>
          </w:p>
        </w:tc>
        <w:tc>
          <w:tcPr>
            <w:tcW w:w="100" w:type="dxa"/>
            <w:vAlign w:val="bottom"/>
          </w:tcPr>
          <w:p>
            <w:pPr>
              <w:spacing w:after="0"/>
              <w:rPr>
                <w:sz w:val="17"/>
                <w:szCs w:val="17"/>
                <w:color w:val="auto"/>
              </w:rPr>
            </w:pPr>
          </w:p>
        </w:tc>
        <w:tc>
          <w:tcPr>
            <w:tcW w:w="2660" w:type="dxa"/>
            <w:vAlign w:val="bottom"/>
          </w:tcPr>
          <w:p>
            <w:pPr>
              <w:spacing w:after="0" w:line="201" w:lineRule="exact"/>
              <w:rPr>
                <w:sz w:val="20"/>
                <w:szCs w:val="20"/>
                <w:color w:val="auto"/>
              </w:rPr>
            </w:pPr>
            <w:r>
              <w:rPr>
                <w:rFonts w:ascii="Arial" w:cs="Arial" w:eastAsia="Arial" w:hAnsi="Arial"/>
                <w:sz w:val="18"/>
                <w:szCs w:val="18"/>
                <w:color w:val="auto"/>
              </w:rPr>
              <w:t>Fully vested as of 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 1, 2009</w:t>
            </w:r>
          </w:p>
        </w:tc>
        <w:tc>
          <w:tcPr>
            <w:tcW w:w="100" w:type="dxa"/>
            <w:vAlign w:val="bottom"/>
            <w:shd w:val="clear" w:color="auto" w:fill="CCEEFF"/>
          </w:tcPr>
          <w:p>
            <w:pPr>
              <w:spacing w:after="0"/>
              <w:rPr>
                <w:sz w:val="17"/>
                <w:szCs w:val="17"/>
                <w:color w:val="auto"/>
              </w:rPr>
            </w:pPr>
          </w:p>
        </w:tc>
        <w:tc>
          <w:tcPr>
            <w:tcW w:w="2660" w:type="dxa"/>
            <w:vAlign w:val="bottom"/>
          </w:tcPr>
          <w:p>
            <w:pPr>
              <w:spacing w:after="0" w:line="201" w:lineRule="exact"/>
              <w:rPr>
                <w:sz w:val="20"/>
                <w:szCs w:val="20"/>
                <w:color w:val="auto"/>
              </w:rPr>
            </w:pPr>
            <w:r>
              <w:rPr>
                <w:rFonts w:ascii="Arial" w:cs="Arial" w:eastAsia="Arial" w:hAnsi="Arial"/>
                <w:sz w:val="18"/>
                <w:szCs w:val="18"/>
                <w:color w:val="auto"/>
              </w:rPr>
              <w:t>Fully vested as of 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January 1, 2011</w:t>
            </w:r>
          </w:p>
        </w:tc>
        <w:tc>
          <w:tcPr>
            <w:tcW w:w="100" w:type="dxa"/>
            <w:vAlign w:val="bottom"/>
            <w:shd w:val="clear" w:color="auto" w:fill="CCEEFF"/>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Fully vested as of 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21, 2018</w:t>
            </w:r>
          </w:p>
        </w:tc>
        <w:tc>
          <w:tcPr>
            <w:tcW w:w="10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2,424 SARs vested as of March 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2020, and an initial 126 will vest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daily thereafter until the award is</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fully vested</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March 21, 2018</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8"/>
              </w:rPr>
              <w:t>340 SARs vested as of March 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2020, and an initial 60 will vest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daily thereafter until the award is</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fully vested</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March 21, 2018</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3"/>
              </w:rPr>
              <w:t>1,049 SARs vested as of March 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2020, and an initial 855 will vest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daily thereafter until the award is</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fully vested</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Stephen L. Eck, M.D., Ph.D.</w:t>
            </w:r>
            <w:r>
              <w:rPr>
                <w:rFonts w:ascii="Arial" w:cs="Arial" w:eastAsia="Arial" w:hAnsi="Arial"/>
                <w:sz w:val="15"/>
                <w:szCs w:val="15"/>
                <w:b w:val="1"/>
                <w:bCs w:val="1"/>
                <w:color w:val="auto"/>
              </w:rPr>
              <w:t>(4)</w:t>
            </w:r>
          </w:p>
        </w:tc>
        <w:tc>
          <w:tcPr>
            <w:tcW w:w="10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June 21, 2018</w:t>
            </w:r>
          </w:p>
        </w:tc>
        <w:tc>
          <w:tcPr>
            <w:tcW w:w="100" w:type="dxa"/>
            <w:vAlign w:val="bottom"/>
          </w:tcPr>
          <w:p>
            <w:pPr>
              <w:spacing w:after="0"/>
              <w:rPr>
                <w:sz w:val="17"/>
                <w:szCs w:val="17"/>
                <w:color w:val="auto"/>
              </w:rPr>
            </w:pPr>
          </w:p>
        </w:tc>
        <w:tc>
          <w:tcPr>
            <w:tcW w:w="2660" w:type="dxa"/>
            <w:vAlign w:val="bottom"/>
          </w:tcPr>
          <w:p>
            <w:pPr>
              <w:spacing w:after="0" w:line="201" w:lineRule="exact"/>
              <w:rPr>
                <w:sz w:val="20"/>
                <w:szCs w:val="20"/>
                <w:color w:val="auto"/>
              </w:rPr>
            </w:pPr>
            <w:r>
              <w:rPr>
                <w:rFonts w:ascii="Arial" w:cs="Arial" w:eastAsia="Arial" w:hAnsi="Arial"/>
                <w:sz w:val="18"/>
                <w:szCs w:val="18"/>
                <w:color w:val="auto"/>
                <w:w w:val="93"/>
              </w:rPr>
              <w:t>1,728 SARs vested as of 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w w:val="98"/>
              </w:rPr>
              <w:t>2020, and an initial 2,772 will vest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daily thereafter until the award is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fully vested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-3573780</wp:posOffset>
            </wp:positionV>
            <wp:extent cx="6995160" cy="8312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8312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Strike</w:t>
            </w:r>
          </w:p>
        </w:tc>
        <w:tc>
          <w:tcPr>
            <w:tcW w:w="15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4"/>
        </w:trPr>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SARs/options</w:t>
            </w:r>
          </w:p>
        </w:tc>
        <w:tc>
          <w:tcPr>
            <w:tcW w:w="8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(2)</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price</w:t>
            </w:r>
            <w:r>
              <w:rPr>
                <w:rFonts w:ascii="Arial" w:cs="Arial" w:eastAsia="Arial" w:hAnsi="Arial"/>
                <w:sz w:val="12"/>
                <w:szCs w:val="12"/>
                <w:b w:val="1"/>
                <w:bCs w:val="1"/>
                <w:color w:val="auto"/>
              </w:rPr>
              <w:t>(3)</w:t>
            </w:r>
          </w:p>
        </w:tc>
        <w:tc>
          <w:tcPr>
            <w:tcW w:w="1560" w:type="dxa"/>
            <w:vAlign w:val="bottom"/>
            <w:gridSpan w:val="2"/>
          </w:tcPr>
          <w:p>
            <w:pPr>
              <w:ind w:left="6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4"/>
        </w:trPr>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2,550</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$16.65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July 1, 2025</w:t>
            </w:r>
          </w:p>
        </w:tc>
        <w:tc>
          <w:tcPr>
            <w:tcW w:w="0" w:type="dxa"/>
            <w:vAlign w:val="bottom"/>
          </w:tcPr>
          <w:p>
            <w:pPr>
              <w:spacing w:after="0"/>
              <w:rPr>
                <w:sz w:val="1"/>
                <w:szCs w:val="1"/>
                <w:color w:val="auto"/>
              </w:rPr>
            </w:pPr>
          </w:p>
        </w:tc>
      </w:tr>
      <w:tr>
        <w:trPr>
          <w:trHeight w:val="648"/>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$16.65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 2026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1,904</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$16.65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 2027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4,500</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$16.65</w:t>
            </w:r>
          </w:p>
        </w:tc>
        <w:tc>
          <w:tcPr>
            <w:tcW w:w="1540" w:type="dxa"/>
            <w:vAlign w:val="bottom"/>
          </w:tcPr>
          <w:p>
            <w:pPr>
              <w:jc w:val="right"/>
              <w:spacing w:after="0"/>
              <w:rPr>
                <w:sz w:val="20"/>
                <w:szCs w:val="20"/>
                <w:color w:val="auto"/>
              </w:rPr>
            </w:pPr>
            <w:r>
              <w:rPr>
                <w:rFonts w:ascii="Arial" w:cs="Arial" w:eastAsia="Arial" w:hAnsi="Arial"/>
                <w:sz w:val="18"/>
                <w:szCs w:val="18"/>
                <w:color w:val="auto"/>
              </w:rPr>
              <w:t>May 1, 2028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-2339975</wp:posOffset>
            </wp:positionV>
            <wp:extent cx="3994785" cy="10972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994785" cy="1097280"/>
                    </a:xfrm>
                    <a:prstGeom prst="rect">
                      <a:avLst/>
                    </a:prstGeom>
                    <a:noFill/>
                  </pic:spPr>
                </pic:pic>
              </a:graphicData>
            </a:graphic>
          </wp:anchor>
        </w:drawing>
      </w:r>
    </w:p>
    <w:p>
      <w:pPr>
        <w:spacing w:after="0" w:line="833" w:lineRule="exact"/>
        <w:rPr>
          <w:sz w:val="20"/>
          <w:szCs w:val="20"/>
          <w:color w:val="auto"/>
        </w:rPr>
      </w:pPr>
    </w:p>
    <w:p>
      <w:pPr>
        <w:sectPr>
          <w:pgSz w:w="11900" w:h="16838" w:orient="portrait"/>
          <w:cols w:equalWidth="0" w:num="2">
            <w:col w:w="7700" w:space="0"/>
            <w:col w:w="3440"/>
          </w:cols>
          <w:pgMar w:left="320" w:top="459" w:right="439" w:bottom="1440" w:gutter="0" w:footer="0" w:header="0"/>
          <w:type w:val="continuous"/>
        </w:sectPr>
      </w:pPr>
    </w:p>
    <w:p>
      <w:pPr>
        <w:spacing w:after="0" w:line="29"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5"/>
          <w:szCs w:val="15"/>
          <w:color w:val="auto"/>
        </w:rPr>
      </w:pPr>
      <w:r>
        <w:rPr>
          <w:rFonts w:ascii="Arial" w:cs="Arial" w:eastAsia="Arial" w:hAnsi="Arial"/>
          <w:sz w:val="18"/>
          <w:szCs w:val="18"/>
          <w:color w:val="auto"/>
        </w:rPr>
        <w:t>The Supervisory Board of Immatics OpCo determined that all subject-to-exit SARs will be fully vested on the Closing Date.</w:t>
      </w:r>
    </w:p>
    <w:p>
      <w:pPr>
        <w:spacing w:after="0" w:line="23" w:lineRule="exact"/>
        <w:rPr>
          <w:rFonts w:ascii="Arial" w:cs="Arial" w:eastAsia="Arial" w:hAnsi="Arial"/>
          <w:sz w:val="15"/>
          <w:szCs w:val="15"/>
          <w:color w:val="auto"/>
        </w:rPr>
      </w:pPr>
    </w:p>
    <w:p>
      <w:pPr>
        <w:ind w:left="540" w:right="60" w:hanging="424"/>
        <w:spacing w:after="0" w:line="250" w:lineRule="auto"/>
        <w:tabs>
          <w:tab w:leader="none" w:pos="540" w:val="left"/>
        </w:tabs>
        <w:numPr>
          <w:ilvl w:val="0"/>
          <w:numId w:val="104"/>
        </w:numPr>
        <w:rPr>
          <w:rFonts w:ascii="Arial" w:cs="Arial" w:eastAsia="Arial" w:hAnsi="Arial"/>
          <w:sz w:val="15"/>
          <w:szCs w:val="15"/>
          <w:color w:val="auto"/>
        </w:rPr>
      </w:pPr>
      <w:r>
        <w:rPr>
          <w:rFonts w:ascii="Arial" w:cs="Arial" w:eastAsia="Arial" w:hAnsi="Arial"/>
          <w:sz w:val="18"/>
          <w:szCs w:val="18"/>
          <w:color w:val="auto"/>
        </w:rPr>
        <w:t>SARs and options granted before the Closing Date were (i) in the case of SARs and options that vested or are scheduled to vest prior to December 31, 2020, cancelled in exchange for cash payments or (ii) in the case of SARs and options that are not scheduled to vest until after December 31, 2020, converted into options to purchase ordinary shares by using the following conversion method (simplified): numbers of SARs and options will be multiplied by, and the related exercise price will be divided by, the multiplier ratio of 15.722 used for purposes of the Business Combination.</w:t>
      </w:r>
    </w:p>
    <w:p>
      <w:pPr>
        <w:spacing w:after="0" w:line="1" w:lineRule="exact"/>
        <w:rPr>
          <w:rFonts w:ascii="Arial" w:cs="Arial" w:eastAsia="Arial" w:hAnsi="Arial"/>
          <w:sz w:val="15"/>
          <w:szCs w:val="15"/>
          <w:color w:val="auto"/>
        </w:rPr>
      </w:pPr>
    </w:p>
    <w:p>
      <w:pPr>
        <w:ind w:left="540" w:right="240" w:hanging="424"/>
        <w:spacing w:after="0" w:line="265" w:lineRule="auto"/>
        <w:tabs>
          <w:tab w:leader="none" w:pos="540" w:val="left"/>
        </w:tabs>
        <w:numPr>
          <w:ilvl w:val="0"/>
          <w:numId w:val="104"/>
        </w:numPr>
        <w:rPr>
          <w:rFonts w:ascii="Arial" w:cs="Arial" w:eastAsia="Arial" w:hAnsi="Arial"/>
          <w:sz w:val="14"/>
          <w:szCs w:val="14"/>
          <w:color w:val="auto"/>
        </w:rPr>
      </w:pPr>
      <w:r>
        <w:rPr>
          <w:rFonts w:ascii="Arial" w:cs="Arial" w:eastAsia="Arial" w:hAnsi="Arial"/>
          <w:sz w:val="17"/>
          <w:szCs w:val="17"/>
          <w:color w:val="auto"/>
        </w:rPr>
        <w:t>The strike price is based on 1.163 million shares of Immatics OpCo outstanding as of March 31, 2020, it does not relate to the share price of the ordinary shares outstanding upon consummation of the Business Combination and is presented only for completeness.</w:t>
      </w:r>
    </w:p>
    <w:p>
      <w:pPr>
        <w:ind w:left="540" w:hanging="424"/>
        <w:spacing w:after="0"/>
        <w:tabs>
          <w:tab w:leader="none" w:pos="540" w:val="left"/>
        </w:tabs>
        <w:numPr>
          <w:ilvl w:val="0"/>
          <w:numId w:val="104"/>
        </w:numPr>
        <w:rPr>
          <w:rFonts w:ascii="Arial" w:cs="Arial" w:eastAsia="Arial" w:hAnsi="Arial"/>
          <w:sz w:val="15"/>
          <w:szCs w:val="15"/>
          <w:color w:val="auto"/>
        </w:rPr>
      </w:pPr>
      <w:r>
        <w:rPr>
          <w:rFonts w:ascii="Arial" w:cs="Arial" w:eastAsia="Arial" w:hAnsi="Arial"/>
          <w:sz w:val="18"/>
          <w:szCs w:val="18"/>
          <w:color w:val="auto"/>
        </w:rPr>
        <w:t>Dr. Eck stepped down from the role of Chief Medical Officer, US effective June 30, 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OpCo 2010 Stock Appreciation Rights (SAR) Program</w:t>
      </w:r>
    </w:p>
    <w:p>
      <w:pPr>
        <w:spacing w:after="0" w:line="121"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Prior to the Business Combination, from January 1, 2005, in addition to performance-related compensation, certain Immatics OpCo employees were given the opportunity to participate in a Stock Appreciation Rights (“SAR”) program, also referred to as phantom stock, as part of a long-term equity incentive scheme. The SAR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type w:val="continuous"/>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program was adopted by the Supervisory Board of Immatics OpCo in January 2005 and amended according to provisions set forth in the shareholder agreements dated February 6, 2007 and September 7, 2010.</w:t>
      </w:r>
    </w:p>
    <w:p>
      <w:pPr>
        <w:spacing w:after="0" w:line="170"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Under the SAR program, the beneficiaries received SARs without having to make any cash investment into Immatics OpCo. All SARs granted under this program carry no dividend or voting rights, and all SARs have an exercise price of zero. The holder of the SARs has the right to exercise vested SARs in a defined “Exit Event”. The “Exit Event” was defined in the SAR Program as a transaction in which more than 50% of the shareholdings (calculated according to nominal values) in Immatics OpCo are acquired by a third person.</w:t>
      </w:r>
    </w:p>
    <w:p>
      <w:pPr>
        <w:spacing w:after="0" w:line="18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SARs vest over time. The granted SARs have fixed vesting periods between two and five years. Vesting is contingent on the beneficiary’s continued service to Immatics OpCo. The vesting period begins on the grant date or a defined starting date and ends after the defined period, and may include a cliff between zero and two years, during such cliff period, if any, no vesting occurs. Employees leaving Immatics OpCo may retain any SARs vested as of their termination date, unless they are terminated for cause. Effective March 22, 2018, the “2010 Stock Appreciation Rights (SAR) Program” was amended to adjust vesting to the extent impacted by regulations relating to unpaid leaves or working time reductions due to family or health reasons.</w:t>
      </w:r>
    </w:p>
    <w:p>
      <w:pPr>
        <w:spacing w:after="0" w:line="16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Any SARs that are unvested at the time of an Exit Event will be forfeited without consideration. At Immatics OpCo’ discretion, however, selected employees can receive accelerated vesting in an Exit Event.</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Under the 2010 Stock Appreciation Rights Program, Immatics OpCo was also entitled to grant stock appreciation rights that only vest if the employee is regularly employed by Immatics OpCo at the time of the Exit Event (“subject-to-exit SARs”). SARs that were granted as subject-to-exit SARs are forfeited in the event of termination of an employee’s employment prior to an Exit Event and generally expire if no Exit Event takes place in the first five years after the grant date.</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total, 52,478 SARs were granted under the 2010 Stock Appreciation Rights Program, of which 43,521 were outstanding as of March 31, 2020. These share numbers are based on the current Immatics OpCo capitalization and have not been adjusted to reflect the impact of the Business Combination. No further grants were made under the 2010 Stock Appreciation Rights Program after June 2017, when the 2016 Equity Incentive Plan (as described below) became effective.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OpCo 2016 Equity Incentive Plan</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February 8, 2017, the shareholders of Immatics OpCo approved the “2016 Equity Incentive Plan” in order to give employees and other designated service providers of Immatics OpCo and its affiliates (as well as employees and consultants of such service providers) the ability to share in Immatics OpCo’s future success. All rights under the 2010 Stock Appreciation Rights Program remained unaffected. The aggregate number of shares available for grant under all current Immatics OpCo employee incentive programs (2010 Stock Appreciation Rights Program and 2016 Equity Incentive Plan) shall not exceed 158,690. If an award or any portion thereof expires or otherwise terminates without all of the shares covered by such award having been issued, such respective number will again be available for issuance of awards under the 2016 Equity Incentive Plan.</w:t>
      </w:r>
    </w:p>
    <w:p>
      <w:pPr>
        <w:spacing w:after="0" w:line="16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Under the 2016 Equity Incentive Plan, Immatics OpCo is entitled to issue so-called “Tandem Awards”, each consisting of an option to buy a number of shares, at the exercise price mentioned below (the “Option Rights”), and the right to alternatively receive any appreciation in the value of such shares above the aggregate exercise price (the “SAR Right”).</w:t>
      </w:r>
    </w:p>
    <w:p>
      <w:pPr>
        <w:spacing w:after="0" w:line="184"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Tandem Awards may vest based on the satisfaction of service requirements (time-based vesting) or upon the achievement of individual or company or affiliate performance goals (performance-based vesting), or any other criteria established by Immatics OpCo. Generally, the granted Tandem Awards have a five-year vesting period with a one-year cliff. Most Tandem Awards provide that in the event of a “change in control”, the unvested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portion of the Tandem Award immediately vests. Vesting is contingent on the recipient’s continued service to Immatics OpCo. Employees leaving Immatics OpCo may generally retain any Tandem Awards that are vested as of their termination date, unless they are terminated for cause. Any portion of the Tandem Award that is unvested cannot be exercised. An Option Right (to the extent vested) may only be exercised after the completion of a “Share Swap” (as defined in the 2016 Equity Incentive Plan, i.e., the contribution of all shares in Immatics OpCo to a holding company of Immatics OpCo in exchange for shares in such holding company for purposes of an IPO). A SAR Right (to the extent vested) may only be exercised upon the occurrence of a “Liquidity Event” (as defined in the 2016 Equity Incentive Plan, i.e., a change in control or expiration of the applicable lock-up period following completion of an IPO).</w:t>
      </w:r>
    </w:p>
    <w:p>
      <w:pPr>
        <w:spacing w:after="0" w:line="195"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Subject to these restrictions on exercise, the grantee may elect to exercise either the Option Right or the SAR Right with respect to each share subject to a Tandem Award. The exercise of the Option Right will automatically result in the cancellation of the related SAR Right on a share by share basis. Vice versa, the exercise of the SAR Right will automatically result in the cancellation of the related Option Right on a share by share basis.</w:t>
      </w:r>
    </w:p>
    <w:p>
      <w:pPr>
        <w:spacing w:after="0" w:line="14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Immatics OpCo may impose limitations or a prohibition on the transfer of shares acquired by a participant pursuant to the exercise of a Tandem Award including a prohibition against the transfer of shares for a certain lock-up period (up to 365 days) following an IPO.</w:t>
      </w:r>
    </w:p>
    <w:p>
      <w:pPr>
        <w:spacing w:after="0" w:line="170"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amount payable upon exercise of a SAR Right will be made, in the discretion of Immatics OpCo: (i) in cash, (ii) in whole Immatics OpCo common shares (rounded down to the nearest whole share) based on the fair market value of such shares at the time of settlement, or (iii) a combination of (i) or (ii).</w:t>
      </w:r>
    </w:p>
    <w:p>
      <w:pPr>
        <w:spacing w:after="0" w:line="184"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granted Tandem Awards have different exercise prices depending on when they were granted; these exercise prices are $16.65, $18.30, or $23.82, respectively, which were intended to reflect the fair market value of the shares upon the date of grant. The expiration date of the Tandem Awards is 10 years after the applicable vesting commencement date.</w:t>
      </w:r>
    </w:p>
    <w:p>
      <w:pPr>
        <w:spacing w:after="0" w:line="184"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As of March 31, 2020, Tandem Awards with respect to 113,779 shares were granted, of which 106,410 were outstanding. These share numbers are based on the current Immatics OpCo capitalization and have not been adjusted to reflect the impact of the Business Combination.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Stock Option and Incentive Plan</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Outstanding SARs and Tandem Awards described above were converted into options to purchase ordinary shares under our 2020 Stock Option and Incentive Plan (the “2020 Equity Plan”). The 2020 Equity Plan was approved by the Management Board and the general meeting prior to the consummation of the Business Combination. The 2020 Equity Plan will allow our Compensation Committee to make equity-based incentive awards to its officers, employees, directors and other key persons, including consultants.</w:t>
      </w:r>
    </w:p>
    <w:p>
      <w:pPr>
        <w:spacing w:after="0" w:line="18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A total of 10,006,230 ordinary shares were initially authorized and reserved for the issuance of awards under the 2020 Equity Plan.</w:t>
      </w:r>
      <w:r>
        <w:rPr>
          <w:rFonts w:ascii="Arial" w:cs="Arial" w:eastAsia="Arial" w:hAnsi="Arial"/>
          <w:sz w:val="17"/>
          <w:szCs w:val="17"/>
          <w:i w:val="1"/>
          <w:iCs w:val="1"/>
          <w:color w:val="auto"/>
        </w:rPr>
        <w:t xml:space="preserve"> </w:t>
      </w:r>
      <w:r>
        <w:rPr>
          <w:rFonts w:ascii="Arial" w:cs="Arial" w:eastAsia="Arial" w:hAnsi="Arial"/>
          <w:sz w:val="17"/>
          <w:szCs w:val="17"/>
          <w:color w:val="auto"/>
        </w:rPr>
        <w:t>This number will be subject to adjustment in the event of a share split, share dividend or other change in our capitalization. The shares issued under the 2020 Equity Plan will be authorized but unissued shares or shares that we reacquire. The ordinary shares underlying any awards that are forfeited, cancelled, held back upon exercise or settlement of an award to satisfy the exercise price or tax withholding, reacquired by us prior to vesting, satisfied without the issuance of shares, expire or are otherwise terminated, other than by exercise, under the 2020 Equity Plan will be added back to the ordinary shares available for issuance under the 2020 Equity Plan.</w:t>
      </w:r>
    </w:p>
    <w:p>
      <w:pPr>
        <w:spacing w:after="0" w:line="178" w:lineRule="exact"/>
        <w:rPr>
          <w:sz w:val="20"/>
          <w:szCs w:val="20"/>
          <w:color w:val="auto"/>
        </w:rPr>
      </w:pPr>
    </w:p>
    <w:p>
      <w:pPr>
        <w:jc w:val="both"/>
        <w:ind w:left="120" w:right="220"/>
        <w:spacing w:after="0" w:line="286"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2020 Equity Plan is administered by our Compensation Committee. Our Compensation Committee has full power to select, from</w:t>
      </w:r>
      <w:r>
        <w:rPr>
          <w:rFonts w:ascii="Arial" w:cs="Arial" w:eastAsia="Arial" w:hAnsi="Arial"/>
          <w:sz w:val="17"/>
          <w:szCs w:val="17"/>
          <w:i w:val="1"/>
          <w:iCs w:val="1"/>
          <w:color w:val="auto"/>
        </w:rPr>
        <w:t xml:space="preserve"> </w:t>
      </w:r>
      <w:r>
        <w:rPr>
          <w:rFonts w:ascii="Arial" w:cs="Arial" w:eastAsia="Arial" w:hAnsi="Arial"/>
          <w:sz w:val="17"/>
          <w:szCs w:val="17"/>
          <w:color w:val="auto"/>
        </w:rPr>
        <w:t>among the individuals eligible for awards, the individuals to whom awards will be granted, to make any combination of awards to participants, and to determine the specific terms and conditions of each award, subject to the provisions of the 2020 Equity Plan.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Persons eligible to participate in the 2020 Equity Plan will be those employees, non-employee directors and consultants, as selected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by our Compensation Committee in its discretion.</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The 2020 Equity Plan permits the granting of both options to purchase ordinary shares intended to qualify as incentive stock options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422 of the U.S. Tax Code and options that do not so qualify. The option exercise price of each option will be determined by our Compensation Committee but may not be less than 100% of the fair market value of our ordinary shares on the date of grant unless the option is granted (i) pursuant to a transaction described in, and in a manner consistent with, Section 424(a) of the U.S. Tax Code or (ii) to individuals who are not subject to U.S. income tax. The term of each option will be fixed by our Compensation Committee and may not exceed 10 years from the date of grant. Our Compensation Committee will determine at what time or times each option may be exercised.</w:t>
      </w:r>
    </w:p>
    <w:p>
      <w:pPr>
        <w:spacing w:after="0" w:line="17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Our Compensation Committee may award stock appreciation rights subject to such conditions and restrictions as it may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Stock appreciation rights entitle the recipient to ordinary shares, or cash, equal to the value of the appreciation in our share price over the exercise price. The exercise price may not be less than 100% of the fair market value of our ordinary shares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76"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i w:val="1"/>
          <w:iCs w:val="1"/>
          <w:color w:val="auto"/>
        </w:rPr>
        <w:t>Restricted Shares and Restricted Stock Units</w:t>
      </w:r>
      <w:r>
        <w:rPr>
          <w:rFonts w:ascii="Arial" w:cs="Arial" w:eastAsia="Arial" w:hAnsi="Arial"/>
          <w:sz w:val="18"/>
          <w:szCs w:val="18"/>
          <w:color w:val="auto"/>
        </w:rPr>
        <w:t>. Our Compensation Committee may award restricted shares and restricted stock units to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conditions and restrictions as it may determine. These conditions and restrictions may include the achievement of certain performance goals and/or continued employment with us through a specified vesting period.</w:t>
      </w:r>
    </w:p>
    <w:p>
      <w:pPr>
        <w:spacing w:after="0" w:line="18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i w:val="1"/>
          <w:iCs w:val="1"/>
          <w:color w:val="auto"/>
        </w:rPr>
        <w:t>Unrestricted Stock Awards</w:t>
      </w:r>
      <w:r>
        <w:rPr>
          <w:rFonts w:ascii="Arial" w:cs="Arial" w:eastAsia="Arial" w:hAnsi="Arial"/>
          <w:sz w:val="18"/>
          <w:szCs w:val="18"/>
          <w:color w:val="auto"/>
        </w:rPr>
        <w:t>. Our Compensation Committee may grant ordinary shares that are free from any restrictions under the 2020 Equity Plan.</w:t>
      </w:r>
      <w:r>
        <w:rPr>
          <w:rFonts w:ascii="Arial" w:cs="Arial" w:eastAsia="Arial" w:hAnsi="Arial"/>
          <w:sz w:val="18"/>
          <w:szCs w:val="18"/>
          <w:i w:val="1"/>
          <w:iCs w:val="1"/>
          <w:color w:val="auto"/>
        </w:rPr>
        <w:t xml:space="preserve"> </w:t>
      </w:r>
      <w:r>
        <w:rPr>
          <w:rFonts w:ascii="Arial" w:cs="Arial" w:eastAsia="Arial" w:hAnsi="Arial"/>
          <w:sz w:val="18"/>
          <w:szCs w:val="18"/>
          <w:color w:val="auto"/>
        </w:rPr>
        <w:t>Unrestricted stock may be granted to participants in recognition of past services or for other valid consideration and may be issued in lieu of cash compensation due to such participant.</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i w:val="1"/>
          <w:iCs w:val="1"/>
          <w:color w:val="auto"/>
        </w:rPr>
        <w:t>Dividend Equivalent Rights</w:t>
      </w:r>
      <w:r>
        <w:rPr>
          <w:rFonts w:ascii="Arial" w:cs="Arial" w:eastAsia="Arial" w:hAnsi="Arial"/>
          <w:sz w:val="18"/>
          <w:szCs w:val="18"/>
          <w:color w:val="auto"/>
        </w:rPr>
        <w:t>. Our Compensation Committee may grant dividend equivalent rights to participants that entitle the recipient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for dividends that would be paid if the recipient had held a specified number of ordinary shares.</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i w:val="1"/>
          <w:iCs w:val="1"/>
          <w:color w:val="auto"/>
        </w:rPr>
        <w:t>Cash-Based Awards</w:t>
      </w:r>
      <w:r>
        <w:rPr>
          <w:rFonts w:ascii="Arial" w:cs="Arial" w:eastAsia="Arial" w:hAnsi="Arial"/>
          <w:sz w:val="18"/>
          <w:szCs w:val="18"/>
          <w:color w:val="auto"/>
        </w:rPr>
        <w:t>. Our Compensation Committee may grant cash bonuses under the 2020 Equity Plan to participants, subject to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performance goals.</w:t>
      </w:r>
    </w:p>
    <w:p>
      <w:pPr>
        <w:spacing w:after="0" w:line="170"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i w:val="1"/>
          <w:iCs w:val="1"/>
          <w:color w:val="auto"/>
        </w:rPr>
        <w:t>Sale Event</w:t>
      </w:r>
      <w:r>
        <w:rPr>
          <w:rFonts w:ascii="Arial" w:cs="Arial" w:eastAsia="Arial" w:hAnsi="Arial"/>
          <w:sz w:val="16"/>
          <w:szCs w:val="16"/>
          <w:color w:val="auto"/>
        </w:rPr>
        <w:t>. The 2020 Equity Plan provides that upon the effectiveness of a “sale event”, as defined in the 2020 Equity Plan, an acquirer or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entity may assume, continue or substitute for the outstanding awards under the 2020 Equity Plan. To the extent that awards granted under the 2020 Equity Plan are not assumed or continued or substituted by the successor entity, all unvested awards granted under the 2020 Equity Plan shall terminate. In such case, except as may be otherwise provided in the relevant award agreement, all options and stock appreciation rights with time-based vesting, conditions or restrictions that are not exercisable immediately prior to the sale event will become fully exercisable as of the sale event, all other awards with time-based vesting, conditions or restrictions will become fully vested and nonforfeitable as of the sale event, and all awards with conditions and restrictions relating to the attainment of performance goals may become vested and nonforfeitable in connection with the sale event in the plan administrator’s discretion or to the extent specified in the relevant award agreement. In the event of such termination, individuals holding options and stock appreciation rights will be permitted to exercise such options and stock appreciation rights (to the extent exercisable) prior to the sale event. In addition, in connection with the termination of the 2020 Equity Plan upon a sale event, we may make or provide for a cash payment to participants holding vested and exercisable options and stock appreciation rights equal to the difference between the per share cash consideration payable to shareholders in the sale event and the exercise price of the options or stock appreciation rights.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may amend or discontinue the 2020 Equity Plan and our Compensation Committee can amend or cancel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awards for purposes of satisfying changes in law or any other lawful purpose, but no such action may adversely affect rights under an award without the holder’s consent. Our Compensation Committee is specifically authorized to exercise its discretion to reduce the exercise price of outstanding options or effect the repricing of such options through cancellation and re-grants without additional shareholder approval. Certain amendments to the 2020 Equity Plan will require the approval of our shareholders.</w:t>
      </w:r>
    </w:p>
    <w:p>
      <w:pPr>
        <w:spacing w:after="0" w:line="18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No awards may be granted under the 2020 Equity Plan after the date that is 10 years from the date of shareholder approval of the 2020 Equity Plan. No awards under the 2020 Equity Plan have been made prior to the date hereof.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Grants to Management and Directors in Connection with the Closing of the Business Combination</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Immatics OpCo granted certain performance-based and service-based options out of the 2020 Incentive Plan to its management and directors at the closing of the Business Combination. The performance-based options will vest based both on achievement of market capitalization milestones and satisfaction of a four-year time-based vesting schedule, which provides for 25% vesting on the first anniversary of the vesting commencement date and quarterly vesting thereafter. The service-based options will vest based upon satisfaction of a four-year time-based vesting schedule, which provides for 25% vesting on the first anniversary of the vesting commencement date and quarterly vesting thereafter. An aggregate of 3,278,000 performance-based options and 2,250,000 service options to purchase ordinary shares were granted to Immatics OpCo’s management and directors.</w:t>
      </w:r>
    </w:p>
    <w:p>
      <w:pPr>
        <w:spacing w:after="0" w:line="16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foregoing options are in addition to 417,415 converted options and 962,050 matching options that were granted to Immatics OpCo’ management and directors under the 2020 Incentive Plan in connection with the closing of the Business Combination.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i w:val="1"/>
          <w:iCs w:val="1"/>
          <w:color w:val="auto"/>
        </w:rPr>
        <w:t>This section of the prospectus includes a description of the material terms of our articles of association and of applicable Dutch law. The following description is intended as a summary only and does not constitute legal advice regarding those matters and should not be regarded as such. The description is qualified in its entirety by reference to the complete text of our articles of association, which are filed as an exhibit hereto and incorporated herein by reference.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200"/>
        <w:spacing w:after="0" w:line="342" w:lineRule="auto"/>
        <w:rPr>
          <w:sz w:val="20"/>
          <w:szCs w:val="20"/>
          <w:color w:val="auto"/>
        </w:rPr>
      </w:pPr>
      <w:r>
        <w:rPr>
          <w:rFonts w:ascii="Arial" w:cs="Arial" w:eastAsia="Arial" w:hAnsi="Arial"/>
          <w:sz w:val="16"/>
          <w:szCs w:val="16"/>
          <w:color w:val="auto"/>
        </w:rPr>
        <w:t>We were incorporated on March 10, 2020 as a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under Dutch law, and upon the consummation of the Business Combination, we converted into a Dutch public limited liability company (</w:t>
      </w:r>
      <w:r>
        <w:rPr>
          <w:rFonts w:ascii="Arial" w:cs="Arial" w:eastAsia="Arial" w:hAnsi="Arial"/>
          <w:sz w:val="16"/>
          <w:szCs w:val="16"/>
          <w:i w:val="1"/>
          <w:iCs w:val="1"/>
          <w:color w:val="auto"/>
        </w:rPr>
        <w:t>naamloze vennootschap</w:t>
      </w:r>
      <w:r>
        <w:rPr>
          <w:rFonts w:ascii="Arial" w:cs="Arial" w:eastAsia="Arial" w:hAnsi="Arial"/>
          <w:sz w:val="16"/>
          <w:szCs w:val="16"/>
          <w:color w:val="auto"/>
        </w:rPr>
        <w:t>).</w:t>
      </w:r>
    </w:p>
    <w:p>
      <w:pPr>
        <w:spacing w:after="0" w:line="12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are registered in the Commercial Register of the Chamber of Commerce (</w:t>
      </w:r>
      <w:r>
        <w:rPr>
          <w:rFonts w:ascii="Arial" w:cs="Arial" w:eastAsia="Arial" w:hAnsi="Arial"/>
          <w:sz w:val="18"/>
          <w:szCs w:val="18"/>
          <w:i w:val="1"/>
          <w:iCs w:val="1"/>
          <w:color w:val="auto"/>
        </w:rPr>
        <w:t>Kamer van Koophandel</w:t>
      </w:r>
      <w:r>
        <w:rPr>
          <w:rFonts w:ascii="Arial" w:cs="Arial" w:eastAsia="Arial" w:hAnsi="Arial"/>
          <w:sz w:val="18"/>
          <w:szCs w:val="18"/>
          <w:color w:val="auto"/>
        </w:rPr>
        <w:t>) in the Netherlands under number 77595726. We have our corporate seat is in Amsterdam, the Netherlands and our registered office is at Paul-Ehrlich-Straße 15, 72076 Tübingen, Federal Republic of Germany.</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ordinary shares sold in this offering are subject to, and have been created under, Dutch law. Set forth below is a summary of relevant information concerning the material provisions of our articles of association and applicable Dutch law.</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July 1, 2021, and pursuant to our articles of association, our current two-tier board structure will automatically convert into a one-tier board structure, which will consist of a nine member staggered board divided into three classes. In the one-tier board structure, we will also have an Executive Committee consisting of all our executive directors and other executive officers.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authorized share capital consists of 285,000,000 ordinary shares, nominal value of €0.01 per share, and 15,000,000 financing preferred shares. The financing preferred shares are divided into five series, each consisting of 3,000,000 financing preferred shares. As of July 31, 2020, there were 62,908,617 ordinary shares outstanding and no financing preferred shares outstanding.</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financing preferred shares may, at the request of the holder, be converted into ordinary shares pursuant to a resolution of our Management Board or, after July 1, 2021, our Board. The conditions for conversion and the further terms and conditions related to the financing preferred shares will be determined by our Management Board subject to the prior approval of our Supervisory Board or, after July 1, 2021, our Board, our general meeting and the meeting of holders of the series of financing preferred shares concerned, if such series of financing preferred shares has been issued and are held by persons other than us. The preceding sentence applies by analogy to any adjustment to the conditions.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Ordinary Shares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Under Dutch law, shares are issued and rights to subscribe for shares are granted pursuant to a resolution of our general meeting. Our articles of association provide that the general meeting may only resolve to issue shares upon the proposal of our Management Board, which proposal requires the prior approval of our Supervisory Board. The general meeting may authorize the Management Board to issue new ordinary shares or grant rights to subscribe for ordinary shares, subject to the approval of our Supervisory Board. The authorization can be granted and extended, in each case for a period not exceeding five years. For as long as, and to the extent, that such authorization is effective, our general meeting will not have the power to issue ordinary shares.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Pursuant to a resolution of the general meeting dated June 30, 2020, our Management Board is irrevocably authorized to for a period of five years from the date of the Business Combination, to issue ordinary shares or financing preferred shares up to the amount of the authorized share capital (from time to time).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July 1, 2021, the powers of our Management Board will vest in our Board.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Subject to restrictions in our articles of association, holders of ordinary shares have preemptive rights in relation to newly issued ordinary shares under Dutch law.</w:t>
      </w:r>
    </w:p>
    <w:p>
      <w:pPr>
        <w:spacing w:after="0" w:line="17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Under our articles of association, the preemptive rights in respect of newly issued ordinary shares may be restricted or excluded by a resolution of our general meeting, which resolution requires a two-thirds majority of the votes cast if less than half of the issued share capital is present or represented at the meeting. The general meeting may authorize our Management Board, subject to the prior approval of our Supervisory Board or, after July 1, 2021, our Board to limit or exclude the preemptive rights in respect of newly issued ordinary shares. Such authorization for our Management Board, subject to the prior approval of our Supervisory Board or, after July 1, 2021, our Board can be granted and extended, in each case for a period not exceeding five years.</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Pursuant to a resolution of the general meeting dated June 30, 2020, our Management Board is irrevocably authorized for a period of five years from the date of the Business Combination to limit or exclude preemptive rights on ordinary shares up to 100% of the number of ordinary shares in our authorized share capital (from time to time).</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Preemptive rights do not exist with respect (a) to the issue of ordinary shares or grant of rights to subscribe for ordinary shares to our employees or a “group” company of ours, and (b) the issue of ordinary shares against a contribution in kind.</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Preemptive rights do not exist with respect to the issue of financing preferred shares and holders of financing preferred shares have no preemptive right to acquire newly issued ordinary shares.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July 1, 2021, the powers of our Management Board will vest in our Board.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Under Dutch law, transfers of ordinary shares (other than in book-entry form) require a written deed of transfer and, unless the company is a party to the deed of transfer, and acknowledgement by or proper service upon the company to be effective.</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Under our articles of association, if one or more ordinary shares are admitted to trading on Nasdaq or any other regulated foreign stock exchange located in the United States, we may, by resolution of our Management Board, determine that the laws of the State of New York will apply to the property law aspects of the ordinary shares included in the part of the register of shareholders kept by the relevant transfer agent. Such resolution, as well as the revocation thereof, will be made public as required by law and will be made available for inspection at our office and the Dutch trade register. Our management has adopted such resolution effective as of the Closing Date. On July 1, 2021, the powers of our Management Board will vest in our Board.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of Ordinary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our articles of association, the ordinary shares are registered shares.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 and Repurchase of Ordinary Shares</w:t>
      </w:r>
    </w:p>
    <w:p>
      <w:pPr>
        <w:spacing w:after="0" w:line="11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Under Dutch law, we may not subscribe for newly issued ordinary shares. We may acquire ordinary shares, subject to applicable provisions and restrictions of Dutch law and our articles of association, to the extent that:</w:t>
      </w:r>
    </w:p>
    <w:p>
      <w:pPr>
        <w:spacing w:after="0" w:line="76"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such ordinary shares are fully paid-up;</w:t>
      </w:r>
    </w:p>
    <w:p>
      <w:pPr>
        <w:spacing w:after="0" w:line="130"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such repurchase would not cause our shareholders’ equity to fall below an amount equal to the sum of the paid-up and called-up part of the issued share capital and the reserves we are required to maintain pursuant to Dutch law or our articles of association; and</w:t>
      </w:r>
    </w:p>
    <w:p>
      <w:pPr>
        <w:spacing w:after="0" w:line="51"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immediately after the acquisition of such ordinary shares, we and our subsidiaries would not hold, or would not hold as pledgees, shares having an aggregate nominal value that exceeds 50% of our issued share capital.</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Other than ordinary shares acquired for no valuable consideration or under universal title of succession (</w:t>
      </w:r>
      <w:r>
        <w:rPr>
          <w:rFonts w:ascii="Arial" w:cs="Arial" w:eastAsia="Arial" w:hAnsi="Arial"/>
          <w:sz w:val="17"/>
          <w:szCs w:val="17"/>
          <w:i w:val="1"/>
          <w:iCs w:val="1"/>
          <w:color w:val="auto"/>
        </w:rPr>
        <w:t>onder algemene titel</w:t>
      </w:r>
      <w:r>
        <w:rPr>
          <w:rFonts w:ascii="Arial" w:cs="Arial" w:eastAsia="Arial" w:hAnsi="Arial"/>
          <w:sz w:val="17"/>
          <w:szCs w:val="17"/>
          <w:color w:val="auto"/>
        </w:rPr>
        <w:t>) (</w:t>
      </w:r>
      <w:r>
        <w:rPr>
          <w:rFonts w:ascii="Arial" w:cs="Arial" w:eastAsia="Arial" w:hAnsi="Arial"/>
          <w:sz w:val="17"/>
          <w:szCs w:val="17"/>
          <w:i w:val="1"/>
          <w:iCs w:val="1"/>
          <w:color w:val="auto"/>
        </w:rPr>
        <w:t>e.g.</w:t>
      </w:r>
      <w:r>
        <w:rPr>
          <w:rFonts w:ascii="Arial" w:cs="Arial" w:eastAsia="Arial" w:hAnsi="Arial"/>
          <w:sz w:val="17"/>
          <w:szCs w:val="17"/>
          <w:color w:val="auto"/>
        </w:rPr>
        <w:t>, through a merger or spin off) under statutory Dutch or other law, we may acquire ordinary shares only if our general meeting has authorized our Management Board to do so, subject to prior approval of our Supervisory Board or, after July 1, 2021, our Board. An authorization by our general meeting for the acquisition of ordinary shares can be granted for a maximum period of 18 months. Such authorization must specify the number of ordinary shares that may be acquired, the manner in which these shares may be acquired and the price range within which the shares may be acquired. No authorization of our general meeting is required if ordinary shares are acquired by us on Nasdaq with the intention of transferring such ordinary shares to our employees or employees of a group company pursuant to an arrangement applicable to them. For each annual general meeting, we expect that our Management Board, or, after July 1, 2021, our Board will place on the agenda a proposal to re-authorize our Management Board, or, after July 1, 2021, our Board to repurchase shares for a period of 18 months from the date of the resolution. We cannot derive any right to any distribution from ordinary shares, or voting rights attached to ordinary shares acquired by it.</w:t>
      </w:r>
    </w:p>
    <w:p>
      <w:pPr>
        <w:spacing w:after="0" w:line="185"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Pursuant to a resolution of the general meeting dated June 30, 2020, the our Management Board is irrevocably authorized for a period of 18 months to resolve for us to acquire fully paid-up ordinary shares up to the maximum number of ordinary shares permitted pursuant to the law and our articles of association from time to time, through privately negotiated repurchases, in self-tender offers, or through accelerated repurchase arrangements, at prices ranging from the nominal value of the ordinary shares up to one hundred and ten percent(110%) of the market price of ordinary shares, provided that</w:t>
      </w:r>
    </w:p>
    <w:p>
      <w:pPr>
        <w:spacing w:after="0" w:line="1" w:lineRule="exact"/>
        <w:rPr>
          <w:sz w:val="20"/>
          <w:szCs w:val="20"/>
          <w:color w:val="auto"/>
        </w:rPr>
      </w:pPr>
    </w:p>
    <w:p>
      <w:pPr>
        <w:ind w:left="340" w:hanging="224"/>
        <w:spacing w:after="0"/>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for open market or privately negotiated repurchases, the market price will be the price for ordinary shares Nasdaq at the time of the transaction,</w:t>
      </w:r>
    </w:p>
    <w:p>
      <w:pPr>
        <w:spacing w:after="0" w:line="20" w:lineRule="exact"/>
        <w:rPr>
          <w:rFonts w:ascii="Arial" w:cs="Arial" w:eastAsia="Arial" w:hAnsi="Arial"/>
          <w:sz w:val="17"/>
          <w:szCs w:val="17"/>
          <w:color w:val="auto"/>
        </w:rPr>
      </w:pPr>
    </w:p>
    <w:p>
      <w:pPr>
        <w:jc w:val="both"/>
        <w:ind w:left="120" w:right="140" w:hanging="4"/>
        <w:spacing w:after="0" w:line="281" w:lineRule="auto"/>
        <w:tabs>
          <w:tab w:leader="none" w:pos="38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for self-tender offers, the market price will be the volume weighted average price for the ordinary shares on Nasdaq during a period, determined by the Management Board, of no less than one and no more than five consecutive trading days immediately prior to the expiration of the tender offer, and</w:t>
      </w:r>
    </w:p>
    <w:p>
      <w:pPr>
        <w:spacing w:after="0" w:line="1" w:lineRule="exact"/>
        <w:rPr>
          <w:rFonts w:ascii="Arial" w:cs="Arial" w:eastAsia="Arial" w:hAnsi="Arial"/>
          <w:sz w:val="16"/>
          <w:szCs w:val="16"/>
          <w:color w:val="auto"/>
        </w:rPr>
      </w:pPr>
    </w:p>
    <w:p>
      <w:pPr>
        <w:ind w:left="120" w:right="180" w:hanging="4"/>
        <w:spacing w:after="0" w:line="302" w:lineRule="auto"/>
        <w:tabs>
          <w:tab w:leader="none" w:pos="43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for accelerated repurchase arrangements, the market price will be the volume weighted average price of the ordinary shares on the NYSE over the term of the arrangement. The volume weighted average price for any number of trading days will be calculated as the arithmetic average of the daily volume weighted average price on those trading days. On July 1, 2021, the powers of our Management Board will vest in our Board.</w:t>
      </w:r>
    </w:p>
    <w:p>
      <w:pPr>
        <w:spacing w:after="0" w:line="155" w:lineRule="exact"/>
        <w:rPr>
          <w:sz w:val="20"/>
          <w:szCs w:val="20"/>
          <w:color w:val="auto"/>
        </w:rPr>
      </w:pPr>
    </w:p>
    <w:p>
      <w:pPr>
        <w:ind w:left="120" w:right="240"/>
        <w:spacing w:after="0" w:line="293" w:lineRule="auto"/>
        <w:rPr>
          <w:sz w:val="20"/>
          <w:szCs w:val="20"/>
          <w:color w:val="auto"/>
        </w:rPr>
      </w:pPr>
      <w:r>
        <w:rPr>
          <w:rFonts w:ascii="Arial" w:cs="Arial" w:eastAsia="Arial" w:hAnsi="Arial"/>
          <w:sz w:val="16"/>
          <w:szCs w:val="16"/>
          <w:color w:val="auto"/>
        </w:rPr>
        <w:t>Pursuant to a resolution of the general meeting dated June 30, 2020, our Management Board is furthermore irrevocably authorized for a period of 18 months from the date of the Business Combination to resolve for us to acquire fully paid up financing preferred shares up to the maximum number of financing preferred shares permitted pursuant to the law and our articles of association from time to time and that financing preferred shares may be acquired through privately negotiated repurchases, in self-tender offers, or through accelerated repurchase arrangements, at prices ranging from the nominal value of the financing preferred shares up to the amount that would be paid by us upon cancellation of such financing preferred shares in accordance with the relevant provisions of our articles of association. On July 1, 2021, the powers of our Management Board will vest in our Board.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Reduction</w:t>
      </w:r>
    </w:p>
    <w:p>
      <w:pPr>
        <w:spacing w:after="0" w:line="117"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At a general meeting, our shareholders may resolve on the proposal of our Management Board, which proposal will require the prior approval of our Supervisory Board to reduce our issued share capital by (i) cancelling ordinary shares or (ii) reducing the nominal value of the ordinary shares by amending our articles of association (provided that the nominal value of an ordinary shares cannot be less than €0.01). In either case, this reduction would be subject to applicable statutory provisions. A resolution to cancel ordinary shares may only relate to (i) ordinary shares held by us or in respect of which we hold the depository receipts, or (ii) all financing preferred shares of a class if approved by the holders of all shares of that class. In order to be approved by our general meeting, a resolution to reduce the capital requires approval of a majority of the votes cast at a general meeting if at least 50% of the issued share capital is represented at such meeting or at least 66 2/3% of the votes cast at a general meeting if less than 50% of the issued share capital is represented at such meeting. On July 1, 2021, the powers of our Management Board will vest in our Board.</w:t>
      </w:r>
    </w:p>
    <w:p>
      <w:pPr>
        <w:spacing w:after="0" w:line="165"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A reduction of the nominal value of ordinary shares without repayment and without release from the obligation to pay up the ordinary shares must be effectuated proportionally on shares of the same class (unless all affected shareholders agree to a disproportional reduction).</w:t>
      </w:r>
    </w:p>
    <w:p>
      <w:pPr>
        <w:spacing w:after="0" w:line="14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 resolution that would result in a reduction of capital requires approval by a majority of the votes cast of each group of shareholders of the same class whose rights are prejudiced by the reduction. In addition, a reduction of capital involves a two-month waiting period during which creditors have the right to object to a reduction of capital under specified circumstances.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Meeting of Shareholders and Voting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General meetings are held in Amsterdam, Rotterdam, The Hague, Arnhem, Utrecht, or in the municipality of Haarlemmermeer (Schiphol Airport), the Netherlands. All of our shareholders and others entitled to attend our general meetings are authorized to address the meeting and, in so far as they have such right, to vote, either in person or by proxy.</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will hold at least one general meeting each year, to be held within six months after the end of its financial year. A general meeting will also be held within three months after our Board has determined it to be likely that our equity has decreased to an amount equal to or lower than half of its paid up and called up capital, in order to discuss the measures to be taken if so required. If our Board fails to hold such general meeting in a timely manner, each shareholder and other person entitled to attend our general meeting may be authorized by the Dutch court to convene our general meeting.</w:t>
      </w:r>
    </w:p>
    <w:p>
      <w:pPr>
        <w:spacing w:after="0" w:line="15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Our Management Board or our Supervisory Board or, after July 1, 2021, our Board may convene additional extraordinary general meetings of shareholders at its discretion, subject to the notice requirements described below. Pursuant to Dutch law, one or more shareholders and/or others entitled to attend general meetings of shareholders, alone or jointly representing at least 10% of our issued share capital, may on their application be authorized by the Dutch court to convene a general meeting. The Dutch court will disallow the application if (i) the applicants have not previously requested in writing that our Management Board or our Supervisory Board or, after July 1, 2021, our Board convenes a shareholders’ meeting or (ii) our Management Board or our Supervisory Board or, after July 1, 2021, Board convenes a shareholders’ meeting or (ii) our Board has not taken the necessary steps so that the shareholders’ meeting could be held within six weeks after such request.</w:t>
      </w:r>
    </w:p>
    <w:p>
      <w:pPr>
        <w:spacing w:after="0" w:line="17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general meeting is convened by a notice, which includes an agenda stating the items to be discussed and the location and time of our general meeting. For the annual general meeting the agenda will include, among other things, the adoption of our annual accounts, the appropriation of its profits or losses and proposals relating to the composition of and filling of any vacancies on our Management Board, our Supervisory Board or, after July 1,</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2021, our Board. In addition, the agenda for a general meeting includes such additional items as determined by our Management Board, our Supervisory Board or, after July 1, 2021, our Board. Pursuant to Dutch law, one or more shareholders and/or others entitled to attend general meetings of shareholders, alone or jointly representing at least 3% of the issued share capital, have the right to request the inclusion of additional items on the agenda of shareholders’ meetings. Such requests must be made in writing, and may include a proposal for a shareholder resolution, and must be received by us no later than on the 60th day before the day the relevant shareholders’ meeting is held. No resolutions will be adopted on items other than those which have been included in the agenda. Under our articles of association, certain items can only be put on the agenda as a voting item by our Management Board or our Supervisory Board, after July 1, 2021 our Board, shareholders meeting the relevant requirements may still request the inclusion of such items on the agenda as a discussion item.</w:t>
      </w:r>
    </w:p>
    <w:p>
      <w:pPr>
        <w:spacing w:after="0" w:line="178"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 will give notice of each general meeting by publication on its website and, to the extent required by applicable law, in a Dutch daily newspaper with national distribution, and in any other manner that we may be required to follow in order to comply with Dutch law and applicable stock exchange and SEC requirements. We will observe the statutory minimum convening notice period for a general meeting. Holders of registered shares may further be provided notice of the meeting in writing at their addresses as stated in its shareholders’ register.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our articles of association and Dutch law, our Management Board, or, after July 1, 2021, our Board may determine a record date</w:t>
      </w:r>
    </w:p>
    <w:p>
      <w:pPr>
        <w:spacing w:after="0" w:line="35" w:lineRule="exact"/>
        <w:rPr>
          <w:sz w:val="20"/>
          <w:szCs w:val="20"/>
          <w:color w:val="auto"/>
        </w:rPr>
      </w:pPr>
    </w:p>
    <w:p>
      <w:pPr>
        <w:ind w:left="120" w:right="1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registratiedatum</w:t>
      </w:r>
      <w:r>
        <w:rPr>
          <w:rFonts w:ascii="Arial" w:cs="Arial" w:eastAsia="Arial" w:hAnsi="Arial"/>
          <w:sz w:val="17"/>
          <w:szCs w:val="17"/>
          <w:color w:val="auto"/>
        </w:rPr>
        <w:t>) of 28 calendar days prior to a general meeting to establish which shareholders and others with meeting rights are entitled to attend and, if applicable, vote at our general meeting. The record date, if any, and the manner in which shareholders can register and exercise their rights will be set out in the notice of our general meeting. Our articles of association provide that a shareholder must notify us in writing of his or her identity and his or her intention to attend (or be represented at) our general meeting, such notice to be received by us on the date set by our Management Board, or, after July 1, 2021, our Board in accordance with our articles of association and as set forth in the convening notice. If this requirement is not complied with or if upon request no proper identification is provided by any person wishing to enter our general meeting, the chairman of our general meeting may, in his or her sole discretion, refuse entry to the shareholder or his or her proxy holder.</w:t>
      </w:r>
    </w:p>
    <w:p>
      <w:pPr>
        <w:spacing w:after="0" w:line="180"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Pursuant to our articles of association, our general meeting is chaired by the Chairman of our Supervisory Board, who, nevertheless, may charge another person to preside over the meeting in his place even if he himself is present at the meeting. If the chairman of our Supervisory Board is absent and he has not charged another person to preside over the meeting in his place, our general meeting will be presided over by the vice-chairman of our Supervisory Board. If both the chairman and the vice-chairman are absent, our Supervisory Directors present at the meeting will appoint one of them to be chairman. In the absence of all Supervisory Directors, our general meeting will be presided over by the chief executive officer. If all Supervisory Directors and the chief executive officer are absent, our Managing Directors present at the meeting will appoint one of them as chairman. If all Supervisory Directors and all Managing Directors are absent, our general meeting will appoint its chairman.</w:t>
      </w:r>
    </w:p>
    <w:p>
      <w:pPr>
        <w:spacing w:after="0" w:line="17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After July 1, 2021, our general meeting will be presided over by the chairman of our Board, who, nevertheless, may charge another person to preside over the meeting in his place even if he himself is present at the meeting. If the chairman of our Board is absent and he has not charged another person to preside over the meeting in his place, the directors present at the meeting will appoint one of them to be chairman. In the absence of all directors, our general meeting will appoint its chairman.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 and Quorum</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In accordance with Dutch law and our articles of association, each ordinary share, irrespective of which class it concerns, confers the right on the holder thereof to cast one vote at our general meeting. The voting rights attached to any ordinary shares held by us or our direct or indirect subsidiaries are suspended, unless the ordinary shares were encumbered with a right of usufruct or a pledge in favor of a party other than us or a direct or indirect subsidiary before such ordinary shares were acquired by us or such a subsidiary, in which case, the other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party may be entitled to exercise the voting rights on the ordinary shares. We may not exercise voting rights for ordinary shares in respect of which its or a direct or indirect subsidiary has a right of usufruct or a pledge.</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Voting rights may be exercised by shareholders or by a duly appointed proxy holder (the written proxy being acceptable to the chairman of our general meeting) of a shareholder, which proxy holder need not be a shareholder. The holder of a usufruct or pledge on shares will have the voting rights attached thereto if so provided for when the usufruct or pledge was created.</w:t>
      </w:r>
    </w:p>
    <w:p>
      <w:pPr>
        <w:spacing w:after="0" w:line="184"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Under our articles of association, blank votes (votes where no choice has been made), abstentions and invalid votes will not be counted as votes cast. However, shares in respect of which a blank vote or invalid vote has been cast and shares in respect of which the person with meeting rights who is present or represented at the meeting has abstained from voting are counted when determining the part of the issued share capital that is present or represented at a general meeting. The chairman of our general meeting will determine the manner of voting and whether voting may take place by acclamation.</w:t>
      </w:r>
    </w:p>
    <w:p>
      <w:pPr>
        <w:spacing w:after="0" w:line="188"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Resolutions of the shareholders are adopted at a general meeting by a majority of votes cast, except where Dutch law or our articles of association provide for a special majority in relation to specified resolutions. Our articles of association do not provide for a quorum requirement, subject to any provision of mandatory Dutch law.</w:t>
      </w:r>
    </w:p>
    <w:p>
      <w:pPr>
        <w:spacing w:after="0" w:line="184"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Subject to certain restrictions in our articles of association, the determination during our general meeting made by the chairman of that general meeting with regard to the results of a vote will be decisive. Our Board will keep a record of the resolutions passed at each general meeting.</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Articles of Association</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At a general meeting, at the proposal of our Management Board, which proposals requires the prior approval of our Supervisory Board, our general meeting may resolve to amend the articles of association. A resolution by the shareholders to amend the articles of association requires a majority of the votes cast. On July 1, 2021, the powers of our Management Board will vest in our Board.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Demerger and Dissolution</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At the proposal of our Management Board, which proposal requires the prior approval of our Supervisory Board, our general meeting may resolve with a majority of the votes cast (subject to certain exceptions) or with at least two-thirds of the votes cast if less than half of the issued capital is present or represented at our general meeting, to legally merge or demerge the company within the meaning of Title 7, Book 2 of the Dutch Civil Code. On July 1, 2021, the powers of our Management Board will vest in our Board.</w:t>
      </w:r>
    </w:p>
    <w:p>
      <w:pPr>
        <w:spacing w:after="0" w:line="187" w:lineRule="exact"/>
        <w:rPr>
          <w:sz w:val="20"/>
          <w:szCs w:val="20"/>
          <w:color w:val="auto"/>
        </w:rPr>
      </w:pPr>
    </w:p>
    <w:p>
      <w:pPr>
        <w:ind w:left="120" w:right="460"/>
        <w:spacing w:after="0" w:line="259" w:lineRule="auto"/>
        <w:rPr>
          <w:sz w:val="20"/>
          <w:szCs w:val="20"/>
          <w:color w:val="auto"/>
        </w:rPr>
      </w:pPr>
      <w:r>
        <w:rPr>
          <w:rFonts w:ascii="Arial" w:cs="Arial" w:eastAsia="Arial" w:hAnsi="Arial"/>
          <w:sz w:val="18"/>
          <w:szCs w:val="18"/>
          <w:color w:val="auto"/>
        </w:rPr>
        <w:t>Our shareholders may at a general meeting, based on a proposal by our Management Board which proposal requires the prior approval of our Supervisory Board, by means of a resolution passed by a majority of the votes cast resolve that the company will be dissolved. In the event of dissolution of the company, the liquidation will be effected by our Managing Directors, under the supervision of our Supervisory Board unless our general meeting decides otherwise.</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After July 1, 2021, the liquidation will be effected by our Executive Directors, under the supervision of our Non-Executive Directors, unless our general meeting decides otherwise.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Squeeze Out</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A shareholder who for its own account (or together with its group companies) holds at least 95% of our issued share capital may institute proceedings against the other shareholders jointly for the transfer of their shares to the shareholder who holds such 95% majority. The proceedings are held before the Enterprise Chamber of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0" w:lineRule="auto"/>
        <w:rPr>
          <w:sz w:val="20"/>
          <w:szCs w:val="20"/>
          <w:color w:val="auto"/>
        </w:rPr>
      </w:pPr>
      <w:r>
        <w:rPr>
          <w:rFonts w:ascii="Arial" w:cs="Arial" w:eastAsia="Arial" w:hAnsi="Arial"/>
          <w:sz w:val="16"/>
          <w:szCs w:val="16"/>
          <w:color w:val="auto"/>
        </w:rPr>
        <w:t>Amsterdam Court of Appeal (</w:t>
      </w:r>
      <w:r>
        <w:rPr>
          <w:rFonts w:ascii="Arial" w:cs="Arial" w:eastAsia="Arial" w:hAnsi="Arial"/>
          <w:sz w:val="16"/>
          <w:szCs w:val="16"/>
          <w:i w:val="1"/>
          <w:iCs w:val="1"/>
          <w:color w:val="auto"/>
        </w:rPr>
        <w:t>Ondernemingskamer van het Gerechtshof Amsterdam</w:t>
      </w:r>
      <w:r>
        <w:rPr>
          <w:rFonts w:ascii="Arial" w:cs="Arial" w:eastAsia="Arial" w:hAnsi="Arial"/>
          <w:sz w:val="16"/>
          <w:szCs w:val="16"/>
          <w:color w:val="auto"/>
        </w:rPr>
        <w:t>) (the “</w:t>
      </w:r>
      <w:r>
        <w:rPr>
          <w:rFonts w:ascii="Arial" w:cs="Arial" w:eastAsia="Arial" w:hAnsi="Arial"/>
          <w:sz w:val="16"/>
          <w:szCs w:val="16"/>
          <w:i w:val="1"/>
          <w:iCs w:val="1"/>
          <w:color w:val="auto"/>
        </w:rPr>
        <w:t>Enterprise Chamber</w:t>
      </w:r>
      <w:r>
        <w:rPr>
          <w:rFonts w:ascii="Arial" w:cs="Arial" w:eastAsia="Arial" w:hAnsi="Arial"/>
          <w:sz w:val="16"/>
          <w:szCs w:val="16"/>
          <w:color w:val="auto"/>
        </w:rPr>
        <w:t>”) and can be instituted by means of a writ of summons served upon each of the minority shareholders in accordance with the provisions of the Dutch Code of Civil Procedure (</w:t>
      </w:r>
      <w:r>
        <w:rPr>
          <w:rFonts w:ascii="Arial" w:cs="Arial" w:eastAsia="Arial" w:hAnsi="Arial"/>
          <w:sz w:val="16"/>
          <w:szCs w:val="16"/>
          <w:i w:val="1"/>
          <w:iCs w:val="1"/>
          <w:color w:val="auto"/>
        </w:rPr>
        <w:t>Wetboek van</w:t>
      </w:r>
      <w:r>
        <w:rPr>
          <w:rFonts w:ascii="Arial" w:cs="Arial" w:eastAsia="Arial" w:hAnsi="Arial"/>
          <w:sz w:val="16"/>
          <w:szCs w:val="16"/>
          <w:color w:val="auto"/>
        </w:rPr>
        <w:t xml:space="preserve"> </w:t>
      </w:r>
      <w:r>
        <w:rPr>
          <w:rFonts w:ascii="Arial" w:cs="Arial" w:eastAsia="Arial" w:hAnsi="Arial"/>
          <w:sz w:val="16"/>
          <w:szCs w:val="16"/>
          <w:i w:val="1"/>
          <w:iCs w:val="1"/>
          <w:color w:val="auto"/>
        </w:rPr>
        <w:t>Burgerlijke Rechtsvordering</w:t>
      </w:r>
      <w:r>
        <w:rPr>
          <w:rFonts w:ascii="Arial" w:cs="Arial" w:eastAsia="Arial" w:hAnsi="Arial"/>
          <w:sz w:val="16"/>
          <w:szCs w:val="16"/>
          <w:color w:val="auto"/>
        </w:rPr>
        <w:t>). The Enterprise Chamber may grant the claim for squeeze-out in relation to all minority shareholders and will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the price to be paid for the shares, if necessary after appointment of one or three experts who will offer an opinion to the Enterprise Chamber on the value of the shares of the minority shareholders. Once the order to transfer by the Enterprise Chamber becomes final and irrevocable, the majority shareholder that instituted the squeeze-out proceedings will give written notice of the date and place of payment and the price to the holders of the shares to be acquired whose addresses are known to the majority shareholder. Unless the addresses of all minority shareholders are known to the majority shareholder acquiring the shares, the majority shareholder is required to publish the same in a newspaper with a national circulation.</w:t>
      </w:r>
    </w:p>
    <w:p>
      <w:pPr>
        <w:spacing w:after="0" w:line="165"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 shareholder that holds a majority of our issued share capital, but less than the 95% required to institute the squeeze-out proceedings described above, may seek to propose and implement one or more restructuring transactions with the objective of obtaining at least 95% of our issued share capital so the shareholder may initiate squeeze-out proceedings. Those restructuring transactions could, among other things, include a merger or demerger involving the company, a contribution of cash and/or assets against issuance of ordinary shares, the issue of new ordinary shares to the majority shareholder without preemptive rights for minority shareholders or an asset sale transaction.</w:t>
      </w:r>
    </w:p>
    <w:p>
      <w:pPr>
        <w:spacing w:after="0" w:line="176"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Depending on the circumstances, an asset sale of a Dutch public limited liability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is sometimes used as a way to squeeze out minority shareholders, for example, after a successful tender offer through which a third party acquires a supermajority, but less than all, of the company’s shares. In such a scenario, the business of the target company is sold to a third party or a special purpose vehicle, followed by the liquidation of the target company. The purchase price is distributed to all shareholders in proportion to their respective shareholding as liquidation proceeds, thus separating the business from the company in which minority shareholders had an interest.</w:t>
      </w:r>
    </w:p>
    <w:p>
      <w:pPr>
        <w:spacing w:after="0" w:line="176"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Any sale or transfer of all of our assets and our dissolution or liquidation is subject to approval by a majority of the votes cast in its general meeting. Our articles of association provide that our general meeting may only adopt such resolution upon a proposal of our Management Board, which proposal requires the prior approval of our Supervisory Board. On July 1, 2021, the powers of our Management Board will vest in our Board.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Other Major Transactions</w:t>
      </w:r>
    </w:p>
    <w:p>
      <w:pPr>
        <w:spacing w:after="0" w:line="117"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Our articles of association and Dutch law provide that resolutions of our Management Board, or, after July 1, 2021, our Board concerning a material change in our identity, character or business are subject to the approval of our general meeting. Such changes include:</w:t>
      </w:r>
    </w:p>
    <w:p>
      <w:pPr>
        <w:spacing w:after="0" w:line="52"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transfer of all or materially all of its business to a third party;</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entry into or termination of a long-lasting alliance of the company or of a subsidiary either with another entity or company, or as a fully liable partner of a limited partnership or partnership, if this alliance or termination is of significant importance to the company; and</w:t>
      </w:r>
    </w:p>
    <w:p>
      <w:pPr>
        <w:spacing w:after="0" w:line="29" w:lineRule="exact"/>
        <w:rPr>
          <w:rFonts w:ascii="Arial" w:cs="Arial" w:eastAsia="Arial" w:hAnsi="Arial"/>
          <w:sz w:val="16"/>
          <w:szCs w:val="16"/>
          <w:color w:val="auto"/>
        </w:rPr>
      </w:pPr>
    </w:p>
    <w:p>
      <w:pPr>
        <w:ind w:left="1080" w:hanging="424"/>
        <w:spacing w:after="0" w:line="286"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acquisition or disposition of an interest in the capital of a company by the company or by its subsidiary with a value of at least one third of the value of our assets, according to the balance sheet with explanatory notes or, if the company prepares a consolidated balance sheet, according to the consolidated balance sheet with explanatory notes in our most recently adopted annual accounts.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company may only make distributions to its shareholders if its equity exceeds the aggregate amount of the issued share capital and the reserves which must be maintained pursuant to Dutch law or by our articles of association.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Under our articles of association, any profits or distributable reserves must first be applied to pay a dividend on the financing preferred shares, if outstanding.</w:t>
      </w:r>
    </w:p>
    <w:p>
      <w:pPr>
        <w:spacing w:after="0" w:line="17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Any amount remaining out of distributable profits is added to our reserves as our Management Board, with the approval of our Supervisory Board determines. After reservation by our Management Board of any distributable profits, our general meeting will be authorized to declare distributions on the proposal of our Management Board which proposal will require the prior approval of our Supervisory Board. Our Management Board is permitted, subject to approval of our Supervisory Board and certain requirements, to declare interim dividends without the approval of the shareholders. Interim dividends may be declared as provided in our articles of association and may be distributed to the extent that the shareholders’ equity, based on interim financial statements, exceeds the paid-up and called-up share capital and the reserves that must be maintained under Dutch law or our articles of association. We may reclaim any distributions, whether interim or not interim, made in contravention of certain restrictions of Dutch law from shareholders that knew or should have known that such distribution was not permissible. In addition, on the basis of Dutch case law, if after a distribution we are not able to pay its due and collectable debts, then our shareholders or directors who at the time of the distribution knew or reasonably should have foreseen that result may be liable to its creditors. On July 1, 2021, the powers of our Management Board will vest in our Board.</w:t>
      </w:r>
    </w:p>
    <w:p>
      <w:pPr>
        <w:spacing w:after="0" w:line="168"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general meeting may determine that distributions will be made in whole or in part in a currency other than the Euro. Our Management Board or, after July 1, 2021, our Board, will set the record date to establish which shareholders (or usufructuaries or pledgees, as the case may be) are entitled to the distribution, such date not being earlier than the date on which the distribution was announced. Claims for payment of dividends and other distributions not made within five years from the date that such dividends or distributions became payable will lapse, and any such amounts will be considered to have been forfeited to the company (</w:t>
      </w:r>
      <w:r>
        <w:rPr>
          <w:rFonts w:ascii="Arial" w:cs="Arial" w:eastAsia="Arial" w:hAnsi="Arial"/>
          <w:sz w:val="18"/>
          <w:szCs w:val="18"/>
          <w:i w:val="1"/>
          <w:iCs w:val="1"/>
          <w:color w:val="auto"/>
        </w:rPr>
        <w:t>verjaring).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anticipate paying any dividends on ordinary shares for the foreseeable future. See the section titled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As of the date of this prospectus, there are 7,187,500 warrants outstanding. The warrants, which entitle the holder to purchase one ordinary share at an exercise price of $11.50 per share, will become exercisable thirty days after the completion of the Business Combination. The warrants will expire five years after the completion of the Business Combination or earlier upon redemption or liquidation in accordance with their terms.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We will give notice of each general meeting by publication on its website and, to the extent required by applicable law, in a Dutch daily newspaper with national distribution, and in any other manner that we may be required to follow in order to comply with Dutch law and applicable stock exchange and SEC requirements. Holders of registered shares may further be provided notice of the meeting in writing at their addresses as stated in its shareholders’ register.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Disclosure Obligations</w:t>
      </w:r>
    </w:p>
    <w:p>
      <w:pPr>
        <w:spacing w:after="0" w:line="121"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As of consummation of the Business Combination, we will be subject to certain disclosure obligations under Dutch and U.S. law and the rules of Nasdaq. The following is a description of the general disclosure obligations of public companies under Dutch and U.S. law and the rules of Nasdaq as such laws and rules exist as of the date of this document, and should not be viewed as legal advice for specific circumstances.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Reporting under Dutch Law</w:t>
      </w:r>
    </w:p>
    <w:p>
      <w:pPr>
        <w:spacing w:after="0" w:line="117"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The Dutch Financial Reporting Supervision Act (</w:t>
      </w:r>
      <w:r>
        <w:rPr>
          <w:rFonts w:ascii="Arial" w:cs="Arial" w:eastAsia="Arial" w:hAnsi="Arial"/>
          <w:sz w:val="18"/>
          <w:szCs w:val="18"/>
          <w:i w:val="1"/>
          <w:iCs w:val="1"/>
          <w:color w:val="auto"/>
        </w:rPr>
        <w:t>Wet toezicht financiële verslaggeving</w:t>
      </w:r>
      <w:r>
        <w:rPr>
          <w:rFonts w:ascii="Arial" w:cs="Arial" w:eastAsia="Arial" w:hAnsi="Arial"/>
          <w:sz w:val="18"/>
          <w:szCs w:val="18"/>
          <w:color w:val="auto"/>
        </w:rPr>
        <w:t>, the “FRSA”), applies to our financial reporting. Under the FRSA, the Netherlands Authority for the Financial Markets (“AFM”) supervises the application of financial reporting standards by, among others, companies whose corporate seats are in the Netherlands and whose securities are listed on a regulated market within the EU or on an equivalent third (non-EU) country market. As we have our corporate seat in the Netherlands and our ordinary shares will be listed on Nasdaq, the FRSA will be applicable to us.</w:t>
      </w:r>
    </w:p>
    <w:p>
      <w:pPr>
        <w:spacing w:after="0" w:line="188"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Pursuant to the FRSA, the AFM has an independent right to (i) request an explanation from the company regarding the application of the applicable financial reporting standards if, based on publicly known facts or circumstances, it has reason to doubt our financial reporting meets such standards and</w:t>
      </w:r>
    </w:p>
    <w:p>
      <w:pPr>
        <w:ind w:left="120" w:right="40" w:hanging="4"/>
        <w:spacing w:after="0" w:line="302" w:lineRule="auto"/>
        <w:tabs>
          <w:tab w:leader="none" w:pos="38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recommend to the company that it make available further explanations. If the company does not comply with such a request or recommendation, the AFM may request that the Enterprise Chamber orders the company to (i) provide an explanation on the way it has applied the applicable financial reporting standards to its financial reports or (ii) prepare its financial reports in accordance with the Enterprise Chamber’s instructions.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Periodic Reporting under U.S. Securities Law</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are a “foreign private issuer” under the securities laws of the United States and the rules of the Nasdaq. Under the securities laws of the United States, “foreign private issuers” are subject to different disclosure requirements than U.S. registrants. We intend to take all actions necessary to maintain compliance as a foreign private issuer under the applicable corporate governance requirements of the Sarbanes-Oxley Act of 2002, the rules adopted by the SEC and Nasdaq listing standards. Under the Nasdaq rules, a “foreign private issuer” is subject to less stringent corporate governance requirements. Subject to certain exceptions, the Nasdaq rules permit a “foreign private issuer” to comply with its home country rules in lieu of the listing requirements of Nasdaq.</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one or more non-independent directors serving as committee members on its corporate governance and nominating committee. As a</w:t>
      </w:r>
    </w:p>
    <w:p>
      <w:pPr>
        <w:spacing w:after="0" w:line="35" w:lineRule="exact"/>
        <w:rPr>
          <w:sz w:val="20"/>
          <w:szCs w:val="20"/>
          <w:color w:val="auto"/>
        </w:rPr>
      </w:pPr>
    </w:p>
    <w:p>
      <w:pPr>
        <w:ind w:left="120" w:right="60"/>
        <w:spacing w:after="0" w:line="323" w:lineRule="auto"/>
        <w:rPr>
          <w:sz w:val="20"/>
          <w:szCs w:val="20"/>
          <w:color w:val="auto"/>
        </w:rPr>
      </w:pPr>
      <w:r>
        <w:rPr>
          <w:rFonts w:ascii="Arial" w:cs="Arial" w:eastAsia="Arial" w:hAnsi="Arial"/>
          <w:sz w:val="16"/>
          <w:szCs w:val="16"/>
          <w:color w:val="auto"/>
        </w:rPr>
        <w:t>result, non-independent directors may, among other things, participate in resolving governance issues regarding the company. Accordingly, in the future you may not have the same protections afforded to shareholders of companies that are subject to all of the Nasdaq corporate governance requirements.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Nasdaq Rules</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For so long as its shares will be listed on Nasdaq, we will be required to meet certain requirements relating to ongoing communication and disclosure to our shareholders, including a requirement to make any annual report filed with the SEC available on or through our website and to comply with the “prompt disclosure” requirement of Nasdaq with respect to earnings and dividend announcements, combination transactions, stock splits, major management changes and any substantive items of an unusual or non-recurrent nature. Issuers listing shares on Nasdaq must also meet certain corporate governance standards, such as those relating to annual meetings, board independence, the formation and composition of nominating/corporate governance, compensation and audit committees and approval of our shareholders of certain transactions.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Insider Trading and Market Manipulation Laws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Dutch and U.S. law each contain rules intended to prevent insider trading and market manipulation. The following is a general description of those laws as such laws exist as of the date of this document, and should not be viewed as legal advice for specific circumstances.</w:t>
      </w:r>
    </w:p>
    <w:p>
      <w:pPr>
        <w:spacing w:after="0" w:line="17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In connection with our listing on Nasdaq, we adopted an insider trading policy. This policy will provide for, among other things, rules on transactions by members of our Board and our employees in ordinary shares or in financial instruments the value of which is determined by the value of the shares.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00"/>
          </w:cols>
          <w:pgMar w:left="320" w:top="459"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Netherlands</w:t>
      </w:r>
    </w:p>
    <w:p>
      <w:pPr>
        <w:spacing w:after="0" w:line="117"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On July 3, 2016, the Regulation (EU) No 596/2014 of the European Parliament and of the Council of April 16, 2014 (the “MAR”) replaced all of the Dutch market abuse rules. The MAR does not apply to the company or to ordinary shares as the ordinary shares are solely listed on Nasdaq, a stock exchange outside the European Economic Area. As a result, there are no EU rules applicable to the company relating to market abuse, such as insider trading, tipping, market manipulation and notification rules for director dealings applicable to 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U.S. securities laws generally prohibit any person from trading in a security while in possession of material, non-public information or assisting someone who is engaged in doing the same. The insider trading laws cover not only those who trade based on material, non-public information, but also those who disclose material non-public information to others who might trade on the basis of that information (known as “tipping”). A “security” includes not just equity securities, but any security (e.g., derivatives). Thus, members of our Board, officers and other employees of ours may not purchase or sell shares or other securities of ours when he or she is in possession of material, non-public information about the company (including our business, prospects or financial condition), nor may they tip any other person by disclosing material, non-public information about the company.</w:t>
      </w:r>
    </w:p>
    <w:p>
      <w:pPr>
        <w:spacing w:after="0" w:line="16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identified those persons working for it who could have access to inside information on a regular or incidental basis and have informed such persons of the prohibitions on insider trading and market manipulation imposed by U.S. laws, including the sanctions which can be imposed in the event of a violation of those rules.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Disclosure and Reporting Obligations of Our Directors, Officers and Shareholders</w:t>
      </w:r>
    </w:p>
    <w:p>
      <w:pPr>
        <w:spacing w:after="0" w:line="121" w:lineRule="exact"/>
        <w:rPr>
          <w:sz w:val="20"/>
          <w:szCs w:val="20"/>
          <w:color w:val="auto"/>
        </w:rPr>
      </w:pPr>
    </w:p>
    <w:p>
      <w:pPr>
        <w:jc w:val="both"/>
        <w:ind w:left="120" w:right="640"/>
        <w:spacing w:after="0" w:line="263" w:lineRule="auto"/>
        <w:rPr>
          <w:sz w:val="20"/>
          <w:szCs w:val="20"/>
          <w:color w:val="auto"/>
        </w:rPr>
      </w:pPr>
      <w:r>
        <w:rPr>
          <w:rFonts w:ascii="Arial" w:cs="Arial" w:eastAsia="Arial" w:hAnsi="Arial"/>
          <w:sz w:val="18"/>
          <w:szCs w:val="18"/>
          <w:color w:val="auto"/>
        </w:rPr>
        <w:t>Our directors, officers and shareholders are subject to certain disclosure and reporting obligations under Dutch and U.S. law. The following is a description of the general disclosure obligations of directors, officers, and shareholders under Dutch law as such laws exist as of the date of this prospectus, and should not be viewed as legal advice for specific circumstances.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DCGC</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Because we have our registered office in the Netherlands and our ordinary shares are listed on an equivalent third (non-EU) country market to a regulated market (Nasdaq), we are subject to the DCGC. The DCGC contains both principles and best practice provisions for our Management Board, our Supervisory Board (and after July 1, 2021, our Board), shareholders and our general meeting, financial reporting, auditors, disclosure compliance and enforcement standards.</w:t>
      </w:r>
    </w:p>
    <w:p>
      <w:pPr>
        <w:spacing w:after="0" w:line="187"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The DCGC is based on a “comply or explain” principle. Accordingly, we are required to disclose in its management report publicly filed in the Netherlands, whether or not it is complying with the various provisions of the DCGC. If we do not comply with one or more of those provisions (</w:t>
      </w:r>
      <w:r>
        <w:rPr>
          <w:rFonts w:ascii="Arial" w:cs="Arial" w:eastAsia="Arial" w:hAnsi="Arial"/>
          <w:sz w:val="17"/>
          <w:szCs w:val="17"/>
          <w:i w:val="1"/>
          <w:iCs w:val="1"/>
          <w:color w:val="auto"/>
        </w:rPr>
        <w:t>e.g.</w:t>
      </w:r>
      <w:r>
        <w:rPr>
          <w:rFonts w:ascii="Arial" w:cs="Arial" w:eastAsia="Arial" w:hAnsi="Arial"/>
          <w:sz w:val="17"/>
          <w:szCs w:val="17"/>
          <w:color w:val="auto"/>
        </w:rPr>
        <w:t>, because of a conflicting Nasdaq requirement or U.S. market practice), we are required to explain the reasons for such non-compliance.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Dutch Civil Code</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Dutch Civil Code provides for certain disclosure obligations in our annual accounts. Information on the remuneration and rights to acquire ordinary shares of our Managing Directors and our Supervisory Directors need to be disclosed in our annual accounts.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Warrant Agent</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Under our articles of association, our Management Board may resolve, with due observation of the statutory requirements, that the laws of the State of New York will apply to the property law aspects of the ordinary shares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included in the part of the register of shareholders kept by the relevant transfer agent. Our Board has adopted such resolution effective as of the Business Combination.</w:t>
      </w:r>
    </w:p>
    <w:p>
      <w:pPr>
        <w:spacing w:after="0" w:line="170"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Our ordinary shares are listed in registered form and, through our transfer agent, are not certificated. We appointed Continental Stock Transfer &amp; Trust Company as our agent in New York to maintain our shareholders’ register on behalf of our Management Board and to act as transfer agent and registrar for the ordinary shares. The ordinary shares will be traded on Nasdaq in book-entry form.</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warrant agent for warrants is Continental Stock Transfer &amp; Trust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Our Securities</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ordinary shares and warrants are listed on Nasdaq under the symbols IMTX and IMTXW, respectively. Holders of our ordinary shares and warrants should obtain current market quotations for their securities. There can be no assurance that our ordinary shares and/or warrants will remain listed on Nasdaq. If we fail to comply with the Nasdaq listing requirements, our ordinary shares and/or warrants could be delisted from Nasdaq. A delisting of our ordinary shares will likely affect the liquidity of our ordinary shares and could inhibit or restrict our ability to raise additional financing.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transfer agent is Continental Stock Transfer &amp; Trust Company, 1 State Street, 30</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10004-1561.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July 1, 2020 (the “Closing Date”), we closed the Business Combination, pursuant to which the following transactions occurred:</w:t>
      </w:r>
    </w:p>
    <w:p>
      <w:pPr>
        <w:spacing w:after="0" w:line="131" w:lineRule="exact"/>
        <w:rPr>
          <w:sz w:val="20"/>
          <w:szCs w:val="20"/>
          <w:color w:val="auto"/>
        </w:rPr>
      </w:pPr>
    </w:p>
    <w:p>
      <w:pPr>
        <w:ind w:left="1080" w:right="20" w:hanging="424"/>
        <w:spacing w:after="0" w:line="25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shareholders of Immatics OpCo exchanged their equity interests in Immatics OpCo for an aggregate of 33,791,269 ordinary shares (including (A) holders of vested Immatics OpCo stock appreciation rights that received cash proceeds in exchange for the cancellation of such stock appreciation rights and subsequently invested portions of such cash proceeds in our company in exchange for ordinary shares, and (B) holders of unvested Immatics OpCo stock appreciation rights that received options to purchase ordinary shares in exchange for the cancellation of such rights).</w:t>
      </w:r>
    </w:p>
    <w:p>
      <w:pPr>
        <w:spacing w:after="0" w:line="93"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ARYA Merger Sub 1, a Cayman Islands exempted company, merged with and into Arya Sciences Acquisition Corp. (“ARYA”) (the “First Merger”), with ARYA as the surviving company (the “First Surviving Company”), and, after giving effect to the First Merger, becoming our wholly-owned subsidiary.</w:t>
      </w:r>
    </w:p>
    <w:p>
      <w:pPr>
        <w:spacing w:after="0" w:line="89"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connection with the First Merger, each issued and outstanding ordinary share of ARYA was converted into one ordinary share of the First Surviving Company and, immediately thereafter, each of the resulting ordinary shares of the First Surviving Company was automatically exchanged for one ordinary share, for an aggregate of 17,968,750 ordinary shares.</w:t>
      </w:r>
    </w:p>
    <w:p>
      <w:pPr>
        <w:spacing w:after="0" w:line="89" w:lineRule="exact"/>
        <w:rPr>
          <w:rFonts w:ascii="Arial" w:cs="Arial" w:eastAsia="Arial" w:hAnsi="Arial"/>
          <w:sz w:val="18"/>
          <w:szCs w:val="18"/>
          <w:color w:val="auto"/>
        </w:rPr>
      </w:pPr>
    </w:p>
    <w:p>
      <w:pPr>
        <w:ind w:left="1080" w:hanging="424"/>
        <w:spacing w:after="0" w:line="296"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outstanding warrant to purchase a Class A ordinary share of ARYA was, by its terms, converted into a warrant to purchase one ordinary share, for an aggregate of 7,187,500 public warrants, other than the warrants held by ARYA Sciences Holdings, a Cayman Islands exempted company and an affiliate of ARYA (the “ARYA Sponsor”), which were forfeited. The public warrants entitle the holder to purchase one ordinary share at an exercise price of $11.50 per share and become exercisable 30 days after the Closing Date. The public warrants expire five years after the Closing Date or earlier upon redemption or liquidation in accordance with their terms.</w:t>
      </w:r>
    </w:p>
    <w:p>
      <w:pPr>
        <w:spacing w:after="0" w:line="66" w:lineRule="exact"/>
        <w:rPr>
          <w:rFonts w:ascii="Arial" w:cs="Arial" w:eastAsia="Arial" w:hAnsi="Arial"/>
          <w:sz w:val="16"/>
          <w:szCs w:val="16"/>
          <w:color w:val="auto"/>
        </w:rPr>
      </w:pPr>
    </w:p>
    <w:p>
      <w:pPr>
        <w:ind w:left="1080" w:right="280" w:hanging="424"/>
        <w:spacing w:after="0" w:line="263"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First Surviving Company merged with and into Immatics Merger Sub 2, a Cayman Islands exempted company (“IB Merger Sub”), with IB Merger Sub as the surviving company in the merger, and each issued and outstanding First Surviving Company share was automatically converted into one ordinary share of IB Merger Sub.</w:t>
      </w:r>
    </w:p>
    <w:p>
      <w:pPr>
        <w:spacing w:after="0" w:line="184"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Business Combination Agreement contained customary representations and warranties and pre- and post-closing covenants of each party and customary closing conditions.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PIPE Financing</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On March 17, 2020, concurrently with the execution of the Business Combination Agreement, Immatics OpCo and ARYA entered into Subscription Agreements with certain investors (the “PIPE Investors”), pursuant to which the PIPE Investors agreed to subscribe for and purchase, and the Company agreed to issue and sell to such PIPE Investors, an aggregate of 10,415,000 ordinary shares at a price of $10.00 per share, for gross proceeds of approximately $104.2 million on the Closing Date, $25.0 million of which was funded by an affiliate of the ARYA Sponsor. The PIPE Financing closed concurrently with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connection with the Business Combination and the PIPE Financing, we granted certain registration rights to certain securityholders under the Investor Rights Agreement entered into as of the closing of the Business Combination. Pursuant to the Investor Rights Agreement, we agreed to promptly, but no later than 45 calendar days from the Closing Date, file, subject to customary exceptions, a Registration Statement covering all ordinary shares issued in connection with the First Merger, the Exchange and the PIPE Financing. The Investor Rights Agreement also provides the parties with demand and “piggy-back” registration rights, subject to certain minimum requirements and customary conditions.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articles of association provide for certain indemnification rights for our directors and executive officers, and we entered into an indemnification agreement with each of our executive officers and directors providing for procedures for indemnification and advancements by us of certain expenses and costs relating to claims, suits or proceedings arising from his or her service to us or, at our request, service to other entities, as officers or directors to the maximum extent permitted by Dutch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21"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We adopted a code of business conduct and ethics that prohibits directors and executive officers from engaging in transactions that may result in a conflict of interest with us. The code of business conduct and ethics includes a policy requiring that our Board review any transaction a director or executive officer proposes to have with us that could give rise to a conflict of interest or the appearance of a conflict of interest, including any transaction that would require disclosure under Item 404(a) of Regulation S-K. In conducting this review, our Supervisory Board (and later, our Board) will be obligated to ensure that all such transactions are approved by a majority of such Board (including a majority of independent directors) not otherwise interested in the transaction and are fair and reasonable to the company and on terms not less favorable to us than those available from unaffiliated third parties.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SECURITYHOLDERS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relating to the beneficial ownership of our ordinary shares as of July 31, 2020 by:</w:t>
      </w:r>
    </w:p>
    <w:p>
      <w:pPr>
        <w:spacing w:after="0" w:line="131" w:lineRule="exact"/>
        <w:rPr>
          <w:sz w:val="20"/>
          <w:szCs w:val="20"/>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w:t>
      </w:r>
    </w:p>
    <w:p>
      <w:pPr>
        <w:spacing w:after="0" w:line="18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percentage of ordinary shares beneficially owned is computed on the basis of 62,908,617 ordinary shares outstanding on July 31, 2020, and does not include 7,187,500 ordinary shares issuable upon the exercise of our public warrants.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8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8"/>
              </w:rPr>
              <w:t>Number</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7800" w:type="dxa"/>
            <w:vAlign w:val="bottom"/>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18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of</w:t>
            </w: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7800" w:type="dxa"/>
            <w:vAlign w:val="bottom"/>
            <w:vMerge w:val="continue"/>
          </w:tcPr>
          <w:p>
            <w:pPr>
              <w:spacing w:after="0"/>
              <w:rPr>
                <w:sz w:val="14"/>
                <w:szCs w:val="14"/>
                <w:color w:val="auto"/>
              </w:rPr>
            </w:pPr>
          </w:p>
        </w:tc>
        <w:tc>
          <w:tcPr>
            <w:tcW w:w="18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1"/>
              </w:rPr>
              <w:t>ordinary shares</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All ordinary shares</w:t>
            </w:r>
          </w:p>
        </w:tc>
        <w:tc>
          <w:tcPr>
            <w:tcW w:w="0" w:type="dxa"/>
            <w:vAlign w:val="bottom"/>
          </w:tcPr>
          <w:p>
            <w:pPr>
              <w:spacing w:after="0"/>
              <w:rPr>
                <w:sz w:val="1"/>
                <w:szCs w:val="1"/>
                <w:color w:val="auto"/>
              </w:rPr>
            </w:pPr>
          </w:p>
        </w:tc>
      </w:tr>
      <w:tr>
        <w:trPr>
          <w:trHeight w:val="196"/>
        </w:trPr>
        <w:tc>
          <w:tcPr>
            <w:tcW w:w="7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Executive Officers, Directors and Director Nominees</w:t>
            </w:r>
          </w:p>
        </w:tc>
        <w:tc>
          <w:tcPr>
            <w:tcW w:w="9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Harpreet Singh, Ph. D.</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267,241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Thomas Ulmer</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19,351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Carsten Reinhardt, M.D., Ph.D.</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107,781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Toni Weinschenk, Ph.D.</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71,598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Rainer Kramer, Ph.D.</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60,338</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Steffen Walter, Ph.D.</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38,302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Cedrik Britten, M.D.</w:t>
            </w:r>
          </w:p>
        </w:tc>
        <w:tc>
          <w:tcPr>
            <w:tcW w:w="18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Peter Chambré</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105,987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Michael G. Atieh</w:t>
            </w:r>
          </w:p>
        </w:tc>
        <w:tc>
          <w:tcPr>
            <w:tcW w:w="18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Paul R. Carter</w:t>
            </w:r>
          </w:p>
        </w:tc>
        <w:tc>
          <w:tcPr>
            <w:tcW w:w="1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Christof Hettich</w:t>
            </w:r>
          </w:p>
        </w:tc>
        <w:tc>
          <w:tcPr>
            <w:tcW w:w="18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Heather L. Mason</w:t>
            </w:r>
          </w:p>
        </w:tc>
        <w:tc>
          <w:tcPr>
            <w:tcW w:w="1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Adam Stone</w:t>
            </w:r>
            <w:r>
              <w:rPr>
                <w:rFonts w:ascii="Arial" w:cs="Arial" w:eastAsia="Arial" w:hAnsi="Arial"/>
                <w:sz w:val="15"/>
                <w:szCs w:val="15"/>
                <w:color w:val="auto"/>
              </w:rPr>
              <w:t>(1)</w:t>
            </w:r>
          </w:p>
        </w:tc>
        <w:tc>
          <w:tcPr>
            <w:tcW w:w="18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executive officers and directors as a group (13 persons)</w:t>
            </w:r>
          </w:p>
        </w:tc>
        <w:tc>
          <w:tcPr>
            <w:tcW w:w="1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b w:val="1"/>
                <w:bCs w:val="1"/>
                <w:i w:val="1"/>
                <w:iCs w:val="1"/>
                <w:color w:val="auto"/>
              </w:rPr>
              <w:t>Other 5% shareholders</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ARYA Sciences Holdings</w:t>
            </w:r>
            <w:r>
              <w:rPr>
                <w:rFonts w:ascii="Arial" w:cs="Arial" w:eastAsia="Arial" w:hAnsi="Arial"/>
                <w:sz w:val="15"/>
                <w:szCs w:val="15"/>
                <w:color w:val="auto"/>
              </w:rPr>
              <w:t>(2)</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6,093,750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dievini Hopp BioTech holding GmbH &amp; Co. KG</w:t>
            </w:r>
            <w:r>
              <w:rPr>
                <w:rFonts w:ascii="Arial" w:cs="Arial" w:eastAsia="Arial" w:hAnsi="Arial"/>
                <w:sz w:val="15"/>
                <w:szCs w:val="15"/>
                <w:color w:val="auto"/>
              </w:rPr>
              <w:t>(3)</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16,476,073</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lmpf GmbH</w:t>
            </w:r>
            <w:r>
              <w:rPr>
                <w:rFonts w:ascii="Arial" w:cs="Arial" w:eastAsia="Arial" w:hAnsi="Arial"/>
                <w:sz w:val="15"/>
                <w:szCs w:val="15"/>
                <w:color w:val="auto"/>
              </w:rPr>
              <w:t>(4)</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4,911,778</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Wellington Partners</w:t>
            </w:r>
            <w:r>
              <w:rPr>
                <w:rFonts w:ascii="Arial" w:cs="Arial" w:eastAsia="Arial" w:hAnsi="Arial"/>
                <w:sz w:val="15"/>
                <w:szCs w:val="15"/>
                <w:color w:val="auto"/>
              </w:rPr>
              <w:t>(5)</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4,721,590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total outstanding ordinary shares.</w:t>
      </w:r>
    </w:p>
    <w:p>
      <w:pPr>
        <w:spacing w:after="0" w:line="22"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5"/>
          <w:szCs w:val="15"/>
          <w:color w:val="auto"/>
        </w:rPr>
      </w:pPr>
      <w:r>
        <w:rPr>
          <w:rFonts w:ascii="Arial" w:cs="Arial" w:eastAsia="Arial" w:hAnsi="Arial"/>
          <w:sz w:val="18"/>
          <w:szCs w:val="18"/>
          <w:color w:val="auto"/>
        </w:rPr>
        <w:t>Does not include any ordinary shares indirectly owned by Adam Stone as a result of his membership interest in ARYA Sponsor.</w:t>
      </w:r>
    </w:p>
    <w:p>
      <w:pPr>
        <w:spacing w:after="0" w:line="10" w:lineRule="exact"/>
        <w:rPr>
          <w:rFonts w:ascii="Arial" w:cs="Arial" w:eastAsia="Arial" w:hAnsi="Arial"/>
          <w:sz w:val="15"/>
          <w:szCs w:val="15"/>
          <w:color w:val="auto"/>
        </w:rPr>
      </w:pPr>
    </w:p>
    <w:p>
      <w:pPr>
        <w:ind w:left="540" w:right="200" w:hanging="424"/>
        <w:spacing w:after="0" w:line="250" w:lineRule="auto"/>
        <w:tabs>
          <w:tab w:leader="none" w:pos="540" w:val="left"/>
        </w:tabs>
        <w:numPr>
          <w:ilvl w:val="0"/>
          <w:numId w:val="112"/>
        </w:numPr>
        <w:rPr>
          <w:rFonts w:ascii="Arial" w:cs="Arial" w:eastAsia="Arial" w:hAnsi="Arial"/>
          <w:sz w:val="15"/>
          <w:szCs w:val="15"/>
          <w:color w:val="auto"/>
        </w:rPr>
      </w:pPr>
      <w:r>
        <w:rPr>
          <w:rFonts w:ascii="Arial" w:cs="Arial" w:eastAsia="Arial" w:hAnsi="Arial"/>
          <w:sz w:val="18"/>
          <w:szCs w:val="18"/>
          <w:color w:val="auto"/>
        </w:rPr>
        <w:t>ARYA Sciences Holdings is governed by a three member board of directors. Each director has one vote, and the approval of a majority of the directors is required to approve an action. Under the so-called “rule of three”, if voting and dispositive decisions regarding an entity’s securities are made by two or more individuals, and a voting and dispositive decision requires the approval of a majority of those individuals, then none of the individuals is deemed a beneficial owner of the entity’s securities. The business address of ARYA Sciences Holdings is c/o Perceptive Advisors, 51 Astor Place, 10th Floor, New York, New York 10003.</w:t>
      </w:r>
    </w:p>
    <w:p>
      <w:pPr>
        <w:spacing w:after="0" w:line="1" w:lineRule="exact"/>
        <w:rPr>
          <w:rFonts w:ascii="Arial" w:cs="Arial" w:eastAsia="Arial" w:hAnsi="Arial"/>
          <w:sz w:val="15"/>
          <w:szCs w:val="15"/>
          <w:color w:val="auto"/>
        </w:rPr>
      </w:pPr>
    </w:p>
    <w:p>
      <w:pPr>
        <w:ind w:left="540" w:right="40" w:hanging="424"/>
        <w:spacing w:after="0" w:line="265"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7"/>
          <w:szCs w:val="17"/>
          <w:color w:val="auto"/>
        </w:rPr>
        <w:t>Dr. Friedrich von Bohlen und Halbach, Dr. Christof Hettich and Dr. Mathias Hotum are managing directors of dievini Hopp BioTech holding GmbH &amp; Co. KG and have sole representation over such securities, and Dietmar Hopp, also a managing director of dievini Hopp BioTech holding GmbH &amp; Co. KG, has joint power of representation over such securities. The business address of Hopp BioTech holding GmbH &amp; Co. KG is dievini Hopp BioTech holding GmbH &amp; Co. KG, Johann-Jakob-Astor-Strasse 57, 69190 Walldorf, Federal Republic of Germany.</w:t>
      </w:r>
    </w:p>
    <w:p>
      <w:pPr>
        <w:ind w:left="540" w:right="100" w:hanging="424"/>
        <w:spacing w:after="0" w:line="250" w:lineRule="auto"/>
        <w:tabs>
          <w:tab w:leader="none" w:pos="540" w:val="left"/>
        </w:tabs>
        <w:numPr>
          <w:ilvl w:val="0"/>
          <w:numId w:val="112"/>
        </w:numPr>
        <w:rPr>
          <w:rFonts w:ascii="Arial" w:cs="Arial" w:eastAsia="Arial" w:hAnsi="Arial"/>
          <w:sz w:val="15"/>
          <w:szCs w:val="15"/>
          <w:color w:val="auto"/>
        </w:rPr>
      </w:pPr>
      <w:r>
        <w:rPr>
          <w:rFonts w:ascii="Arial" w:cs="Arial" w:eastAsia="Arial" w:hAnsi="Arial"/>
          <w:sz w:val="18"/>
          <w:szCs w:val="18"/>
          <w:color w:val="auto"/>
        </w:rPr>
        <w:t>Helmut Jeggle is a managing director of AT Impf GmbH and has sole power of representation over such securities, Thomas Maier is a managing director of AT Impf GmbH and has joint power of representation over such securities, and Melissa Simon and Sebastian Beyer are procurists of AT Impf GmbH and have joint power of representation over such securities. The business address of AT Impf GmbH is c/o Athos Service GmbH, Rosenheimer Platz 6, 81669 Munich, Federal Republic of Germany.</w:t>
      </w:r>
    </w:p>
    <w:p>
      <w:pPr>
        <w:spacing w:after="0" w:line="1" w:lineRule="exact"/>
        <w:rPr>
          <w:rFonts w:ascii="Arial" w:cs="Arial" w:eastAsia="Arial" w:hAnsi="Arial"/>
          <w:sz w:val="15"/>
          <w:szCs w:val="15"/>
          <w:color w:val="auto"/>
        </w:rPr>
      </w:pPr>
    </w:p>
    <w:p>
      <w:pPr>
        <w:ind w:left="540" w:right="400" w:hanging="424"/>
        <w:spacing w:after="0" w:line="302" w:lineRule="auto"/>
        <w:tabs>
          <w:tab w:leader="none" w:pos="540" w:val="left"/>
        </w:tabs>
        <w:numPr>
          <w:ilvl w:val="0"/>
          <w:numId w:val="112"/>
        </w:numPr>
        <w:rPr>
          <w:rFonts w:ascii="Arial" w:cs="Arial" w:eastAsia="Arial" w:hAnsi="Arial"/>
          <w:sz w:val="13"/>
          <w:szCs w:val="13"/>
          <w:color w:val="auto"/>
        </w:rPr>
      </w:pPr>
      <w:r>
        <w:rPr>
          <w:rFonts w:ascii="Arial" w:cs="Arial" w:eastAsia="Arial" w:hAnsi="Arial"/>
          <w:sz w:val="16"/>
          <w:szCs w:val="16"/>
          <w:color w:val="auto"/>
        </w:rPr>
        <w:t>Consists of 2,740,987 ordinary shares held by Wellington Partners Ventures II GmbH &amp; Co. KG (A), 1,184,440 ordinary shares held by Wellington Partners Nominee Ltd. and 796,163 ordinary shares held by Wellington Partners Ventures IV Life Science Fund L.P. The business address for Wellington Partners Ventures II GmbH &amp; Co. KG (A) is Tuerkenstrasse 5, 80333 Munich, Federal Republic of Germany.</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93" w:lineRule="auto"/>
        <w:rPr>
          <w:sz w:val="20"/>
          <w:szCs w:val="20"/>
          <w:color w:val="auto"/>
        </w:rPr>
      </w:pPr>
      <w:r>
        <w:rPr>
          <w:rFonts w:ascii="Arial" w:cs="Arial" w:eastAsia="Arial" w:hAnsi="Arial"/>
          <w:sz w:val="16"/>
          <w:szCs w:val="16"/>
          <w:color w:val="auto"/>
        </w:rPr>
        <w:t>Cornelia Huber and Rolf Christof Dienst are managing directors of Wellington Partners Verwaltungs GmbH, the liquidator of Wellington Partners Ventures II GmbH &amp; Co. KG (A), and have ultimate voting authority with respect to the shares held by Wellington Partners Ventures II GmbH &amp; Co. KG (A). The business address for each of Wellington Partners Ventures IV Life Sciences Fund L.P. and Wellington Partners Nominee Ltd. is 11-15 Seaton Place St Helier Jersey JE4 0QH, Channel Island. Matthew Hague and Patrycja Bocianowska are representatives of Wellington Partners Management Limited, the general partner of Wellington Partners Ventures IV Life Science Fund L.P., and have sole power of representation over the securities held by each of Wellington Partners Ventures IV Life Sciences Fund L.P. and Wellington Partners Nominee Ltd.</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40"/>
          </w:cols>
          <w:pgMar w:left="320" w:top="459" w:right="5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relates to the possible offer and sale from time to time of up to 39,332,281 ordinary shares by the selling securityholders.</w:t>
      </w:r>
    </w:p>
    <w:p>
      <w:pPr>
        <w:spacing w:after="0" w:line="225"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selling securityholders may from time to time offer and sell any or all of the ordinary shares set forth below pursuant to this prospectus. When we refer to the “selling securityholders” in this prospectus, we mean the persons listed in the tables below, and the pledgees, donees, transferees, assignees, successors and others who later come to hold any of the selling securityholders’ interest in our securities after the date of this prospectus.</w:t>
      </w:r>
    </w:p>
    <w:p>
      <w:pPr>
        <w:spacing w:after="0" w:line="14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table below sets forth, as of the date of this prospectus, the name of the selling securityholders for which we are registering ordinary shares for resale to the public and the aggregate principal amount that the selling securityholders may offer pursuant to this prospectus.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18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ordinary shares held by certain of the selling securityholders are subject to transfer restrictions, as described in the section titled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 Transfer Restrictions</w:t>
      </w:r>
      <w:r>
        <w:rPr>
          <w:rFonts w:ascii="Arial" w:cs="Arial" w:eastAsia="Arial" w:hAnsi="Arial"/>
          <w:sz w:val="18"/>
          <w:szCs w:val="18"/>
          <w:color w:val="auto"/>
        </w:rPr>
        <w:t>”.</w:t>
      </w:r>
    </w:p>
    <w:p>
      <w:pPr>
        <w:spacing w:after="0" w:line="17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securities. In addition, the selling securityholders may sell, transfer or otherwise dispose of, at any time and from time to time, the ordinary shares in transactions exempt from the registration requirements of the Securities Act after the date of this prospectus, subject to applicable law.</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ordinary shares registered on its behalf. A selling securityholder may sell all, some or none of such securities in this offering. See the section titled “</w:t>
      </w:r>
      <w:r>
        <w:rPr>
          <w:rFonts w:ascii="Arial" w:cs="Arial" w:eastAsia="Arial" w:hAnsi="Arial"/>
          <w:sz w:val="18"/>
          <w:szCs w:val="18"/>
          <w:i w:val="1"/>
          <w:iCs w:val="1"/>
          <w:color w:val="auto"/>
        </w:rPr>
        <w:t>Plan of</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w:t>
      </w:r>
      <w:r>
        <w:rPr>
          <w:rFonts w:ascii="Arial" w:cs="Arial" w:eastAsia="Arial" w:hAnsi="Arial"/>
          <w:sz w:val="18"/>
          <w:szCs w:val="18"/>
          <w:color w:val="auto"/>
        </w:rPr>
        <w: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shares owned by the persons named below do not have voting rights different from the shares owned by other holders. Unless otherwise indicated, the business address of each beneficial owner listed in the tables below is c/o Immatics N.V., Paul-Ehrlich-Straße 15, 72076 Tübingen, Federal Republic of Germany.</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Shares</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Owned</w:t>
            </w: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Shares</w:t>
            </w:r>
          </w:p>
        </w:tc>
        <w:tc>
          <w:tcPr>
            <w:tcW w:w="154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Owned After</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Before the</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Being</w:t>
            </w:r>
          </w:p>
        </w:tc>
        <w:tc>
          <w:tcPr>
            <w:tcW w:w="154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the Offering</w:t>
            </w:r>
          </w:p>
        </w:tc>
        <w:tc>
          <w:tcPr>
            <w:tcW w:w="0" w:type="dxa"/>
            <w:vAlign w:val="bottom"/>
          </w:tcPr>
          <w:p>
            <w:pPr>
              <w:spacing w:after="0"/>
              <w:rPr>
                <w:sz w:val="1"/>
                <w:szCs w:val="1"/>
                <w:color w:val="auto"/>
              </w:rPr>
            </w:pPr>
          </w:p>
        </w:tc>
      </w:tr>
      <w:tr>
        <w:trPr>
          <w:trHeight w:val="126"/>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Selling Shareholder</w:t>
            </w:r>
          </w:p>
        </w:tc>
        <w:tc>
          <w:tcPr>
            <w:tcW w:w="5220" w:type="dxa"/>
            <w:vAlign w:val="bottom"/>
            <w:vMerge w:val="restart"/>
          </w:tcPr>
          <w:p>
            <w:pPr>
              <w:spacing w:after="0"/>
              <w:rPr>
                <w:sz w:val="10"/>
                <w:szCs w:val="10"/>
                <w:color w:val="auto"/>
              </w:rPr>
            </w:pPr>
          </w:p>
        </w:tc>
        <w:tc>
          <w:tcPr>
            <w:tcW w:w="1260" w:type="dxa"/>
            <w:vAlign w:val="bottom"/>
            <w:gridSpan w:val="2"/>
          </w:tcPr>
          <w:p>
            <w:pPr>
              <w:jc w:val="center"/>
              <w:ind w:right="380"/>
              <w:spacing w:after="0" w:line="126" w:lineRule="exact"/>
              <w:rPr>
                <w:sz w:val="20"/>
                <w:szCs w:val="20"/>
                <w:color w:val="auto"/>
              </w:rPr>
            </w:pPr>
            <w:r>
              <w:rPr>
                <w:rFonts w:ascii="Arial" w:cs="Arial" w:eastAsia="Arial" w:hAnsi="Arial"/>
                <w:sz w:val="14"/>
                <w:szCs w:val="14"/>
                <w:b w:val="1"/>
                <w:bCs w:val="1"/>
                <w:color w:val="auto"/>
                <w:w w:val="95"/>
              </w:rPr>
              <w:t>Offering</w:t>
            </w:r>
          </w:p>
        </w:tc>
        <w:tc>
          <w:tcPr>
            <w:tcW w:w="1240" w:type="dxa"/>
            <w:vAlign w:val="bottom"/>
            <w:gridSpan w:val="2"/>
          </w:tcPr>
          <w:p>
            <w:pPr>
              <w:jc w:val="center"/>
              <w:ind w:right="400"/>
              <w:spacing w:after="0" w:line="126" w:lineRule="exact"/>
              <w:rPr>
                <w:sz w:val="20"/>
                <w:szCs w:val="20"/>
                <w:color w:val="auto"/>
              </w:rPr>
            </w:pPr>
            <w:r>
              <w:rPr>
                <w:rFonts w:ascii="Arial" w:cs="Arial" w:eastAsia="Arial" w:hAnsi="Arial"/>
                <w:sz w:val="14"/>
                <w:szCs w:val="14"/>
                <w:b w:val="1"/>
                <w:bCs w:val="1"/>
                <w:color w:val="auto"/>
                <w:w w:val="96"/>
              </w:rPr>
              <w:t>Offered</w:t>
            </w: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(1)(2)</w:t>
            </w:r>
          </w:p>
        </w:tc>
        <w:tc>
          <w:tcPr>
            <w:tcW w:w="380" w:type="dxa"/>
            <w:vAlign w:val="bottom"/>
          </w:tcPr>
          <w:p>
            <w:pPr>
              <w:spacing w:after="0"/>
              <w:rPr>
                <w:sz w:val="10"/>
                <w:szCs w:val="10"/>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522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Harpreet Singh</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267,241</w:t>
            </w: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267,241</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Peter Chambre</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105,987</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105,987</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Carsten Reinhardt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107,781</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107,781</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Toni Weinschenk</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71,598</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71,598</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Eck</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13,705</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13,705</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Rainer Kramer</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60,338</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60,338</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Ulmer</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19,351</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19,351</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Steffen Walter</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38,302</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38,302</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dievini Hopp BioTech holding GmbH &amp; Co. KG</w:t>
            </w:r>
            <w:r>
              <w:rPr>
                <w:rFonts w:ascii="Arial" w:cs="Arial" w:eastAsia="Arial" w:hAnsi="Arial"/>
                <w:sz w:val="15"/>
                <w:szCs w:val="15"/>
                <w:color w:val="auto"/>
              </w:rPr>
              <w:t>(3)</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16,476,073</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16,476,073</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AT Impf GmbH</w:t>
            </w:r>
            <w:r>
              <w:rPr>
                <w:rFonts w:ascii="Arial" w:cs="Arial" w:eastAsia="Arial" w:hAnsi="Arial"/>
                <w:sz w:val="15"/>
                <w:szCs w:val="15"/>
                <w:color w:val="auto"/>
              </w:rPr>
              <w:t>(4)</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4,911,778</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4,911,778</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MIG GmbH &amp; Co Fonds 11 KG</w:t>
            </w:r>
            <w:r>
              <w:rPr>
                <w:rFonts w:ascii="Arial" w:cs="Arial" w:eastAsia="Arial" w:hAnsi="Arial"/>
                <w:sz w:val="15"/>
                <w:szCs w:val="15"/>
                <w:color w:val="auto"/>
              </w:rPr>
              <w:t>(5)</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1,823,113</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1,823,113</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MIG GmbH &amp; Co Fonds 13 geschlossene Investment-KG</w:t>
            </w:r>
            <w:r>
              <w:rPr>
                <w:rFonts w:ascii="Arial" w:cs="Arial" w:eastAsia="Arial" w:hAnsi="Arial"/>
                <w:sz w:val="15"/>
                <w:szCs w:val="15"/>
                <w:color w:val="auto"/>
              </w:rPr>
              <w:t>(5)</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206,674</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206,674</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Partners Ventures II GmbH &amp; Co. KG</w:t>
            </w:r>
            <w:r>
              <w:rPr>
                <w:rFonts w:ascii="Arial" w:cs="Arial" w:eastAsia="Arial" w:hAnsi="Arial"/>
                <w:sz w:val="15"/>
                <w:szCs w:val="15"/>
                <w:color w:val="auto"/>
              </w:rPr>
              <w:t>(6)</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2,740,987</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2,740,987</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Wellington Partners Nominee Ltd.</w:t>
            </w:r>
            <w:r>
              <w:rPr>
                <w:rFonts w:ascii="Arial" w:cs="Arial" w:eastAsia="Arial" w:hAnsi="Arial"/>
                <w:sz w:val="15"/>
                <w:szCs w:val="15"/>
                <w:color w:val="auto"/>
              </w:rPr>
              <w:t>(7)</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1,184,440</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1,184,440</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Partners Ventures IV Life Science Fund L.P.</w:t>
            </w:r>
            <w:r>
              <w:rPr>
                <w:rFonts w:ascii="Arial" w:cs="Arial" w:eastAsia="Arial" w:hAnsi="Arial"/>
                <w:sz w:val="15"/>
                <w:szCs w:val="15"/>
                <w:color w:val="auto"/>
              </w:rPr>
              <w:t>(7)</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796,163</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796,163</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ARYA Sciences Holdings</w:t>
            </w:r>
            <w:r>
              <w:rPr>
                <w:rFonts w:ascii="Arial" w:cs="Arial" w:eastAsia="Arial" w:hAnsi="Arial"/>
                <w:sz w:val="15"/>
                <w:szCs w:val="15"/>
                <w:color w:val="auto"/>
              </w:rPr>
              <w:t>(8)</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3,503,750</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3,503,750</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Conroy</w:t>
            </w:r>
            <w:r>
              <w:rPr>
                <w:rFonts w:ascii="Arial" w:cs="Arial" w:eastAsia="Arial" w:hAnsi="Arial"/>
                <w:sz w:val="15"/>
                <w:szCs w:val="15"/>
                <w:color w:val="auto"/>
              </w:rPr>
              <w:t>(8)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30,000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30,000</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Todd Wider</w:t>
            </w:r>
            <w:r>
              <w:rPr>
                <w:rFonts w:ascii="Arial" w:cs="Arial" w:eastAsia="Arial" w:hAnsi="Arial"/>
                <w:sz w:val="15"/>
                <w:szCs w:val="15"/>
                <w:color w:val="auto"/>
              </w:rPr>
              <w:t>(8)</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30,000</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30,000</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Hung</w:t>
            </w:r>
            <w:r>
              <w:rPr>
                <w:rFonts w:ascii="Arial" w:cs="Arial" w:eastAsia="Arial" w:hAnsi="Arial"/>
                <w:sz w:val="15"/>
                <w:szCs w:val="15"/>
                <w:color w:val="auto"/>
              </w:rPr>
              <w:t>(8)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30,000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30,000</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Alyeska Master Fund, LP</w:t>
            </w:r>
            <w:r>
              <w:rPr>
                <w:rFonts w:ascii="Arial" w:cs="Arial" w:eastAsia="Arial" w:hAnsi="Arial"/>
                <w:sz w:val="15"/>
                <w:szCs w:val="15"/>
                <w:color w:val="auto"/>
              </w:rPr>
              <w:t>(9)</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496,032</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496,032</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Alyeska Master Fund 3, LP</w:t>
            </w:r>
            <w:r>
              <w:rPr>
                <w:rFonts w:ascii="Arial" w:cs="Arial" w:eastAsia="Arial" w:hAnsi="Arial"/>
                <w:sz w:val="15"/>
                <w:szCs w:val="15"/>
                <w:color w:val="auto"/>
              </w:rPr>
              <w:t>(10)</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3,968</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3,968</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Baker Brothers Life Sciences, L.P.</w:t>
            </w:r>
            <w:r>
              <w:rPr>
                <w:rFonts w:ascii="Arial" w:cs="Arial" w:eastAsia="Arial" w:hAnsi="Arial"/>
                <w:sz w:val="15"/>
                <w:szCs w:val="15"/>
                <w:color w:val="auto"/>
              </w:rPr>
              <w:t>(11)</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137,573</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137,573</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667, L.P. </w:t>
            </w:r>
            <w:r>
              <w:rPr>
                <w:rFonts w:ascii="Arial" w:cs="Arial" w:eastAsia="Arial" w:hAnsi="Arial"/>
                <w:sz w:val="15"/>
                <w:szCs w:val="15"/>
                <w:color w:val="auto"/>
              </w:rPr>
              <w:t>(11)</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12,427</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12,427</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Dellora Investments LP</w:t>
            </w:r>
            <w:r>
              <w:rPr>
                <w:rFonts w:ascii="Arial" w:cs="Arial" w:eastAsia="Arial" w:hAnsi="Arial"/>
                <w:sz w:val="15"/>
                <w:szCs w:val="15"/>
                <w:color w:val="auto"/>
              </w:rPr>
              <w:t>(12)</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15,000</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Federated Hermes Kaufmann Fund</w:t>
            </w:r>
            <w:r>
              <w:rPr>
                <w:rFonts w:ascii="Arial" w:cs="Arial" w:eastAsia="Arial" w:hAnsi="Arial"/>
                <w:sz w:val="15"/>
                <w:szCs w:val="15"/>
                <w:color w:val="auto"/>
              </w:rPr>
              <w:t>(13)</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400,000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400,000</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Federated Hermes Kaufmann Fund II</w:t>
            </w:r>
            <w:r>
              <w:rPr>
                <w:rFonts w:ascii="Arial" w:cs="Arial" w:eastAsia="Arial" w:hAnsi="Arial"/>
                <w:sz w:val="15"/>
                <w:szCs w:val="15"/>
                <w:color w:val="auto"/>
              </w:rPr>
              <w:t>(13)</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Federated Hermes Kaufmann Small Cap Fund</w:t>
            </w:r>
            <w:r>
              <w:rPr>
                <w:rFonts w:ascii="Arial" w:cs="Arial" w:eastAsia="Arial" w:hAnsi="Arial"/>
                <w:sz w:val="15"/>
                <w:szCs w:val="15"/>
                <w:color w:val="auto"/>
              </w:rPr>
              <w:t>(13)</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290,000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290,000</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15"/>
                <w:szCs w:val="15"/>
                <w:color w:val="auto"/>
              </w:rPr>
              <w:t>(14)</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2,500,000</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2,500,000</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Redmile Capital Offshore II Master Fund, Ltd.</w:t>
            </w:r>
            <w:r>
              <w:rPr>
                <w:rFonts w:ascii="Arial" w:cs="Arial" w:eastAsia="Arial" w:hAnsi="Arial"/>
                <w:sz w:val="15"/>
                <w:szCs w:val="15"/>
                <w:color w:val="auto"/>
              </w:rPr>
              <w:t>(15)</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894,500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894,500</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Redmile Strategic Master Fund, LP</w:t>
            </w:r>
            <w:r>
              <w:rPr>
                <w:rFonts w:ascii="Arial" w:cs="Arial" w:eastAsia="Arial" w:hAnsi="Arial"/>
                <w:sz w:val="15"/>
                <w:szCs w:val="15"/>
                <w:color w:val="auto"/>
              </w:rPr>
              <w:t>(15)</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1,105,500</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1,105,500</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RTW Innovation Master Fund, Ltd.</w:t>
            </w:r>
            <w:r>
              <w:rPr>
                <w:rFonts w:ascii="Arial" w:cs="Arial" w:eastAsia="Arial" w:hAnsi="Arial"/>
                <w:sz w:val="15"/>
                <w:szCs w:val="15"/>
                <w:color w:val="auto"/>
              </w:rPr>
              <w:t>(16)</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85,435</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85,435</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RTW Master Fund, Ltd.</w:t>
            </w:r>
            <w:r>
              <w:rPr>
                <w:rFonts w:ascii="Arial" w:cs="Arial" w:eastAsia="Arial" w:hAnsi="Arial"/>
                <w:sz w:val="15"/>
                <w:szCs w:val="15"/>
                <w:color w:val="auto"/>
              </w:rPr>
              <w:t>(16)</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240,415</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240,415</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RTW Venture Fund Limited</w:t>
            </w:r>
            <w:r>
              <w:rPr>
                <w:rFonts w:ascii="Arial" w:cs="Arial" w:eastAsia="Arial" w:hAnsi="Arial"/>
                <w:sz w:val="15"/>
                <w:szCs w:val="15"/>
                <w:color w:val="auto"/>
              </w:rPr>
              <w:t>(16)</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24,150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24,150</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Schonfeld Strategic 460 Fund LLC</w:t>
            </w:r>
            <w:r>
              <w:rPr>
                <w:rFonts w:ascii="Arial" w:cs="Arial" w:eastAsia="Arial" w:hAnsi="Arial"/>
                <w:sz w:val="15"/>
                <w:szCs w:val="15"/>
                <w:color w:val="auto"/>
              </w:rPr>
              <w:t>(17)</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100,000</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100,000</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Sphera Biotech Master Fund L.P</w:t>
            </w:r>
            <w:r>
              <w:rPr>
                <w:rFonts w:ascii="Arial" w:cs="Arial" w:eastAsia="Arial" w:hAnsi="Arial"/>
                <w:sz w:val="15"/>
                <w:szCs w:val="15"/>
                <w:color w:val="auto"/>
              </w:rPr>
              <w:t>(18)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150,000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150,000</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Sphera Global Healthcare Master Fund</w:t>
            </w:r>
            <w:r>
              <w:rPr>
                <w:rFonts w:ascii="Arial" w:cs="Arial" w:eastAsia="Arial" w:hAnsi="Arial"/>
                <w:sz w:val="15"/>
                <w:szCs w:val="15"/>
                <w:color w:val="auto"/>
              </w:rPr>
              <w:t>(18)</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450,000</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450,000</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 w:lineRule="exact"/>
        <w:rPr>
          <w:sz w:val="20"/>
          <w:szCs w:val="20"/>
          <w:color w:val="auto"/>
        </w:rPr>
      </w:pPr>
    </w:p>
    <w:p>
      <w:pPr>
        <w:ind w:left="540" w:right="240" w:hanging="424"/>
        <w:spacing w:after="0" w:line="251" w:lineRule="auto"/>
        <w:tabs>
          <w:tab w:leader="none" w:pos="540" w:val="left"/>
        </w:tabs>
        <w:numPr>
          <w:ilvl w:val="0"/>
          <w:numId w:val="114"/>
        </w:numPr>
        <w:rPr>
          <w:rFonts w:ascii="Arial" w:cs="Arial" w:eastAsia="Arial" w:hAnsi="Arial"/>
          <w:sz w:val="15"/>
          <w:szCs w:val="15"/>
          <w:color w:val="auto"/>
        </w:rPr>
      </w:pPr>
      <w:r>
        <w:rPr>
          <w:rFonts w:ascii="Arial" w:cs="Arial" w:eastAsia="Arial" w:hAnsi="Arial"/>
          <w:sz w:val="18"/>
          <w:szCs w:val="18"/>
          <w:color w:val="auto"/>
        </w:rPr>
        <w:t>The percentage of ordinary shares beneficially owned is computed on the basis of 62,908,617 ordinary shares outstanding on July 31, 2020, and does not include 7,187,500 ordinary shares issuable upon the exercise of our public warrants.</w:t>
      </w:r>
    </w:p>
    <w:p>
      <w:pPr>
        <w:ind w:left="540" w:hanging="424"/>
        <w:spacing w:after="0"/>
        <w:tabs>
          <w:tab w:leader="none" w:pos="540" w:val="left"/>
        </w:tabs>
        <w:numPr>
          <w:ilvl w:val="0"/>
          <w:numId w:val="114"/>
        </w:numPr>
        <w:rPr>
          <w:rFonts w:ascii="Arial" w:cs="Arial" w:eastAsia="Arial" w:hAnsi="Arial"/>
          <w:sz w:val="15"/>
          <w:szCs w:val="15"/>
          <w:color w:val="auto"/>
        </w:rPr>
      </w:pPr>
      <w:r>
        <w:rPr>
          <w:rFonts w:ascii="Arial" w:cs="Arial" w:eastAsia="Arial" w:hAnsi="Arial"/>
          <w:sz w:val="18"/>
          <w:szCs w:val="18"/>
          <w:color w:val="auto"/>
        </w:rPr>
        <w:t>Assumes the sale of all shares offered in this prospectus.</w:t>
      </w:r>
    </w:p>
    <w:p>
      <w:pPr>
        <w:spacing w:after="0" w:line="9" w:lineRule="exact"/>
        <w:rPr>
          <w:rFonts w:ascii="Arial" w:cs="Arial" w:eastAsia="Arial" w:hAnsi="Arial"/>
          <w:sz w:val="15"/>
          <w:szCs w:val="15"/>
          <w:color w:val="auto"/>
        </w:rPr>
      </w:pPr>
    </w:p>
    <w:p>
      <w:pPr>
        <w:ind w:left="540" w:right="40" w:hanging="424"/>
        <w:spacing w:after="0" w:line="260" w:lineRule="auto"/>
        <w:tabs>
          <w:tab w:leader="none" w:pos="540" w:val="left"/>
        </w:tabs>
        <w:numPr>
          <w:ilvl w:val="0"/>
          <w:numId w:val="114"/>
        </w:numPr>
        <w:rPr>
          <w:rFonts w:ascii="Arial" w:cs="Arial" w:eastAsia="Arial" w:hAnsi="Arial"/>
          <w:sz w:val="15"/>
          <w:szCs w:val="15"/>
          <w:color w:val="auto"/>
        </w:rPr>
      </w:pPr>
      <w:r>
        <w:rPr>
          <w:rFonts w:ascii="Arial" w:cs="Arial" w:eastAsia="Arial" w:hAnsi="Arial"/>
          <w:sz w:val="18"/>
          <w:szCs w:val="18"/>
          <w:color w:val="auto"/>
        </w:rPr>
        <w:t>The business address of Hopp BioTech holding GmbH &amp; Co. KG is dievini Hopp BioTech holding GmbH &amp; Co. KG, Johann-Jakob-Astor-Strasse 57, 69190 Walldorf, Federal Republic of Germany.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4"/>
          <w:szCs w:val="14"/>
          <w:color w:val="auto"/>
        </w:rPr>
      </w:pPr>
      <w:r>
        <w:rPr>
          <w:rFonts w:ascii="Arial" w:cs="Arial" w:eastAsia="Arial" w:hAnsi="Arial"/>
          <w:sz w:val="17"/>
          <w:szCs w:val="17"/>
          <w:color w:val="auto"/>
        </w:rPr>
        <w:t>The business address of AT Impf GmbH is c/o Athos Service GmbH, Rosenheimer Platz 6, 81669 Munich, Federal Republic of Germany.</w:t>
      </w:r>
    </w:p>
    <w:p>
      <w:pPr>
        <w:spacing w:after="0" w:line="34" w:lineRule="exact"/>
        <w:rPr>
          <w:rFonts w:ascii="Arial" w:cs="Arial" w:eastAsia="Arial" w:hAnsi="Arial"/>
          <w:sz w:val="14"/>
          <w:szCs w:val="14"/>
          <w:color w:val="auto"/>
        </w:rPr>
      </w:pPr>
    </w:p>
    <w:p>
      <w:pPr>
        <w:ind w:left="540" w:right="180" w:hanging="424"/>
        <w:spacing w:after="0" w:line="250" w:lineRule="auto"/>
        <w:tabs>
          <w:tab w:leader="none" w:pos="540" w:val="left"/>
        </w:tabs>
        <w:numPr>
          <w:ilvl w:val="0"/>
          <w:numId w:val="115"/>
        </w:numPr>
        <w:rPr>
          <w:rFonts w:ascii="Arial" w:cs="Arial" w:eastAsia="Arial" w:hAnsi="Arial"/>
          <w:sz w:val="15"/>
          <w:szCs w:val="15"/>
          <w:color w:val="auto"/>
        </w:rPr>
      </w:pPr>
      <w:r>
        <w:rPr>
          <w:rFonts w:ascii="Arial" w:cs="Arial" w:eastAsia="Arial" w:hAnsi="Arial"/>
          <w:sz w:val="18"/>
          <w:szCs w:val="18"/>
          <w:color w:val="auto"/>
        </w:rPr>
        <w:t>The business address of each of MIG GmbH &amp; Co Fonds 11 KG and MIG GmbH &amp; Co Fonds 13 geschlossene Investment-KG is Ismaniger Str. 102, 81675 Munich, Federal Republic of Germany.</w:t>
      </w:r>
    </w:p>
    <w:p>
      <w:pPr>
        <w:ind w:left="540" w:hanging="424"/>
        <w:spacing w:after="0"/>
        <w:tabs>
          <w:tab w:leader="none" w:pos="540" w:val="left"/>
        </w:tabs>
        <w:numPr>
          <w:ilvl w:val="0"/>
          <w:numId w:val="115"/>
        </w:numPr>
        <w:rPr>
          <w:rFonts w:ascii="Arial" w:cs="Arial" w:eastAsia="Arial" w:hAnsi="Arial"/>
          <w:sz w:val="13"/>
          <w:szCs w:val="13"/>
          <w:color w:val="auto"/>
        </w:rPr>
      </w:pPr>
      <w:r>
        <w:rPr>
          <w:rFonts w:ascii="Arial" w:cs="Arial" w:eastAsia="Arial" w:hAnsi="Arial"/>
          <w:sz w:val="16"/>
          <w:szCs w:val="16"/>
          <w:color w:val="auto"/>
        </w:rPr>
        <w:t>The business address of Wellington Partners Ventures II GmbH &amp; Co. KG (A) is Tuerkenstrasse 5, 80333 Munich, Federal Republic of Germany.</w:t>
      </w:r>
    </w:p>
    <w:p>
      <w:pPr>
        <w:spacing w:after="0" w:line="32" w:lineRule="exact"/>
        <w:rPr>
          <w:rFonts w:ascii="Arial" w:cs="Arial" w:eastAsia="Arial" w:hAnsi="Arial"/>
          <w:sz w:val="13"/>
          <w:szCs w:val="13"/>
          <w:color w:val="auto"/>
        </w:rPr>
      </w:pPr>
    </w:p>
    <w:p>
      <w:pPr>
        <w:ind w:left="540" w:right="180" w:hanging="424"/>
        <w:spacing w:after="0" w:line="250" w:lineRule="auto"/>
        <w:tabs>
          <w:tab w:leader="none" w:pos="540" w:val="left"/>
        </w:tabs>
        <w:numPr>
          <w:ilvl w:val="0"/>
          <w:numId w:val="115"/>
        </w:numPr>
        <w:rPr>
          <w:rFonts w:ascii="Arial" w:cs="Arial" w:eastAsia="Arial" w:hAnsi="Arial"/>
          <w:sz w:val="15"/>
          <w:szCs w:val="15"/>
          <w:color w:val="auto"/>
        </w:rPr>
      </w:pPr>
      <w:r>
        <w:rPr>
          <w:rFonts w:ascii="Arial" w:cs="Arial" w:eastAsia="Arial" w:hAnsi="Arial"/>
          <w:sz w:val="18"/>
          <w:szCs w:val="18"/>
          <w:color w:val="auto"/>
        </w:rPr>
        <w:t>The business address of each of Wellington Partners Ventures IV Life Sciences Fund L.P. and Wellington Partners Nominee Ltd. is 11-15 Seaton Place St Helier Jersey JE4 0QH, Channel Island.</w:t>
      </w:r>
    </w:p>
    <w:p>
      <w:pPr>
        <w:ind w:left="540" w:right="480" w:hanging="424"/>
        <w:spacing w:after="0" w:line="250" w:lineRule="auto"/>
        <w:tabs>
          <w:tab w:leader="none" w:pos="540" w:val="left"/>
        </w:tabs>
        <w:numPr>
          <w:ilvl w:val="0"/>
          <w:numId w:val="115"/>
        </w:numPr>
        <w:rPr>
          <w:rFonts w:ascii="Arial" w:cs="Arial" w:eastAsia="Arial" w:hAnsi="Arial"/>
          <w:sz w:val="15"/>
          <w:szCs w:val="15"/>
          <w:color w:val="auto"/>
        </w:rPr>
      </w:pPr>
      <w:r>
        <w:rPr>
          <w:rFonts w:ascii="Arial" w:cs="Arial" w:eastAsia="Arial" w:hAnsi="Arial"/>
          <w:sz w:val="18"/>
          <w:szCs w:val="18"/>
          <w:color w:val="auto"/>
        </w:rPr>
        <w:t>The business address of each of ARYA Sciences Holdings, Kevin Conroy, Todd Wider and David Hung is c/o Perceptive Advisors, 51 Astor Place, 10th Floor, New York, New York 10003.</w:t>
      </w:r>
    </w:p>
    <w:p>
      <w:pPr>
        <w:ind w:left="540" w:right="180" w:hanging="424"/>
        <w:spacing w:after="0" w:line="250" w:lineRule="auto"/>
        <w:tabs>
          <w:tab w:leader="none" w:pos="540" w:val="left"/>
        </w:tabs>
        <w:numPr>
          <w:ilvl w:val="0"/>
          <w:numId w:val="115"/>
        </w:numPr>
        <w:rPr>
          <w:rFonts w:ascii="Arial" w:cs="Arial" w:eastAsia="Arial" w:hAnsi="Arial"/>
          <w:sz w:val="15"/>
          <w:szCs w:val="15"/>
          <w:color w:val="auto"/>
        </w:rPr>
      </w:pPr>
      <w:r>
        <w:rPr>
          <w:rFonts w:ascii="Arial" w:cs="Arial" w:eastAsia="Arial" w:hAnsi="Arial"/>
          <w:sz w:val="18"/>
          <w:szCs w:val="18"/>
          <w:color w:val="auto"/>
        </w:rPr>
        <w:t>The business address of Alyeska Master Fund, LP is c/o Maples Corporate Services Limited, P.O. Box 309, Ugland House, South Church Street, George Town, Grand Cayman, KY1-1104 Cayman Islands, British West Indies.</w:t>
      </w:r>
    </w:p>
    <w:p>
      <w:pPr>
        <w:ind w:left="540" w:hanging="424"/>
        <w:spacing w:after="0"/>
        <w:tabs>
          <w:tab w:leader="none" w:pos="540" w:val="left"/>
        </w:tabs>
        <w:numPr>
          <w:ilvl w:val="0"/>
          <w:numId w:val="115"/>
        </w:numPr>
        <w:rPr>
          <w:rFonts w:ascii="Arial" w:cs="Arial" w:eastAsia="Arial" w:hAnsi="Arial"/>
          <w:sz w:val="14"/>
          <w:szCs w:val="14"/>
          <w:color w:val="auto"/>
        </w:rPr>
      </w:pPr>
      <w:r>
        <w:rPr>
          <w:rFonts w:ascii="Arial" w:cs="Arial" w:eastAsia="Arial" w:hAnsi="Arial"/>
          <w:sz w:val="17"/>
          <w:szCs w:val="17"/>
          <w:color w:val="auto"/>
        </w:rPr>
        <w:t>The business address of Alyeska Master Fund 3, LP is c/o Corporation Service Company, 251 Little Falls Drive, Wilmington, DE 19808.</w:t>
      </w:r>
    </w:p>
    <w:p>
      <w:pPr>
        <w:spacing w:after="0" w:line="19" w:lineRule="exact"/>
        <w:rPr>
          <w:rFonts w:ascii="Arial" w:cs="Arial" w:eastAsia="Arial" w:hAnsi="Arial"/>
          <w:sz w:val="14"/>
          <w:szCs w:val="14"/>
          <w:color w:val="auto"/>
        </w:rPr>
      </w:pPr>
    </w:p>
    <w:p>
      <w:pPr>
        <w:ind w:left="540" w:hanging="424"/>
        <w:spacing w:after="0"/>
        <w:tabs>
          <w:tab w:leader="none" w:pos="540" w:val="left"/>
        </w:tabs>
        <w:numPr>
          <w:ilvl w:val="0"/>
          <w:numId w:val="115"/>
        </w:numPr>
        <w:rPr>
          <w:rFonts w:ascii="Arial" w:cs="Arial" w:eastAsia="Arial" w:hAnsi="Arial"/>
          <w:sz w:val="13"/>
          <w:szCs w:val="13"/>
          <w:color w:val="auto"/>
        </w:rPr>
      </w:pPr>
      <w:r>
        <w:rPr>
          <w:rFonts w:ascii="Arial" w:cs="Arial" w:eastAsia="Arial" w:hAnsi="Arial"/>
          <w:sz w:val="16"/>
          <w:szCs w:val="16"/>
          <w:color w:val="auto"/>
        </w:rPr>
        <w:t>The business address of each of Baker Brothers Life Sciences, L.P. and 667, L.P. is 860 Washington Street, 3rd Floor, New York, NY 10014.</w:t>
      </w:r>
    </w:p>
    <w:p>
      <w:pPr>
        <w:spacing w:after="0" w:line="33" w:lineRule="exact"/>
        <w:rPr>
          <w:rFonts w:ascii="Arial" w:cs="Arial" w:eastAsia="Arial" w:hAnsi="Arial"/>
          <w:sz w:val="13"/>
          <w:szCs w:val="13"/>
          <w:color w:val="auto"/>
        </w:rPr>
      </w:pPr>
    </w:p>
    <w:p>
      <w:pPr>
        <w:ind w:left="540" w:hanging="424"/>
        <w:spacing w:after="0"/>
        <w:tabs>
          <w:tab w:leader="none" w:pos="540" w:val="left"/>
        </w:tabs>
        <w:numPr>
          <w:ilvl w:val="0"/>
          <w:numId w:val="115"/>
        </w:numPr>
        <w:rPr>
          <w:rFonts w:ascii="Arial" w:cs="Arial" w:eastAsia="Arial" w:hAnsi="Arial"/>
          <w:sz w:val="15"/>
          <w:szCs w:val="15"/>
          <w:color w:val="auto"/>
        </w:rPr>
      </w:pPr>
      <w:r>
        <w:rPr>
          <w:rFonts w:ascii="Arial" w:cs="Arial" w:eastAsia="Arial" w:hAnsi="Arial"/>
          <w:sz w:val="18"/>
          <w:szCs w:val="18"/>
          <w:color w:val="auto"/>
        </w:rPr>
        <w:t>The business address of Dellora Investments LP is 4 Murdock Road, Scarsdale, NY 10583.</w:t>
      </w:r>
    </w:p>
    <w:p>
      <w:pPr>
        <w:spacing w:after="0" w:line="9" w:lineRule="exact"/>
        <w:rPr>
          <w:rFonts w:ascii="Arial" w:cs="Arial" w:eastAsia="Arial" w:hAnsi="Arial"/>
          <w:sz w:val="15"/>
          <w:szCs w:val="15"/>
          <w:color w:val="auto"/>
        </w:rPr>
      </w:pPr>
    </w:p>
    <w:p>
      <w:pPr>
        <w:ind w:left="540" w:hanging="424"/>
        <w:spacing w:after="0" w:line="250" w:lineRule="auto"/>
        <w:tabs>
          <w:tab w:leader="none" w:pos="540" w:val="left"/>
        </w:tabs>
        <w:numPr>
          <w:ilvl w:val="0"/>
          <w:numId w:val="115"/>
        </w:numPr>
        <w:rPr>
          <w:rFonts w:ascii="Arial" w:cs="Arial" w:eastAsia="Arial" w:hAnsi="Arial"/>
          <w:sz w:val="15"/>
          <w:szCs w:val="15"/>
          <w:color w:val="auto"/>
        </w:rPr>
      </w:pPr>
      <w:r>
        <w:rPr>
          <w:rFonts w:ascii="Arial" w:cs="Arial" w:eastAsia="Arial" w:hAnsi="Arial"/>
          <w:sz w:val="18"/>
          <w:szCs w:val="18"/>
          <w:color w:val="auto"/>
        </w:rPr>
        <w:t>The business address of each of Federated Hermes Kaufmann Fund, Federated Hermes Kaufmann Fund II and Federated Hermes Kaufmann Small Cap Fund is 4000 Ericsson Drive, Warrendale, PA 15086-7561.</w:t>
      </w:r>
    </w:p>
    <w:p>
      <w:pPr>
        <w:ind w:left="540" w:hanging="424"/>
        <w:spacing w:after="0"/>
        <w:tabs>
          <w:tab w:leader="none" w:pos="540" w:val="left"/>
        </w:tabs>
        <w:numPr>
          <w:ilvl w:val="0"/>
          <w:numId w:val="115"/>
        </w:numPr>
        <w:rPr>
          <w:rFonts w:ascii="Arial" w:cs="Arial" w:eastAsia="Arial" w:hAnsi="Arial"/>
          <w:sz w:val="15"/>
          <w:szCs w:val="15"/>
          <w:color w:val="auto"/>
        </w:rPr>
      </w:pPr>
      <w:r>
        <w:rPr>
          <w:rFonts w:ascii="Arial" w:cs="Arial" w:eastAsia="Arial" w:hAnsi="Arial"/>
          <w:sz w:val="18"/>
          <w:szCs w:val="18"/>
          <w:color w:val="auto"/>
        </w:rPr>
        <w:t>The business address of Perceptive Life Sciences Master Fund Ltd. is 51 Astor Place, 10th Floor, New York, NY 10003.</w:t>
      </w:r>
    </w:p>
    <w:p>
      <w:pPr>
        <w:spacing w:after="0" w:line="9" w:lineRule="exact"/>
        <w:rPr>
          <w:rFonts w:ascii="Arial" w:cs="Arial" w:eastAsia="Arial" w:hAnsi="Arial"/>
          <w:sz w:val="15"/>
          <w:szCs w:val="15"/>
          <w:color w:val="auto"/>
        </w:rPr>
      </w:pPr>
    </w:p>
    <w:p>
      <w:pPr>
        <w:ind w:left="540" w:right="200" w:hanging="424"/>
        <w:spacing w:after="0" w:line="249" w:lineRule="auto"/>
        <w:tabs>
          <w:tab w:leader="none" w:pos="540" w:val="left"/>
        </w:tabs>
        <w:numPr>
          <w:ilvl w:val="0"/>
          <w:numId w:val="115"/>
        </w:numPr>
        <w:rPr>
          <w:rFonts w:ascii="Arial" w:cs="Arial" w:eastAsia="Arial" w:hAnsi="Arial"/>
          <w:sz w:val="15"/>
          <w:szCs w:val="15"/>
          <w:color w:val="auto"/>
        </w:rPr>
      </w:pPr>
      <w:r>
        <w:rPr>
          <w:rFonts w:ascii="Arial" w:cs="Arial" w:eastAsia="Arial" w:hAnsi="Arial"/>
          <w:sz w:val="18"/>
          <w:szCs w:val="18"/>
          <w:color w:val="auto"/>
        </w:rPr>
        <w:t>The business address of each of Redmile Capital Offshore II Master Fund, Ltd. and Redmile Strategic Master Fund, LP is One Letterman Drive, Suite D3-300 , San Francisco, CA 94129.</w:t>
      </w:r>
    </w:p>
    <w:p>
      <w:pPr>
        <w:spacing w:after="0" w:line="1" w:lineRule="exact"/>
        <w:rPr>
          <w:rFonts w:ascii="Arial" w:cs="Arial" w:eastAsia="Arial" w:hAnsi="Arial"/>
          <w:sz w:val="15"/>
          <w:szCs w:val="15"/>
          <w:color w:val="auto"/>
        </w:rPr>
      </w:pPr>
    </w:p>
    <w:p>
      <w:pPr>
        <w:ind w:left="540" w:right="140" w:hanging="424"/>
        <w:spacing w:after="0" w:line="250" w:lineRule="auto"/>
        <w:tabs>
          <w:tab w:leader="none" w:pos="540" w:val="left"/>
        </w:tabs>
        <w:numPr>
          <w:ilvl w:val="0"/>
          <w:numId w:val="115"/>
        </w:numPr>
        <w:rPr>
          <w:rFonts w:ascii="Arial" w:cs="Arial" w:eastAsia="Arial" w:hAnsi="Arial"/>
          <w:sz w:val="15"/>
          <w:szCs w:val="15"/>
          <w:color w:val="auto"/>
        </w:rPr>
      </w:pPr>
      <w:r>
        <w:rPr>
          <w:rFonts w:ascii="Arial" w:cs="Arial" w:eastAsia="Arial" w:hAnsi="Arial"/>
          <w:sz w:val="18"/>
          <w:szCs w:val="18"/>
          <w:color w:val="auto"/>
        </w:rPr>
        <w:t>The business address of each of RTW Innovation Master Fund, Ltd., RTW Master Fund, Ltd. and RTW Venture Fund Limited is 412 W. 15th St., Floor 9, New York, NY 10011.</w:t>
      </w:r>
    </w:p>
    <w:p>
      <w:pPr>
        <w:ind w:left="540" w:hanging="424"/>
        <w:spacing w:after="0"/>
        <w:tabs>
          <w:tab w:leader="none" w:pos="540" w:val="left"/>
        </w:tabs>
        <w:numPr>
          <w:ilvl w:val="0"/>
          <w:numId w:val="115"/>
        </w:numPr>
        <w:rPr>
          <w:rFonts w:ascii="Arial" w:cs="Arial" w:eastAsia="Arial" w:hAnsi="Arial"/>
          <w:sz w:val="15"/>
          <w:szCs w:val="15"/>
          <w:color w:val="auto"/>
        </w:rPr>
      </w:pPr>
      <w:r>
        <w:rPr>
          <w:rFonts w:ascii="Arial" w:cs="Arial" w:eastAsia="Arial" w:hAnsi="Arial"/>
          <w:sz w:val="18"/>
          <w:szCs w:val="18"/>
          <w:color w:val="auto"/>
        </w:rPr>
        <w:t>The business address of Schonfeld Strategic 460 Fund LLC is 460 Park Ave, Fl. 19, New York, NY 10022.</w:t>
      </w:r>
    </w:p>
    <w:p>
      <w:pPr>
        <w:spacing w:after="0" w:line="10" w:lineRule="exact"/>
        <w:rPr>
          <w:rFonts w:ascii="Arial" w:cs="Arial" w:eastAsia="Arial" w:hAnsi="Arial"/>
          <w:sz w:val="15"/>
          <w:szCs w:val="15"/>
          <w:color w:val="auto"/>
        </w:rPr>
      </w:pPr>
    </w:p>
    <w:p>
      <w:pPr>
        <w:ind w:left="540" w:right="300" w:hanging="424"/>
        <w:spacing w:after="0" w:line="290" w:lineRule="auto"/>
        <w:tabs>
          <w:tab w:leader="none" w:pos="540" w:val="left"/>
        </w:tabs>
        <w:numPr>
          <w:ilvl w:val="0"/>
          <w:numId w:val="115"/>
        </w:numPr>
        <w:rPr>
          <w:rFonts w:ascii="Arial" w:cs="Arial" w:eastAsia="Arial" w:hAnsi="Arial"/>
          <w:sz w:val="14"/>
          <w:szCs w:val="14"/>
          <w:color w:val="auto"/>
        </w:rPr>
      </w:pPr>
      <w:r>
        <w:rPr>
          <w:rFonts w:ascii="Arial" w:cs="Arial" w:eastAsia="Arial" w:hAnsi="Arial"/>
          <w:sz w:val="17"/>
          <w:szCs w:val="17"/>
          <w:color w:val="auto"/>
        </w:rPr>
        <w:t>The business address of each of Sphera Biotech Master Fund L.P and Sphera Global Healthcare Master Fund is c/o Maples Corporate Services Limited P.O. Box 309 , Ugland House, South Church Street, George Town, Grand Cayman, KY1-1104 Cayman Islands.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Relationships with Selling Securityholders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Certain Relationships and Related Person Transactions</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following is a description of the material U.S. federal income tax consequences to the U.S. Holders (as defined below) described below of owning and disposing of our ordinary shares. It is not a comprehensive description of all tax considerations that may be relevant to a particular person’s decision to acquire ordinary shares. This discussion applies only to a U.S. Holder that is an initial purchaser of ordinary shares pursuant to the offering and that holds our ordinary shares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spacing w:after="0" w:line="100" w:lineRule="exact"/>
        <w:rPr>
          <w:sz w:val="20"/>
          <w:szCs w:val="20"/>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mutual funds and pension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persons holding ordinary shares as part of a hedging transaction, “straddle,” “hedge,” “conversion,” “synthetic security,” “constructive ownership transaction,” “constructive sale” or other integrated transaction for U.S. federal income tax purposes;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tax-exempt entities (including private foundations) or government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 corporations, partnerships, or other entities or arrangements classified as partnerships for U.S. federal income tax purposes;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trusts and estates;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persons who acquired our ordinary shares pursuant to the exercise of any employee stock option or otherwise as compensation;</w:t>
      </w:r>
    </w:p>
    <w:p>
      <w:pPr>
        <w:spacing w:after="0" w:line="142"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holding our ordinary shares in connection with a trade or business, permanent establishment, or fixed base outside the United States;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who own (directly or through attribution) 10% or more (by vote or value) of our outstanding ordinary shares.</w:t>
      </w:r>
    </w:p>
    <w:p>
      <w:pPr>
        <w:spacing w:after="0" w:line="22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the U.S. federal income tax treatment of a partner will generally depend on the status of the partner and the activities of the partnership. Partnerships holding ordinary shares and partners in such partnerships are encouraged to consult their tax advisors as to the particular U.S. federal income tax consequences of holding and disposing of ordinary shares.</w:t>
      </w:r>
    </w:p>
    <w:p>
      <w:pPr>
        <w:spacing w:after="0" w:line="18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discussion is based on the Internal Revenue Code of 1986, as amended (the “Code”), administrative pronouncements, judicial decisions, final, temporary and proposed Treasury Regulations, all as of the date hereof, changes to any of which may affect the tax consequences described herein — possibly with retroactive effect.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“U.S. Holder” is a holder who, for U.S. federal income tax purposes, is a beneficial owner of ordinary shares and is:</w:t>
      </w:r>
    </w:p>
    <w:p>
      <w:pPr>
        <w:spacing w:after="0" w:line="131"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individual who is a citizen or individual resident of the United States;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84"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PERSONS CONSIDERING AN INVESTMENT IN ORDINARY SHARES SHOULD CONSULT THEIR OWN TAX ADVISORS AS TO THE PARTICULAR TAX CONSEQUENCES APPLICABLE TO THEM RELATING TO THE ACQUISITION, OWNERSHIP AND DISPOSITION OF THE ORDINARY SHARES, INCLUDING THE APPLICABILITY OF U.S. FEDERAL, STATE AND LOCAL TAX LAWS.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Subject to the discussion below under “Passive Foreign Investment Company Rules,” distributions paid on ordinary shares, other than certain pro rata distributions of ordinary shares, will generally be treated as dividends to the extent paid out of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its ordinary shares. Any remaining excess will be treated as gain realized on the sale or other disposition of the ordinary shares and will be treated as described below under “Sale or Other Taxable Disposition of Ordinary Shares.” Subject to applicable limitations, amounts treated as dividend income to certain non-corporate U.S. Holders may be taxable at preferential rates applicable to “qualified dividend income” if we are a “qualified foreign corporation” and certain other requirements are met. However, the qualified dividend income treatment will not apply if we are treated as a PFIC (as defined below) with respect to the U.S. Holder. The amount of any such distribution will include any amounts withheld by us (or another applicable withholding agent), which, as described below under the heading “</w:t>
      </w:r>
      <w:r>
        <w:rPr>
          <w:rFonts w:ascii="Arial" w:cs="Arial" w:eastAsia="Arial" w:hAnsi="Arial"/>
          <w:sz w:val="17"/>
          <w:szCs w:val="17"/>
          <w:i w:val="1"/>
          <w:iCs w:val="1"/>
          <w:color w:val="auto"/>
        </w:rPr>
        <w:t>—Material German Tax Considerations—Taxation of dividends</w:t>
      </w:r>
      <w:r>
        <w:rPr>
          <w:rFonts w:ascii="Arial" w:cs="Arial" w:eastAsia="Arial" w:hAnsi="Arial"/>
          <w:sz w:val="17"/>
          <w:szCs w:val="17"/>
          <w:color w:val="auto"/>
        </w:rPr>
        <w:t>,” is expected to be in respect of German, and not Dutch, income taxes.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rights to acquire ordinary shares) will be the fair market value of such property on the date of distribution.</w:t>
      </w:r>
    </w:p>
    <w:p>
      <w:pPr>
        <w:spacing w:after="0" w:line="18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For foreign tax credit limitation purposes, our dividends will generally be treated as passive category income. The rules governing foreign tax credits are complex and U.S. Holders should therefore consult their tax advisors regarding the effect of the receipt of dividends for foreign tax credit limitation purposes.</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Subject to applicable limitations, German income taxes withheld from dividends on ordinary shares at a rate not exceeding the rate provided by the applicable treaty with the United States will be eligible for credit against the U.S. treaty beneficiary’s (as defined below) U.S. federal income tax liability. Subject to certain complex limitations, the non-refundable withheld German taxes generally will be eligible for credit against a U.S. treaty beneficiary’s (as defined below) federal income tax liability. For purposes of this discussion, a “</w:t>
      </w:r>
      <w:r>
        <w:rPr>
          <w:rFonts w:ascii="Arial" w:cs="Arial" w:eastAsia="Arial" w:hAnsi="Arial"/>
          <w:sz w:val="18"/>
          <w:szCs w:val="18"/>
          <w:i w:val="1"/>
          <w:iCs w:val="1"/>
          <w:color w:val="auto"/>
        </w:rPr>
        <w:t>U.S. treaty beneficiary</w:t>
      </w:r>
      <w:r>
        <w:rPr>
          <w:rFonts w:ascii="Arial" w:cs="Arial" w:eastAsia="Arial" w:hAnsi="Arial"/>
          <w:sz w:val="18"/>
          <w:szCs w:val="18"/>
          <w:color w:val="auto"/>
        </w:rPr>
        <w:t>” is a resident of the United States for purposes of the Convention Between the United States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America and the Federal Republic of Germany for the Avoidance of Double Taxation and the Prevention of Fiscal Evasion with Respect to Taxes on Income and Capital and to Certain Other Taxes as of June 4, 2008 (the “Treaty”), who is fully eligible for benefits under the Treaty and is, inter alia, the beneficial owner of the ordinary shares and the dividends paid with respect thereto (and is not also a resident of Germany for German tax purposes, and is not subject to the limitation on benefits (i.e., anti-treaty shopping) article of the Treaty that applies in limited circumstances). The rules governing foreign tax credits are complex and U.S. Holders are urged to consult their tax advisors regarding the creditability of foreign taxes in their particular circumstances. In lieu of claiming a foreign tax credit, a U.S. Holder may deduct foreign taxes, including any German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Ordinary Shares</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Subject to the discussion below under “Passive Foreign Investment Company Rules,” gain or loss realized on the sale or other taxable disposition of ordinary shares will be capital gain or loss, and will be long-term capital gain or loss if the U.S. Holder held the ordinary shares for more than one year at the time of sale or other taxable disposition. The amount of the gain or loss will equal the difference between the U.S. Holder’s tax basis in the ordinary shares disposed of and the amount realized on the disposition, in each case as determined in U.S. dollars. This gain or loss will generally be U.S.-source gain or loss for foreign tax credit purposes. Subject to the PFIC rules described below, long-term capital gains recognized by certain non-corporate U.S. Holders (including individuals) will generally be subject to reduced rates of U.S. federal income tax. The deductibility of capital losses is subject to limitations.</w:t>
      </w:r>
    </w:p>
    <w:p>
      <w:pPr>
        <w:spacing w:after="0" w:line="19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are treated as traded on an “established securities market” and you are either a cash basis taxpayer or an accrual basis taxpayer that has made a special election (which must be applied consistently from year to year and cannot be changed without the consent of the U.S. Internal Revenue Service (the “IRS”)), you will determine the U.S. dollar value of the amount realized in a non-U.S.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jc w:val="both"/>
        <w:ind w:left="120" w:right="380"/>
        <w:spacing w:after="0" w:line="286" w:lineRule="auto"/>
        <w:rPr>
          <w:sz w:val="20"/>
          <w:szCs w:val="20"/>
          <w:color w:val="auto"/>
        </w:rPr>
      </w:pPr>
      <w:r>
        <w:rPr>
          <w:rFonts w:ascii="Arial" w:cs="Arial" w:eastAsia="Arial" w:hAnsi="Arial"/>
          <w:sz w:val="17"/>
          <w:szCs w:val="17"/>
          <w:color w:val="auto"/>
        </w:rPr>
        <w:t>If we are classified as a passive foreign investment company under Section 1297 of the Code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non-U.S. corporation will be classified as a PFIC for any taxable year in which, after applying certain look-through rules, either:</w:t>
      </w:r>
    </w:p>
    <w:p>
      <w:pPr>
        <w:spacing w:after="0" w:line="131" w:lineRule="exact"/>
        <w:rPr>
          <w:sz w:val="20"/>
          <w:szCs w:val="20"/>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(such as interest income) (the “Income Test”);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 (the “Asset Test”).</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It is uncertain whether we or any of our subsidiaries, including Immatics OpCo, will be treated as a PFIC for U.S. federal income tax purposes for the current or any subsequent tax year. The determination of whether we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40"/>
          </w:cols>
          <w:pgMar w:left="320" w:top="459" w:right="5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are a PFIC is a fact-intensive determination made on an annual basis applying principles and methodologies that in some circumstances are unclear and subject to varying interpretation. Under the Income Test, our status as a PFIC depends on the composition of our income which will depend on the transactions we enter into in the future and our corporate structure. The composition of our income and assets is also affected by the spending of the cash we raise in any offering, including this offering. Because PFIC status is based on our income, assets, and activities for the entire taxable year, it is not possible to determine whether we will be characterized as a PFIC for the 2020 taxable year or any subsequent year until after the close of the relevant taxable year.</w:t>
      </w:r>
    </w:p>
    <w:p>
      <w:pPr>
        <w:spacing w:after="0" w:line="192"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If we are classified as a PFIC in any year with respect to which a U.S. Holder owns the ordinary shares, we will continue to be treated as a PFIC with respect to such U.S. Holder in all succeeding years during which the U.S. Holder owns the ordinary shares, regardless of whether we continue to meet the tests described above unless (i) we cease to be a PFIC and the U.S. Holder has made a “deemed sale” election under the PFIC rules, or (ii) the U.S. Holder makes a QEF Election (as defined below) with respect to all taxable years during such U.S. Holders holding period in which we are a PFIC. If the “deemed sale” election is made, a U.S. Holder will be deemed to have sold the ordinary shares the U.S. Holder holds at their fair market value and any gain from such deemed sale would be subject to the rules described below. After the deemed sale election, so long as we do not become a PFIC in a subsequent taxable year, the U.S. Holder’s ordinary shares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ordinary shares. U.S. Holders should consult their tax advisors as to the possibility and consequences of making a deemed sale election if we cease to be a PFIC and such election becomes available.</w:t>
      </w:r>
    </w:p>
    <w:p>
      <w:pPr>
        <w:spacing w:after="0" w:line="168"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For each taxable year we are treated as a PFIC with respect to U.S. Holders, U.S. Holders will be subject to special tax rules with respect to any “excess distribution” such U.S. Holder receives and any gain such U.S. Holder recognizes from a sale or other disposition (including, under certain circumstances, a pledge) of ordinary shares, unless (i) such U.S. Holder makes a QEF Election (as defined below) or (ii) our ordinary shares constitute “marketable” securities,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ordinary shares will be treated as an excess distribution. Under these special tax rules:</w:t>
      </w:r>
    </w:p>
    <w:p>
      <w:pPr>
        <w:spacing w:after="0" w:line="70" w:lineRule="exact"/>
        <w:rPr>
          <w:sz w:val="20"/>
          <w:szCs w:val="20"/>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a U.S. Holder’s holding period for ordinary shares;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amount allocated to the taxable year of disposition, and any taxable year prior to the first taxable year in which we became a PFIC, will be treated as ordinary income; and</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amount allocated to each other year will be subject to the highest tax rate in effect for that year for individuals or corporations, as appropriate, and the interest charge generally applicable to underpayments of tax will be imposed on the resulting tax attributable to each such year.</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ordinary shares cannot be treated as capital, even if a U.S. Holder holds the ordinary shares as capital assets.</w:t>
      </w:r>
    </w:p>
    <w:p>
      <w:pPr>
        <w:spacing w:after="0" w:line="184"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w:t>
      </w:r>
    </w:p>
    <w:p>
      <w:pPr>
        <w:spacing w:after="0" w:line="14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Certain elections exist that may alleviate some of the adverse consequences of PFIC status and would result in an alternative treatment of the ordinary shares. A U.S. Holder may avoid the general tax treatment for PFICs described above by electing to treat us as a “qualified electing fund” under Section 1295 of the Code (a “QEF,”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and such election, a “QEF Election”) for each of the taxable years during the U.S. Holder’s holding period that we are a PFIC. If a QEF Election is not in effect for the first taxable year in the U.S. Holder’s holding period in which we are a PFIC, a QEF Election generally can only be made if the U.S. Holder elects to make an applicable deemed sale or deemed dividend election on the first day of its taxable year in which the PFIC becomes a QEF pursuant to the QEF Election. The deemed gain or deemed dividend recognized with respect to such an election would be subject to the general tax treatment of PFICs discussed above. In order to comply with the requirements of a QEF Election, a U.S. Holder must receive a PFIC Annual Information Statement from us. We intend to provide the information necessary for U.S. Holders to make or maintain a QEF Election, including information necessary to determine the appropriate income inclusion amounts for purposes of the QEF Election. However, there is also no assurance that we will have timely knowledge of our status as a PFIC in the future or of the required information to be provided.</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a U.S. Holder makes a QEF Election with respect to a PFIC, it will be taxed currently on its pro rata share of the PFIC’s ordinary earnings and net capital gain (at ordinary income and capital gain rates, respectively) for each taxable year that the entity is a PFIC, even if no distributions were received. Any distributions we make out of our earnings and profits that were previously included in such a U.S. Holder’s income under the QEF Election would not be taxable to such U.S. Holder. Such U.S. Holder’s tax basis in its ordinary shares would be increased by an amount equal to any income included under the QEF Election and decreased by any amount distributed on the ordinary shares that is not included in its income. In addition, a U.S. Holder will recognize capital gain or loss on the disposition of its ordinary shares in an amount equal to the difference between the amount realized and its adjusted tax basis in the ordinary shares, each as determined in U.S. dollars. Once made, a QEF Election remains in effect unless invalidated or terminated by the IRS or revoked by the shareholder. A QEF Election can be revoked only with the consent of the IRS. A U.S. Holder will not be currently taxed on the ordinary income and net capital gain of a PFIC with respect to which a QEF Election was made for any taxable year of the non-U.S. corporation that such corporation does not satisfy the Income Test or Asset Test. Each U.S. Holder should consult its tax advisor regarding the availability of, and procedure for making, any deemed gain, deemed dividend or QEF Election.</w:t>
      </w:r>
    </w:p>
    <w:p>
      <w:pPr>
        <w:spacing w:after="0" w:line="182"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Alternatively, U.S. Holders can avoid the interest charge on excess distributions or gain relating to the ordinary shares by making a mark-to-market election with respect to the ordinary shares, provided that the ordinary shares constitute “marketable stock.” “Marketable stock” is, generally, stock that is “regularly traded” on certain U.S. stock exchanges or on a foreign stock exchange that meets certain conditions. For these purposes, the ordinary shares will be considered regularly traded during any calendar year during which they are traded, other than in de minimis quantities, on at least 15 days during each calendar quarter. Any trades that have as their principal purpose meeting this requirement will be disregarded. Our ordinary shares are listed on Nasdaq, which is a qualified exchange for these purposes. Consequently, if our ordinary shares remain listed on Nasdaq and are regularly traded, and you are a U.S. Holder of ordinary shares, we expect the mark-to-market election would be available to you if we are a classified as a PFIC. Each U.S. Holder should consult its tax advisor as to the whether a mark-to-market election is available or advisable with respect to the ordinary shares.</w:t>
      </w:r>
    </w:p>
    <w:p>
      <w:pPr>
        <w:spacing w:after="0" w:line="165"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A U.S. Holder that makes a mark-to-market election must include in ordinary income for each year an amount equal to the excess, if any, of the fair market value of the ordinary shares at the close of the taxable year over the U.S. Holder’s adjusted tax basis in the ordinary shares. An electing holder may also claim an ordinary loss deduction for the excess, if any, of the U.S. Holder’s adjusted basis in the ordinary shares over the fair market value of the ordinary shares at the close of the taxable year, but this deduction is allowable only to the extent of any net mark-to-market gains for prior years. Gains from an actual sale or other disposition of the ordinary shares will be treated as ordinary income, and any losses incurred on a sale or other disposition of the shares will be treated as an ordinary loss to the extent of any net mark-to-market gains for prior years. Once made, the election cannot be revoked without the consent of the IRS, unless the ordinary shares cease to be marketable.</w:t>
      </w:r>
    </w:p>
    <w:p>
      <w:pPr>
        <w:spacing w:after="0" w:line="17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However, a mark-to-market election generally cannot be made for equity interests in any lower-tier PFICs that we own, unless shares of such lower-tier PFIC are themselves “marketable.” As a result, even if a U.S. Holder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validly makes a mark-to-market election with respect to our ordinary shares, the U.S. Holder may continue to be subject to the PFIC rules (described above) with respect to its indirect interest in any of our investments that are treated as an equity interest in a PFIC for U.S. federal income tax purposes. U.S. Holders should consult their tax advisors to determine whether any of these elections would be available and if so, what the consequences of the alternative treatments would be in their particular circumstances.</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Unless otherwise provided by the IRS, each U.S. shareholder of a PFIC is required to file an annual report containing such information as the IRS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192"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WE STRONGLY URGE YOU TO CONSULT YOUR TAX ADVISOR REGARDING THE IMPACT OF OUR PFIC STATUS ON YOUR INVESTMENT IN THE ORDINARY SHARES AS WELL AS THE APPLICATION OF THE PFIC RULES TO YOUR INVESTMENT IN THE ORDINARY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ind w:left="120" w:right="340" w:hanging="4"/>
        <w:spacing w:after="0" w:line="260" w:lineRule="auto"/>
        <w:tabs>
          <w:tab w:leader="none" w:pos="3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 on a duly executed IRS Form W-9 or otherwise establishes an exemption.</w:t>
      </w:r>
    </w:p>
    <w:p>
      <w:pPr>
        <w:spacing w:after="0" w:line="185"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The amount of any backup withholding from a payment to a U.S. Holder may be allowed as a credit against the U.S. Holder’s U.S. federal income tax liability and may entitle the U.S. Holder to a refund, provided that the required information is timely furnished to the IRS.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Certain U.S. Holders who are individuals (and, under regulations, certain entities) may be required to report information relating to the ordinary shares, subject to certain exceptions (including an exception for ordinary shares held in accounts maintained by certain U.S. financial institutions), by filing IRS Form 8938 (Statement of Specified Foreign Financial Assets) with their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advisors regarding their reporting obligations with respect to their ownership and disposition of the ordinary shares.</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U.S. Treasury Regulations meant to require the reporting of certain tax shelter transactions could be interpreted to cover transactions generally not regarded as tax shelters, including certain foreign currency transactions. Under the applicable U.S. Treasury Regulations, certain transactions are required to be reported to the IRS including, in certain circumstances, a sale, exchange, retirement or other taxable disposition of foreign currency, to the extent that such sale, exchange, retirement or other taxable disposition results in a tax loss in excess of a threshold amount. U.S. Holders should consult their tax advisors to determine the tax return obligations, if any, with respect to our ordinary shares, and the receipt of Euro in respect thereof, including any requirement to file IRS Form 8886 (Reportable Transaction Disclosure Statement).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Dutch Tax Considerations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in the Netherlands</w:t>
      </w:r>
    </w:p>
    <w:p>
      <w:pPr>
        <w:spacing w:after="0" w:line="11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This section outlines the principal Dutch tax consequences of the acquisition, holding, settlement, redemption and disposal of ordinary shares. It does not purport to present a comprehensive or complete description of all aspects of Dutch tax law which could be of relevance to a holder of ordinary shares in the capital of Immatics, which we refer to as a shareholder. For Dutch tax purposes, a shareholder may include an individual who, or an entity that, does not hold the legal title to the ordinary shares, but to whom, or to which, nevertheless the ordinary shares or the income thereof, are attributed based either on such individual or entity owning a beneficial interest in the ordinary shares or based on specific statutory provisions. These include statutory provisions pursuant to which ordinary shares are attributed to an individual who is, or who has directly or indirectly inherited from a person who was, the settlor, grantor or similar originator of a trust, foundation or similar entity that holds the ordinary shares.</w:t>
      </w:r>
    </w:p>
    <w:p>
      <w:pPr>
        <w:spacing w:after="0" w:line="16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This section is intended as general information only. A prospective shareholder should consult his own tax adviser regarding the tax consequences of any acquisition, holding, redemption and disposal of ordinary shares.</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Except as otherwise provided, this section is based on Dutch tax law as applied and interpreted by Dutch tax courts and as published and in effect on the date of this proxy statement/prospectus, including, for the avoidance of doubt, the tax rates applicable on the date hereof, without prejudice to any amendments introduced at a later date and implemented with or without retroactive effect. On this basis, the statements included in this section are the opinion of CMS Derks Star Busmann N.V., Dutch counsel to Immatics.</w:t>
      </w:r>
    </w:p>
    <w:p>
      <w:pPr>
        <w:spacing w:after="0" w:line="18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Any reference in this section made to Dutch taxes, Dutch tax or Dutch tax law must be construed as a reference to any taxes of any nature levied by or on behalf of the Netherlands or any of its subdivisions or taxing authorities or to the law governing such taxes, respectively. The Netherlands means the part of the Kingdom of the Netherlands located in Europe.</w:t>
      </w:r>
    </w:p>
    <w:p>
      <w:pPr>
        <w:spacing w:after="0" w:line="184"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Any reference hereafter made to a treaty for the avoidance of double taxation concluded by the Netherlands includes the Tax Regulation for the Kingdom of the Netherlands (</w:t>
      </w:r>
      <w:r>
        <w:rPr>
          <w:rFonts w:ascii="Arial" w:cs="Arial" w:eastAsia="Arial" w:hAnsi="Arial"/>
          <w:sz w:val="17"/>
          <w:szCs w:val="17"/>
          <w:i w:val="1"/>
          <w:iCs w:val="1"/>
          <w:color w:val="auto"/>
        </w:rPr>
        <w:t>Belastingregeling voor het Koninkrijk</w:t>
      </w:r>
      <w:r>
        <w:rPr>
          <w:rFonts w:ascii="Arial" w:cs="Arial" w:eastAsia="Arial" w:hAnsi="Arial"/>
          <w:sz w:val="17"/>
          <w:szCs w:val="17"/>
          <w:color w:val="auto"/>
        </w:rPr>
        <w:t>), the Tax Regulations for the Netherlands and Curacao (</w:t>
      </w:r>
      <w:r>
        <w:rPr>
          <w:rFonts w:ascii="Arial" w:cs="Arial" w:eastAsia="Arial" w:hAnsi="Arial"/>
          <w:sz w:val="17"/>
          <w:szCs w:val="17"/>
          <w:i w:val="1"/>
          <w:iCs w:val="1"/>
          <w:color w:val="auto"/>
        </w:rPr>
        <w:t>Belastingregeling</w:t>
      </w:r>
      <w:r>
        <w:rPr>
          <w:rFonts w:ascii="Arial" w:cs="Arial" w:eastAsia="Arial" w:hAnsi="Arial"/>
          <w:sz w:val="17"/>
          <w:szCs w:val="17"/>
          <w:color w:val="auto"/>
        </w:rPr>
        <w:t xml:space="preserve"> </w:t>
      </w:r>
      <w:r>
        <w:rPr>
          <w:rFonts w:ascii="Arial" w:cs="Arial" w:eastAsia="Arial" w:hAnsi="Arial"/>
          <w:sz w:val="17"/>
          <w:szCs w:val="17"/>
          <w:i w:val="1"/>
          <w:iCs w:val="1"/>
          <w:color w:val="auto"/>
        </w:rPr>
        <w:t>Nederland Curaçao</w:t>
      </w:r>
      <w:r>
        <w:rPr>
          <w:rFonts w:ascii="Arial" w:cs="Arial" w:eastAsia="Arial" w:hAnsi="Arial"/>
          <w:sz w:val="17"/>
          <w:szCs w:val="17"/>
          <w:color w:val="auto"/>
        </w:rPr>
        <w:t>), the Tax Regulations for the Netherlands and Sint Maarten (</w:t>
      </w:r>
      <w:r>
        <w:rPr>
          <w:rFonts w:ascii="Arial" w:cs="Arial" w:eastAsia="Arial" w:hAnsi="Arial"/>
          <w:sz w:val="17"/>
          <w:szCs w:val="17"/>
          <w:i w:val="1"/>
          <w:iCs w:val="1"/>
          <w:color w:val="auto"/>
        </w:rPr>
        <w:t>Belastingregeling Nederland Sint Maarten</w:t>
      </w:r>
      <w:r>
        <w:rPr>
          <w:rFonts w:ascii="Arial" w:cs="Arial" w:eastAsia="Arial" w:hAnsi="Arial"/>
          <w:sz w:val="17"/>
          <w:szCs w:val="17"/>
          <w:color w:val="auto"/>
        </w:rPr>
        <w:t>), the Tax Regulation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 of the Netherlands (</w:t>
      </w:r>
      <w:r>
        <w:rPr>
          <w:rFonts w:ascii="Arial" w:cs="Arial" w:eastAsia="Arial" w:hAnsi="Arial"/>
          <w:sz w:val="17"/>
          <w:szCs w:val="17"/>
          <w:i w:val="1"/>
          <w:iCs w:val="1"/>
          <w:color w:val="auto"/>
        </w:rPr>
        <w:t>Belastingregeling voor het land Nederland</w:t>
      </w:r>
      <w:r>
        <w:rPr>
          <w:rFonts w:ascii="Arial" w:cs="Arial" w:eastAsia="Arial" w:hAnsi="Arial"/>
          <w:sz w:val="17"/>
          <w:szCs w:val="17"/>
          <w:color w:val="auto"/>
        </w:rPr>
        <w:t>) and the Agreement between the Taipei Representative Office in the Netherlands and the Netherlands Trade and Investment Office in Taipei for the avoidance of double taxation.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section does not describe any Dutch tax considerations or consequences that may be relevant to a shareholder:</w:t>
      </w:r>
    </w:p>
    <w:p>
      <w:pPr>
        <w:spacing w:after="0" w:line="131" w:lineRule="exact"/>
        <w:rPr>
          <w:sz w:val="20"/>
          <w:szCs w:val="20"/>
          <w:color w:val="auto"/>
        </w:rPr>
      </w:pPr>
    </w:p>
    <w:p>
      <w:pPr>
        <w:ind w:left="1080" w:right="120" w:hanging="532"/>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who is an individual and for whom the income or capital gains derived from the ordinary shares are attributable to employment activities, the income from which is taxable in the Netherlands;</w:t>
      </w:r>
    </w:p>
    <w:p>
      <w:pPr>
        <w:spacing w:after="0" w:line="75"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who has, or that has, a substantial interest (</w:t>
      </w:r>
      <w:r>
        <w:rPr>
          <w:rFonts w:ascii="Arial" w:cs="Arial" w:eastAsia="Arial" w:hAnsi="Arial"/>
          <w:sz w:val="18"/>
          <w:szCs w:val="18"/>
          <w:i w:val="1"/>
          <w:iCs w:val="1"/>
          <w:color w:val="auto"/>
        </w:rPr>
        <w:t>aanmerkelijk belang</w:t>
      </w:r>
      <w:r>
        <w:rPr>
          <w:rFonts w:ascii="Arial" w:cs="Arial" w:eastAsia="Arial" w:hAnsi="Arial"/>
          <w:sz w:val="18"/>
          <w:szCs w:val="18"/>
          <w:color w:val="auto"/>
        </w:rPr>
        <w:t>) or a fictitious substantial interest (</w:t>
      </w:r>
      <w:r>
        <w:rPr>
          <w:rFonts w:ascii="Arial" w:cs="Arial" w:eastAsia="Arial" w:hAnsi="Arial"/>
          <w:sz w:val="18"/>
          <w:szCs w:val="18"/>
          <w:i w:val="1"/>
          <w:iCs w:val="1"/>
          <w:color w:val="auto"/>
        </w:rPr>
        <w:t>fictief aanmerkelijk belang</w:t>
      </w:r>
      <w:r>
        <w:rPr>
          <w:rFonts w:ascii="Arial" w:cs="Arial" w:eastAsia="Arial" w:hAnsi="Arial"/>
          <w:sz w:val="18"/>
          <w:szCs w:val="18"/>
          <w:color w:val="auto"/>
        </w:rPr>
        <w:t>) in Immatics within the meaning of chapter 4 of the Dutch Income Tax Act 2001 (</w:t>
      </w:r>
      <w:r>
        <w:rPr>
          <w:rFonts w:ascii="Arial" w:cs="Arial" w:eastAsia="Arial" w:hAnsi="Arial"/>
          <w:sz w:val="18"/>
          <w:szCs w:val="18"/>
          <w:i w:val="1"/>
          <w:iCs w:val="1"/>
          <w:color w:val="auto"/>
        </w:rPr>
        <w:t>Wet inkomstenbelasting 2001</w:t>
      </w:r>
      <w:r>
        <w:rPr>
          <w:rFonts w:ascii="Arial" w:cs="Arial" w:eastAsia="Arial" w:hAnsi="Arial"/>
          <w:sz w:val="18"/>
          <w:szCs w:val="18"/>
          <w:color w:val="auto"/>
        </w:rPr>
        <w:t>). Generally, a shareholder has a substantial interest in Immatics if such shareholder, alone or — in case of an individual — together with a partner for Dutch tax purposes, or any relative by blood or by marriage in the ascending or descending line (including foster-children) of either of them, directly or indirectly:</w:t>
      </w:r>
    </w:p>
    <w:p>
      <w:pPr>
        <w:spacing w:after="0" w:line="93" w:lineRule="exact"/>
        <w:rPr>
          <w:rFonts w:ascii="Arial" w:cs="Arial" w:eastAsia="Arial" w:hAnsi="Arial"/>
          <w:sz w:val="18"/>
          <w:szCs w:val="18"/>
          <w:color w:val="auto"/>
        </w:rPr>
      </w:pPr>
    </w:p>
    <w:p>
      <w:pPr>
        <w:ind w:left="1540" w:right="60" w:hanging="439"/>
        <w:spacing w:after="0" w:line="277" w:lineRule="auto"/>
        <w:tabs>
          <w:tab w:leader="none" w:pos="15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owns, or holds, or is deemed to own or hold, certain rights to shares representing 5% or more of the total issued capital of Immatics, or of the issued and outstanding capital of any class of shares of Immatics;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00"/>
          </w:cols>
          <w:pgMar w:left="320" w:top="459"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line="277" w:lineRule="auto"/>
        <w:tabs>
          <w:tab w:leader="none" w:pos="1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holds, or is deemed to hold, rights to, directly or indirectly, acquire shares, whether or not already issued, representing 5% or more of the total issued capital of Immatics, or of the issued capital of any class of shares of Immatics; or</w:t>
      </w:r>
    </w:p>
    <w:p>
      <w:pPr>
        <w:spacing w:after="0" w:line="75" w:lineRule="exact"/>
        <w:rPr>
          <w:rFonts w:ascii="Arial" w:cs="Arial" w:eastAsia="Arial" w:hAnsi="Arial"/>
          <w:sz w:val="18"/>
          <w:szCs w:val="18"/>
          <w:color w:val="auto"/>
        </w:rPr>
      </w:pPr>
    </w:p>
    <w:p>
      <w:pPr>
        <w:ind w:left="1540" w:right="340" w:hanging="439"/>
        <w:spacing w:after="0" w:line="277" w:lineRule="auto"/>
        <w:tabs>
          <w:tab w:leader="none" w:pos="1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owns, or holds, or is deemed to own or hold, certain rights on profit participating certificates (</w:t>
      </w:r>
      <w:r>
        <w:rPr>
          <w:rFonts w:ascii="Arial" w:cs="Arial" w:eastAsia="Arial" w:hAnsi="Arial"/>
          <w:sz w:val="18"/>
          <w:szCs w:val="18"/>
          <w:i w:val="1"/>
          <w:iCs w:val="1"/>
          <w:color w:val="auto"/>
        </w:rPr>
        <w:t>winstbewijzen</w:t>
      </w:r>
      <w:r>
        <w:rPr>
          <w:rFonts w:ascii="Arial" w:cs="Arial" w:eastAsia="Arial" w:hAnsi="Arial"/>
          <w:sz w:val="18"/>
          <w:szCs w:val="18"/>
          <w:color w:val="auto"/>
        </w:rPr>
        <w:t>) that relate to 5% or more of the annual profit of Immatics or to 5% or more of the liquidation proceeds of Immatics.</w:t>
      </w:r>
    </w:p>
    <w:p>
      <w:pPr>
        <w:spacing w:after="0" w:line="62" w:lineRule="exact"/>
        <w:rPr>
          <w:sz w:val="20"/>
          <w:szCs w:val="20"/>
          <w:color w:val="auto"/>
        </w:rPr>
      </w:pPr>
    </w:p>
    <w:p>
      <w:pPr>
        <w:ind w:left="1100" w:right="220"/>
        <w:spacing w:after="0" w:line="342" w:lineRule="auto"/>
        <w:rPr>
          <w:sz w:val="20"/>
          <w:szCs w:val="20"/>
          <w:color w:val="auto"/>
        </w:rPr>
      </w:pPr>
      <w:r>
        <w:rPr>
          <w:rFonts w:ascii="Arial" w:cs="Arial" w:eastAsia="Arial" w:hAnsi="Arial"/>
          <w:sz w:val="16"/>
          <w:szCs w:val="16"/>
          <w:color w:val="auto"/>
        </w:rPr>
        <w:t>A shareholder who is an individual will also have a substantial interest if a partner for Dutch tax purposes or any relative by blood or by marriage in the ascending or descending line (including foster-children) of either of them has a substantial interest in Immatics.</w:t>
      </w:r>
    </w:p>
    <w:p>
      <w:pPr>
        <w:spacing w:after="0" w:line="29" w:lineRule="exact"/>
        <w:rPr>
          <w:sz w:val="20"/>
          <w:szCs w:val="20"/>
          <w:color w:val="auto"/>
        </w:rPr>
      </w:pPr>
    </w:p>
    <w:p>
      <w:pPr>
        <w:ind w:left="1080" w:right="220" w:hanging="532"/>
        <w:spacing w:after="0" w:line="263"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that is an entity which is, pursuant to the Dutch Corporate Income Tax Act 1969 (</w:t>
      </w:r>
      <w:r>
        <w:rPr>
          <w:rFonts w:ascii="Arial" w:cs="Arial" w:eastAsia="Arial" w:hAnsi="Arial"/>
          <w:sz w:val="18"/>
          <w:szCs w:val="18"/>
          <w:i w:val="1"/>
          <w:iCs w:val="1"/>
          <w:color w:val="auto"/>
        </w:rPr>
        <w:t>Wet op de vennootschapsbelasting 1969</w:t>
      </w:r>
      <w:r>
        <w:rPr>
          <w:rFonts w:ascii="Arial" w:cs="Arial" w:eastAsia="Arial" w:hAnsi="Arial"/>
          <w:sz w:val="18"/>
          <w:szCs w:val="18"/>
          <w:color w:val="auto"/>
        </w:rPr>
        <w:t>) (the “</w:t>
      </w:r>
      <w:r>
        <w:rPr>
          <w:rFonts w:ascii="Arial" w:cs="Arial" w:eastAsia="Arial" w:hAnsi="Arial"/>
          <w:sz w:val="18"/>
          <w:szCs w:val="18"/>
          <w:i w:val="1"/>
          <w:iCs w:val="1"/>
          <w:color w:val="auto"/>
        </w:rPr>
        <w:t>CITA</w:t>
      </w:r>
      <w:r>
        <w:rPr>
          <w:rFonts w:ascii="Arial" w:cs="Arial" w:eastAsia="Arial" w:hAnsi="Arial"/>
          <w:sz w:val="18"/>
          <w:szCs w:val="18"/>
          <w:color w:val="auto"/>
        </w:rPr>
        <w:t>”), not subject to Dutch corporate income tax or is in full or in part exempt from Dutch corporate income tax (such as a qualifying pension fund);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that is an investment institution (</w:t>
      </w:r>
      <w:r>
        <w:rPr>
          <w:rFonts w:ascii="Arial" w:cs="Arial" w:eastAsia="Arial" w:hAnsi="Arial"/>
          <w:sz w:val="18"/>
          <w:szCs w:val="18"/>
          <w:i w:val="1"/>
          <w:iCs w:val="1"/>
          <w:color w:val="auto"/>
        </w:rPr>
        <w:t>beleggingsinstelling</w:t>
      </w:r>
      <w:r>
        <w:rPr>
          <w:rFonts w:ascii="Arial" w:cs="Arial" w:eastAsia="Arial" w:hAnsi="Arial"/>
          <w:sz w:val="18"/>
          <w:szCs w:val="18"/>
          <w:color w:val="auto"/>
        </w:rPr>
        <w:t>) as described in clause 6a or 28 CITA; or</w:t>
      </w:r>
    </w:p>
    <w:p>
      <w:pPr>
        <w:spacing w:after="0" w:line="130" w:lineRule="exact"/>
        <w:rPr>
          <w:rFonts w:ascii="Arial" w:cs="Arial" w:eastAsia="Arial" w:hAnsi="Arial"/>
          <w:sz w:val="18"/>
          <w:szCs w:val="18"/>
          <w:color w:val="auto"/>
        </w:rPr>
      </w:pPr>
    </w:p>
    <w:p>
      <w:pPr>
        <w:ind w:left="1080" w:right="80" w:hanging="532"/>
        <w:spacing w:after="0" w:line="311"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that is required to apply the participation exemption (</w:t>
      </w:r>
      <w:r>
        <w:rPr>
          <w:rFonts w:ascii="Arial" w:cs="Arial" w:eastAsia="Arial" w:hAnsi="Arial"/>
          <w:sz w:val="16"/>
          <w:szCs w:val="16"/>
          <w:i w:val="1"/>
          <w:iCs w:val="1"/>
          <w:color w:val="auto"/>
        </w:rPr>
        <w:t>deelnemingsvrijstelling</w:t>
      </w:r>
      <w:r>
        <w:rPr>
          <w:rFonts w:ascii="Arial" w:cs="Arial" w:eastAsia="Arial" w:hAnsi="Arial"/>
          <w:sz w:val="16"/>
          <w:szCs w:val="16"/>
          <w:color w:val="auto"/>
        </w:rPr>
        <w:t>) with respect to the ordinary shares, or a combination thereof (as defined in clause 13 CITA). Generally, a holding of ordinary shares is considered to qualify as a participation for the participation exemption if it represents a holding of, or right to acquire, an interest of 5% or more of the nominal paid-up share capital in Immatics.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Withholding Tax on Dividend Payments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 shareholder is generally subject to Dutch dividend withholding tax at a rate of 15% on dividends distributed by Immatics. Generally, Immatics is responsible for the withholding of such dividend withholding tax at source. However, a shareholder will not be subject to Dutch dividend withholding tax on dividends distributed by Immatics if, and for as long as, Immatics is resident solely in Germany for purposes of the convention between Germany and the Netherlands for the avoidance of double taxation and the prevention of fiscal evasion with respect to taxes on income (the “</w:t>
      </w:r>
      <w:r>
        <w:rPr>
          <w:rFonts w:ascii="Arial" w:cs="Arial" w:eastAsia="Arial" w:hAnsi="Arial"/>
          <w:sz w:val="18"/>
          <w:szCs w:val="18"/>
          <w:i w:val="1"/>
          <w:iCs w:val="1"/>
          <w:color w:val="auto"/>
        </w:rPr>
        <w:t>German-Dutch tax</w:t>
      </w:r>
      <w:r>
        <w:rPr>
          <w:rFonts w:ascii="Arial" w:cs="Arial" w:eastAsia="Arial" w:hAnsi="Arial"/>
          <w:sz w:val="18"/>
          <w:szCs w:val="18"/>
          <w:color w:val="auto"/>
        </w:rPr>
        <w:t xml:space="preserve"> </w:t>
      </w:r>
      <w:r>
        <w:rPr>
          <w:rFonts w:ascii="Arial" w:cs="Arial" w:eastAsia="Arial" w:hAnsi="Arial"/>
          <w:sz w:val="18"/>
          <w:szCs w:val="18"/>
          <w:i w:val="1"/>
          <w:iCs w:val="1"/>
          <w:color w:val="auto"/>
        </w:rPr>
        <w:t>treaty</w:t>
      </w:r>
      <w:r>
        <w:rPr>
          <w:rFonts w:ascii="Arial" w:cs="Arial" w:eastAsia="Arial" w:hAnsi="Arial"/>
          <w:sz w:val="18"/>
          <w:szCs w:val="18"/>
          <w:color w:val="auto"/>
        </w:rPr>
        <w:t>”), unless:</w:t>
      </w:r>
    </w:p>
    <w:p>
      <w:pPr>
        <w:spacing w:after="0" w:line="93"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shareholder is a Dutch Individual (as defined below) or a Dutch Corporate Entity (as defined below); or</w:t>
      </w:r>
    </w:p>
    <w:p>
      <w:pPr>
        <w:spacing w:after="0" w:line="130" w:lineRule="exact"/>
        <w:rPr>
          <w:rFonts w:ascii="Arial" w:cs="Arial" w:eastAsia="Arial" w:hAnsi="Arial"/>
          <w:sz w:val="18"/>
          <w:szCs w:val="18"/>
          <w:color w:val="auto"/>
        </w:rPr>
      </w:pPr>
    </w:p>
    <w:p>
      <w:pPr>
        <w:ind w:left="1080" w:right="20" w:hanging="532"/>
        <w:spacing w:after="0" w:line="286" w:lineRule="auto"/>
        <w:tabs>
          <w:tab w:leader="none" w:pos="10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shareholder is a Non-Dutch Individual (as defined below) or a Non-Dutch Corporate Entity (as defined below) and derives profits from an enterprise, which enterprise is, in whole or in part, carried on through a permanent establishment (</w:t>
      </w:r>
      <w:r>
        <w:rPr>
          <w:rFonts w:ascii="Arial" w:cs="Arial" w:eastAsia="Arial" w:hAnsi="Arial"/>
          <w:sz w:val="17"/>
          <w:szCs w:val="17"/>
          <w:i w:val="1"/>
          <w:iCs w:val="1"/>
          <w:color w:val="auto"/>
        </w:rPr>
        <w:t>vaste inrichting</w:t>
      </w:r>
      <w:r>
        <w:rPr>
          <w:rFonts w:ascii="Arial" w:cs="Arial" w:eastAsia="Arial" w:hAnsi="Arial"/>
          <w:sz w:val="17"/>
          <w:szCs w:val="17"/>
          <w:color w:val="auto"/>
        </w:rPr>
        <w:t>) or a permanent representative (</w:t>
      </w:r>
      <w:r>
        <w:rPr>
          <w:rFonts w:ascii="Arial" w:cs="Arial" w:eastAsia="Arial" w:hAnsi="Arial"/>
          <w:sz w:val="17"/>
          <w:szCs w:val="17"/>
          <w:i w:val="1"/>
          <w:iCs w:val="1"/>
          <w:color w:val="auto"/>
        </w:rPr>
        <w:t>vaste vertegenwoordiger</w:t>
      </w:r>
      <w:r>
        <w:rPr>
          <w:rFonts w:ascii="Arial" w:cs="Arial" w:eastAsia="Arial" w:hAnsi="Arial"/>
          <w:sz w:val="17"/>
          <w:szCs w:val="17"/>
          <w:color w:val="auto"/>
        </w:rPr>
        <w:t>) in the Netherlands, to which the ordinary shares are attributable.</w:t>
      </w:r>
    </w:p>
    <w:p>
      <w:pPr>
        <w:spacing w:after="0" w:line="16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current German-Dutch tax treaty stipulates that if a company is treated as tax resident of both the Netherlands and Germany it shall be treated as resident of the country in which it has its place of effective management for purposes of the treaty. It is currently envisaged that Immatics shall have its place of effective management in Germany.</w:t>
      </w:r>
    </w:p>
    <w:p>
      <w:pPr>
        <w:spacing w:after="0" w:line="184" w:lineRule="exact"/>
        <w:rPr>
          <w:sz w:val="20"/>
          <w:szCs w:val="20"/>
          <w:color w:val="auto"/>
        </w:rPr>
      </w:pPr>
    </w:p>
    <w:p>
      <w:pPr>
        <w:ind w:left="120" w:right="780"/>
        <w:spacing w:after="0" w:line="342" w:lineRule="auto"/>
        <w:rPr>
          <w:sz w:val="20"/>
          <w:szCs w:val="20"/>
          <w:color w:val="auto"/>
        </w:rPr>
      </w:pPr>
      <w:r>
        <w:rPr>
          <w:rFonts w:ascii="Arial" w:cs="Arial" w:eastAsia="Arial" w:hAnsi="Arial"/>
          <w:sz w:val="16"/>
          <w:szCs w:val="16"/>
          <w:color w:val="auto"/>
        </w:rPr>
        <w:t>It is currently uncertain what evidence, information and documentation will be required by the Dutch tax authorities for purposes of accepting application of the German-Dutch tax treaty as described above, either at source or through a refund request by a shareholder.</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Dividends distributed by Immatics include, but are not limited to:</w:t>
      </w:r>
    </w:p>
    <w:p>
      <w:pPr>
        <w:spacing w:after="0" w:line="131" w:lineRule="exact"/>
        <w:rPr>
          <w:sz w:val="20"/>
          <w:szCs w:val="20"/>
          <w:color w:val="auto"/>
        </w:rPr>
      </w:pPr>
    </w:p>
    <w:p>
      <w:pPr>
        <w:ind w:left="5480" w:right="3760" w:hanging="4932"/>
        <w:spacing w:after="0" w:line="449" w:lineRule="auto"/>
        <w:tabs>
          <w:tab w:leader="none" w:pos="107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distributions of profits in cash or in kind, whatever they be named or in whatever form; 214</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40" w:hanging="532"/>
        <w:spacing w:after="0" w:line="263"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proceeds from the liquidation of Immatics or proceeds from the repurchase of ordinary shares by Immatics, other than as a temporary portfolio investment (</w:t>
      </w:r>
      <w:r>
        <w:rPr>
          <w:rFonts w:ascii="Arial" w:cs="Arial" w:eastAsia="Arial" w:hAnsi="Arial"/>
          <w:sz w:val="18"/>
          <w:szCs w:val="18"/>
          <w:i w:val="1"/>
          <w:iCs w:val="1"/>
          <w:color w:val="auto"/>
        </w:rPr>
        <w:t>tijdelijke belegging</w:t>
      </w:r>
      <w:r>
        <w:rPr>
          <w:rFonts w:ascii="Arial" w:cs="Arial" w:eastAsia="Arial" w:hAnsi="Arial"/>
          <w:sz w:val="18"/>
          <w:szCs w:val="18"/>
          <w:color w:val="auto"/>
        </w:rPr>
        <w:t>), in excess of the average paid-in capital recognized for Dutch dividend withholding tax purposes;</w:t>
      </w:r>
    </w:p>
    <w:p>
      <w:pPr>
        <w:spacing w:after="0" w:line="89" w:lineRule="exact"/>
        <w:rPr>
          <w:rFonts w:ascii="Arial" w:cs="Arial" w:eastAsia="Arial" w:hAnsi="Arial"/>
          <w:sz w:val="18"/>
          <w:szCs w:val="18"/>
          <w:color w:val="auto"/>
        </w:rPr>
      </w:pPr>
    </w:p>
    <w:p>
      <w:pPr>
        <w:ind w:left="1080" w:right="280" w:hanging="532"/>
        <w:spacing w:after="0" w:line="308" w:lineRule="auto"/>
        <w:tabs>
          <w:tab w:leader="none" w:pos="10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nominal value of ordinary shares issued to a shareholder or an increase in the nominal value of ordinary shares, to the extent that no related contribution, recognized for Dutch dividend withholding tax purposes, has been made or will be made; and</w:t>
      </w:r>
    </w:p>
    <w:p>
      <w:pPr>
        <w:spacing w:after="0" w:line="51" w:lineRule="exact"/>
        <w:rPr>
          <w:rFonts w:ascii="Arial" w:cs="Arial" w:eastAsia="Arial" w:hAnsi="Arial"/>
          <w:sz w:val="17"/>
          <w:szCs w:val="17"/>
          <w:color w:val="auto"/>
        </w:rPr>
      </w:pPr>
    </w:p>
    <w:p>
      <w:pPr>
        <w:ind w:left="1080" w:right="620" w:hanging="532"/>
        <w:spacing w:after="0" w:line="308" w:lineRule="auto"/>
        <w:tabs>
          <w:tab w:leader="none" w:pos="10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partial repayment of paid-in capital, that is not recognized for Dutch dividend withholding tax purposes, or if recognized for Dutch dividend withholding tax purposes, to the extent that Immatics has “net profits”(</w:t>
      </w:r>
      <w:r>
        <w:rPr>
          <w:rFonts w:ascii="Arial" w:cs="Arial" w:eastAsia="Arial" w:hAnsi="Arial"/>
          <w:sz w:val="17"/>
          <w:szCs w:val="17"/>
          <w:i w:val="1"/>
          <w:iCs w:val="1"/>
          <w:color w:val="auto"/>
        </w:rPr>
        <w:t>zuivere winst</w:t>
      </w:r>
      <w:r>
        <w:rPr>
          <w:rFonts w:ascii="Arial" w:cs="Arial" w:eastAsia="Arial" w:hAnsi="Arial"/>
          <w:sz w:val="17"/>
          <w:szCs w:val="17"/>
          <w:color w:val="auto"/>
        </w:rPr>
        <w:t>), unless</w:t>
      </w:r>
    </w:p>
    <w:p>
      <w:pPr>
        <w:spacing w:after="0" w:line="51" w:lineRule="exact"/>
        <w:rPr>
          <w:rFonts w:ascii="Arial" w:cs="Arial" w:eastAsia="Arial" w:hAnsi="Arial"/>
          <w:sz w:val="17"/>
          <w:szCs w:val="17"/>
          <w:color w:val="auto"/>
        </w:rPr>
      </w:pPr>
    </w:p>
    <w:p>
      <w:pPr>
        <w:ind w:left="1540" w:hanging="439"/>
        <w:spacing w:after="0"/>
        <w:tabs>
          <w:tab w:leader="none" w:pos="15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general meeting has resolved in advance to make such repayment and</w:t>
      </w:r>
    </w:p>
    <w:p>
      <w:pPr>
        <w:spacing w:after="0" w:line="130" w:lineRule="exact"/>
        <w:rPr>
          <w:rFonts w:ascii="Arial" w:cs="Arial" w:eastAsia="Arial" w:hAnsi="Arial"/>
          <w:sz w:val="18"/>
          <w:szCs w:val="18"/>
          <w:color w:val="auto"/>
        </w:rPr>
      </w:pPr>
    </w:p>
    <w:p>
      <w:pPr>
        <w:ind w:left="1540" w:right="140" w:hanging="439"/>
        <w:spacing w:after="0" w:line="277" w:lineRule="auto"/>
        <w:tabs>
          <w:tab w:leader="none" w:pos="15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nominal value of the ordinary shares concerned has been reduced with an equal amount by way of an amendment to the articles of association of Immatics. The term “net profits” includes anticipated profits that have yet to be realized.</w:t>
      </w:r>
    </w:p>
    <w:p>
      <w:pPr>
        <w:spacing w:after="0" w:line="17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If a shareholder is resident or deemed to be resident in the Netherlands, such shareholder is generally entitled to an exemption or a credit for any Dutch dividend withholding tax against his Dutch (corporate) income tax liability and to a refund of any residual Dutch dividend withholding tax. Depending on his specific circumstances, a shareholder resident in a country other than the Netherlands, may be entitled to exemptions from, reduction of, or full or partial refund of, Dutch dividend withholding tax pursuant to Dutch law, EU law, the agreement on the withdrawal of the United Kingdom of Great Britain and Northern Ireland from the EU and the European Atomic Community (but only for Dutch tax events arising up to and including 31 December 2020 (which date may be extended) (“</w:t>
      </w:r>
      <w:r>
        <w:rPr>
          <w:rFonts w:ascii="Arial" w:cs="Arial" w:eastAsia="Arial" w:hAnsi="Arial"/>
          <w:sz w:val="17"/>
          <w:szCs w:val="17"/>
          <w:i w:val="1"/>
          <w:iCs w:val="1"/>
          <w:color w:val="auto"/>
        </w:rPr>
        <w:t>Final Transition Date</w:t>
      </w:r>
      <w:r>
        <w:rPr>
          <w:rFonts w:ascii="Arial" w:cs="Arial" w:eastAsia="Arial" w:hAnsi="Arial"/>
          <w:sz w:val="17"/>
          <w:szCs w:val="17"/>
          <w:color w:val="auto"/>
        </w:rPr>
        <w:t>”)), or treaties for avoidance of double taxation.</w:t>
      </w:r>
    </w:p>
    <w:p>
      <w:pPr>
        <w:spacing w:after="0" w:line="17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 shareholder that is resident (i) in an EU member state, or (ii) the United Kingdom (for Dutch tax events arising up to and including the Final Transition Date), or (iii) in a state that is a party to the Agreement on the European Economic Area (“</w:t>
      </w:r>
      <w:r>
        <w:rPr>
          <w:rFonts w:ascii="Arial" w:cs="Arial" w:eastAsia="Arial" w:hAnsi="Arial"/>
          <w:sz w:val="18"/>
          <w:szCs w:val="18"/>
          <w:i w:val="1"/>
          <w:iCs w:val="1"/>
          <w:color w:val="auto"/>
        </w:rPr>
        <w:t>EEA</w:t>
      </w:r>
      <w:r>
        <w:rPr>
          <w:rFonts w:ascii="Arial" w:cs="Arial" w:eastAsia="Arial" w:hAnsi="Arial"/>
          <w:sz w:val="18"/>
          <w:szCs w:val="18"/>
          <w:color w:val="auto"/>
        </w:rPr>
        <w:t>”; Iceland, Liechtenstein or Norway), or (iv) in a designated third state with which the Netherlands has agreed to an arrangement for the exchange of information on tax matters, is entitled to a full or partial refund of Dutch dividend withholding tax incurred in respect of ordinary shares if the final tax burden in respect of the dividends distributed by Immatics of a comparable Dutch resident shareholder is lower than the withholding tax incurred by the non-Dutch resident shareholder. The refund is granted upon request, and is subject to conditions and limitations. No entitlement to a refund exists if the disadvantage for the non-Dutch resident shareholder is entirely compensated in his state of residence under the provisions of a treaty for the avoidance of double taxation concluded between this state of residence and the Netherlands.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According to Dutch domestic anti-dividend stripping rules, no credit against Dutch (corporate) income tax, exemption from, reduction in or refund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Dutch dividend withholding tax will be granted if the recipient of the dividends paid by Immatics is not considered to be the beneficial owner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uiteindelijk gerechtigde</w:t>
      </w:r>
      <w:r>
        <w:rPr>
          <w:rFonts w:ascii="Arial" w:cs="Arial" w:eastAsia="Arial" w:hAnsi="Arial"/>
          <w:sz w:val="17"/>
          <w:szCs w:val="17"/>
          <w:color w:val="auto"/>
        </w:rPr>
        <w:t>) of such dividends. The DWTA provides for a non-exhaustive negative description of a beneficial owner. According to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DWTA, a shareholder will not be considered the beneficial owner of the dividends if as a consequence of a combination of transactions:</w:t>
      </w:r>
    </w:p>
    <w:p>
      <w:pPr>
        <w:spacing w:after="0" w:line="116"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person other than the shareholder wholly or partly, directly or indirectly, benefits from the dividends;</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whereby this other person retains or acquires, directly or indirectly, an interest similar to that in the ordinary shares on which the dividends were paid;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that other person is entitled to a credit, reduction or refund of Dutch dividend withholding tax that is less than that of the shareholder.</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refer to the paragraph “</w:t>
      </w:r>
      <w:r>
        <w:rPr>
          <w:rFonts w:ascii="Arial" w:cs="Arial" w:eastAsia="Arial" w:hAnsi="Arial"/>
          <w:sz w:val="18"/>
          <w:szCs w:val="18"/>
          <w:i w:val="1"/>
          <w:iCs w:val="1"/>
          <w:color w:val="auto"/>
        </w:rPr>
        <w:t>Risk Factors</w:t>
      </w:r>
      <w:r>
        <w:rPr>
          <w:rFonts w:ascii="Arial" w:cs="Arial" w:eastAsia="Arial" w:hAnsi="Arial"/>
          <w:sz w:val="18"/>
          <w:szCs w:val="18"/>
          <w:color w:val="auto"/>
        </w:rPr>
        <w:t>” for a risk regarding Immatics’ tax residency and the consequences thereof.</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 on Income and Capital Gains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Residents of the Netherlands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description of certain Dutch tax consequences in this paragraph is only intended for the following shareholders:</w:t>
      </w:r>
    </w:p>
    <w:p>
      <w:pPr>
        <w:spacing w:after="0" w:line="131"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individuals who are resident or deemed to be resident in the Netherlands for Dutch income tax purposes (“</w:t>
      </w:r>
      <w:r>
        <w:rPr>
          <w:rFonts w:ascii="Arial" w:cs="Arial" w:eastAsia="Arial" w:hAnsi="Arial"/>
          <w:sz w:val="17"/>
          <w:szCs w:val="17"/>
          <w:i w:val="1"/>
          <w:iCs w:val="1"/>
          <w:color w:val="auto"/>
        </w:rPr>
        <w:t>Dutch Individuals</w:t>
      </w:r>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1080" w:right="280" w:hanging="532"/>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entities or enterprises that are subject to the CITA and are resident or deemed to be resident in the Netherlands for corporate income tax purposes (“</w:t>
      </w:r>
      <w:r>
        <w:rPr>
          <w:rFonts w:ascii="Arial" w:cs="Arial" w:eastAsia="Arial" w:hAnsi="Arial"/>
          <w:sz w:val="18"/>
          <w:szCs w:val="18"/>
          <w:i w:val="1"/>
          <w:iCs w:val="1"/>
          <w:color w:val="auto"/>
        </w:rPr>
        <w:t>Dutch Corporate Entities</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Dutch individuals engaged or deemed to be engaged in an enterprise or in miscellaneous activities</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Dutch Individuals engaged or deemed to be engaged in an enterprise or who derive income frommiscellaneous activities (</w:t>
      </w:r>
      <w:r>
        <w:rPr>
          <w:rFonts w:ascii="Arial" w:cs="Arial" w:eastAsia="Arial" w:hAnsi="Arial"/>
          <w:sz w:val="18"/>
          <w:szCs w:val="18"/>
          <w:i w:val="1"/>
          <w:iCs w:val="1"/>
          <w:color w:val="auto"/>
        </w:rPr>
        <w:t>resultaat uit overige</w:t>
      </w:r>
      <w:r>
        <w:rPr>
          <w:rFonts w:ascii="Arial" w:cs="Arial" w:eastAsia="Arial" w:hAnsi="Arial"/>
          <w:sz w:val="18"/>
          <w:szCs w:val="18"/>
          <w:color w:val="auto"/>
        </w:rPr>
        <w:t xml:space="preserve"> </w:t>
      </w:r>
      <w:r>
        <w:rPr>
          <w:rFonts w:ascii="Arial" w:cs="Arial" w:eastAsia="Arial" w:hAnsi="Arial"/>
          <w:sz w:val="18"/>
          <w:szCs w:val="18"/>
          <w:i w:val="1"/>
          <w:iCs w:val="1"/>
          <w:color w:val="auto"/>
        </w:rPr>
        <w:t>werkzaamheden</w:t>
      </w:r>
      <w:r>
        <w:rPr>
          <w:rFonts w:ascii="Arial" w:cs="Arial" w:eastAsia="Arial" w:hAnsi="Arial"/>
          <w:sz w:val="18"/>
          <w:szCs w:val="18"/>
          <w:color w:val="auto"/>
        </w:rPr>
        <w:t>) are generally subject to income tax at statutory progressive rates with a maximum of 49.5% on any benefits derived or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derived from the ordinary shares, that are either attributable to:</w:t>
      </w:r>
    </w:p>
    <w:p>
      <w:pPr>
        <w:spacing w:after="0" w:line="89" w:lineRule="exact"/>
        <w:rPr>
          <w:sz w:val="20"/>
          <w:szCs w:val="20"/>
          <w:color w:val="auto"/>
        </w:rPr>
      </w:pPr>
    </w:p>
    <w:p>
      <w:pPr>
        <w:ind w:left="1080" w:right="44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enterprise from which a Dutch Individual derives profits, whether as an entrepreneur (</w:t>
      </w:r>
      <w:r>
        <w:rPr>
          <w:rFonts w:ascii="Arial" w:cs="Arial" w:eastAsia="Arial" w:hAnsi="Arial"/>
          <w:sz w:val="18"/>
          <w:szCs w:val="18"/>
          <w:i w:val="1"/>
          <w:iCs w:val="1"/>
          <w:color w:val="auto"/>
        </w:rPr>
        <w:t>ondernemer</w:t>
      </w:r>
      <w:r>
        <w:rPr>
          <w:rFonts w:ascii="Arial" w:cs="Arial" w:eastAsia="Arial" w:hAnsi="Arial"/>
          <w:sz w:val="18"/>
          <w:szCs w:val="18"/>
          <w:color w:val="auto"/>
        </w:rPr>
        <w:t>) or pursuant to a co-entitlement (</w:t>
      </w:r>
      <w:r>
        <w:rPr>
          <w:rFonts w:ascii="Arial" w:cs="Arial" w:eastAsia="Arial" w:hAnsi="Arial"/>
          <w:sz w:val="18"/>
          <w:szCs w:val="18"/>
          <w:i w:val="1"/>
          <w:iCs w:val="1"/>
          <w:color w:val="auto"/>
        </w:rPr>
        <w:t>medegerechtigde</w:t>
      </w:r>
      <w:r>
        <w:rPr>
          <w:rFonts w:ascii="Arial" w:cs="Arial" w:eastAsia="Arial" w:hAnsi="Arial"/>
          <w:sz w:val="18"/>
          <w:szCs w:val="18"/>
          <w:color w:val="auto"/>
        </w:rPr>
        <w:t>) to the net worth of such enterprise other than as an entrepreneur or a shareholder; or</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benefits of which are attributable to miscellaneous activities, including, without limitation, activities which are beyond the scope of active portfolio investment activities (</w:t>
      </w:r>
      <w:r>
        <w:rPr>
          <w:rFonts w:ascii="Arial" w:cs="Arial" w:eastAsia="Arial" w:hAnsi="Arial"/>
          <w:sz w:val="18"/>
          <w:szCs w:val="18"/>
          <w:i w:val="1"/>
          <w:iCs w:val="1"/>
          <w:color w:val="auto"/>
        </w:rPr>
        <w:t>meer dan normal vermogensbeheer</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Dutch individuals not engaged or deemed to be engaged in an enterprise or in miscellaneous activities</w:t>
      </w:r>
    </w:p>
    <w:p>
      <w:pPr>
        <w:spacing w:after="0" w:line="117"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Generally, the ordinary shares held by a Dutch Individual who is not engaged or deemed to be engaged in an enterprise or miscellaneous activities, or who is so engaged or deemed to be engaged but the ordinary shares are not attributable to that enterprise or miscellaneous activities, will be subject to annual income tax imposed on a fictitious yield on the ordinary shares under the regime for savings and investments (</w:t>
      </w:r>
      <w:r>
        <w:rPr>
          <w:rFonts w:ascii="Arial" w:cs="Arial" w:eastAsia="Arial" w:hAnsi="Arial"/>
          <w:sz w:val="16"/>
          <w:szCs w:val="16"/>
          <w:i w:val="1"/>
          <w:iCs w:val="1"/>
          <w:color w:val="auto"/>
        </w:rPr>
        <w:t>inkomen uit sparen en beleggen</w:t>
      </w:r>
      <w:r>
        <w:rPr>
          <w:rFonts w:ascii="Arial" w:cs="Arial" w:eastAsia="Arial" w:hAnsi="Arial"/>
          <w:sz w:val="16"/>
          <w:szCs w:val="16"/>
          <w:color w:val="auto"/>
        </w:rPr>
        <w:t>). Irrespective of the actual income and capital gains realized the annual taxable benefit of all the assets and liabilities of a Dutch Individual that are taxed under this regime, including the ordinary shares, is set at a percentage of the positive balance of the fair market value of these assets, including the ordinary shares and the fair market value of these liabilities. The percentage, which is annually indexed, increases:</w:t>
      </w:r>
    </w:p>
    <w:p>
      <w:pPr>
        <w:spacing w:after="0" w:line="70"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from 1.79% over the first €72,797;</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4.19% over €72,798 up to and including €1,005,572;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 maximum of 5.28% over €1,005,573 or higher.</w:t>
      </w:r>
    </w:p>
    <w:p>
      <w:pPr>
        <w:spacing w:after="0" w:line="225"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No taxation occurs if this positive balance does not exceed a certain threshold (</w:t>
      </w:r>
      <w:r>
        <w:rPr>
          <w:rFonts w:ascii="Arial" w:cs="Arial" w:eastAsia="Arial" w:hAnsi="Arial"/>
          <w:sz w:val="18"/>
          <w:szCs w:val="18"/>
          <w:i w:val="1"/>
          <w:iCs w:val="1"/>
          <w:color w:val="auto"/>
        </w:rPr>
        <w:t>heffingvrij vermogen</w:t>
      </w:r>
      <w:r>
        <w:rPr>
          <w:rFonts w:ascii="Arial" w:cs="Arial" w:eastAsia="Arial" w:hAnsi="Arial"/>
          <w:sz w:val="18"/>
          <w:szCs w:val="18"/>
          <w:color w:val="auto"/>
        </w:rPr>
        <w:t>), which is €30,846 in 2020. The fair market value of assets, including the ordinary shares and liabilities that are taxed under this regime is measured once in each calendar year on January 1. The tax rate under the regime for savings and investments is a flat rate of 30%.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Dutch Corporate Entities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Dutch Corporate Entities are generally subject to corporate income tax at statutory rates up to 25% on any benefits derived or deemed to be derived from the ordinary shares. A reduced rate of 16.5% applies to the first € 200,000 of taxable profits.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Non-residents of the Netherlands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description of certain Dutch tax consequences in this paragraph is only intended for the following shareholders:</w:t>
      </w:r>
    </w:p>
    <w:p>
      <w:pPr>
        <w:spacing w:after="0" w:line="131" w:lineRule="exact"/>
        <w:rPr>
          <w:sz w:val="20"/>
          <w:szCs w:val="20"/>
          <w:color w:val="auto"/>
        </w:rPr>
      </w:pPr>
    </w:p>
    <w:p>
      <w:pPr>
        <w:ind w:left="1080" w:hanging="424"/>
        <w:spacing w:after="0"/>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individuals not resident and not deemed to be resident in the Netherlands for Dutch income tax purposes (“</w:t>
      </w:r>
      <w:r>
        <w:rPr>
          <w:rFonts w:ascii="Arial" w:cs="Arial" w:eastAsia="Arial" w:hAnsi="Arial"/>
          <w:sz w:val="16"/>
          <w:szCs w:val="16"/>
          <w:i w:val="1"/>
          <w:iCs w:val="1"/>
          <w:color w:val="auto"/>
        </w:rPr>
        <w:t>Non-Dutch Individuals</w:t>
      </w:r>
      <w:r>
        <w:rPr>
          <w:rFonts w:ascii="Arial" w:cs="Arial" w:eastAsia="Arial" w:hAnsi="Arial"/>
          <w:sz w:val="16"/>
          <w:szCs w:val="16"/>
          <w:color w:val="auto"/>
        </w:rPr>
        <w:t>”); or</w:t>
      </w:r>
    </w:p>
    <w:p>
      <w:pPr>
        <w:spacing w:after="0" w:line="153"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entities not resident and not deemed to be resident in the Netherlands for Dutch corporate income tax purposes (“</w:t>
      </w:r>
      <w:r>
        <w:rPr>
          <w:rFonts w:ascii="Arial" w:cs="Arial" w:eastAsia="Arial" w:hAnsi="Arial"/>
          <w:sz w:val="18"/>
          <w:szCs w:val="18"/>
          <w:i w:val="1"/>
          <w:iCs w:val="1"/>
          <w:color w:val="auto"/>
        </w:rPr>
        <w:t>Non-Dutch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Entities</w:t>
      </w:r>
      <w:r>
        <w:rPr>
          <w:rFonts w:ascii="Arial" w:cs="Arial" w:eastAsia="Arial" w:hAnsi="Arial"/>
          <w:sz w:val="18"/>
          <w:szCs w:val="18"/>
          <w:color w:val="auto"/>
        </w:rPr>
        <w:t>”).</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 Non-Dutch Individual or a Non-Dutch Corporate Entity will not be subject to any Dutch taxes on income or capital gains in respect of the acquisition, holding, redemption and disposal of ordinary shares, other than withholding tax as described above, except if:</w:t>
      </w:r>
    </w:p>
    <w:p>
      <w:pPr>
        <w:spacing w:after="0" w:line="76" w:lineRule="exact"/>
        <w:rPr>
          <w:sz w:val="20"/>
          <w:szCs w:val="20"/>
          <w:color w:val="auto"/>
        </w:rPr>
      </w:pPr>
    </w:p>
    <w:p>
      <w:pPr>
        <w:ind w:left="1080" w:right="180" w:hanging="532"/>
        <w:spacing w:after="0" w:line="259"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Non-Dutch Individual or the Non-Dutch Corporate Entity derives profits from an enterprise, whether as entrepreneur or pursuant to a co-entitlement to the net worth of such enterprise other than as an entrepreneur or a shareholder, which enterprise is, in whole or in part, carried on through a permanent establishment (</w:t>
      </w:r>
      <w:r>
        <w:rPr>
          <w:rFonts w:ascii="Arial" w:cs="Arial" w:eastAsia="Arial" w:hAnsi="Arial"/>
          <w:sz w:val="18"/>
          <w:szCs w:val="18"/>
          <w:i w:val="1"/>
          <w:iCs w:val="1"/>
          <w:color w:val="auto"/>
        </w:rPr>
        <w:t>vaste inrichting</w:t>
      </w:r>
      <w:r>
        <w:rPr>
          <w:rFonts w:ascii="Arial" w:cs="Arial" w:eastAsia="Arial" w:hAnsi="Arial"/>
          <w:sz w:val="18"/>
          <w:szCs w:val="18"/>
          <w:color w:val="auto"/>
        </w:rPr>
        <w:t>) or a permanent representative (</w:t>
      </w:r>
      <w:r>
        <w:rPr>
          <w:rFonts w:ascii="Arial" w:cs="Arial" w:eastAsia="Arial" w:hAnsi="Arial"/>
          <w:sz w:val="18"/>
          <w:szCs w:val="18"/>
          <w:i w:val="1"/>
          <w:iCs w:val="1"/>
          <w:color w:val="auto"/>
        </w:rPr>
        <w:t>vaste vertegenwoordiger</w:t>
      </w:r>
      <w:r>
        <w:rPr>
          <w:rFonts w:ascii="Arial" w:cs="Arial" w:eastAsia="Arial" w:hAnsi="Arial"/>
          <w:sz w:val="18"/>
          <w:szCs w:val="18"/>
          <w:color w:val="auto"/>
        </w:rPr>
        <w:t>) in the Netherlands, to which the ordinary shares are attributable;</w:t>
      </w:r>
    </w:p>
    <w:p>
      <w:pPr>
        <w:spacing w:after="0" w:line="92"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Non-Dutch Individual derives benefits from miscellaneous activities carried out in the Netherlands in respect of the ordinary shares, including (without limitation) activities which are beyond the scope of active portfolio investment activities;</w:t>
      </w:r>
    </w:p>
    <w:p>
      <w:pPr>
        <w:spacing w:after="0" w:line="75"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Non-Dutch Corporate Entity is entitled to a share in the profits of an enterprise or a co-entitlement to the net worth of an enterprise, other than by way of securities, which enterprise is effectively managed in the Netherlands and to which enterprise the ordinary shares are attributable; or</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Non-Dutch Individual is entitled to a share in the profits of an enterprise, other than by way of securities, which enterprise is effectively managed in the Netherlands and to which enterprise the ordinary shares are attributable.</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Under certain specific circumstances, Dutch taxation rights may be restricted for Non-Dutch Individuals and Non-Dutch Corporate Entities pursuant to treaties for the avoidance of double taxation.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Dutch Gift Tax or Inheritance Tax</w:t>
      </w:r>
    </w:p>
    <w:p>
      <w:pPr>
        <w:spacing w:after="0" w:line="11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No Dutch gift tax or inheritance tax is due in respect of any gift of the ordinary shares by, or inheritance of the ordinary shares on the death of, a shareholder, except if:</w:t>
      </w:r>
    </w:p>
    <w:p>
      <w:pPr>
        <w:spacing w:after="0" w:line="76" w:lineRule="exact"/>
        <w:rPr>
          <w:sz w:val="20"/>
          <w:szCs w:val="20"/>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at the time of the gift or death of the shareholder, the shareholder is resident, or is deemed to be resident, in the Netherlands;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shareholder passes away within 180 days after the date of the gift of the ordinary shares and is not, or not deemed to be, at the time of the gift, but is, or deemed to be resident in the Netherlands at the time of his death; or</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gift of the ordinary shares is made under a condition precedent and the shareholder is resident, or is deemed to be resident, in the Netherlands at the time the condition is fulfilled.</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For purposes of Dutch gift tax or inheritance tax, an individual who is of Dutch nationality will be deemed to be resident in the Netherlands if such individual has been resident in the Netherlands at any time during the 10 years preceding the date of the gift or his death. For purposes of Dutch gift tax, any individual, irrespective of his nationality, be deemed to be resident in the Netherlands if such individual has been resident in the Netherlands at any time during the 12 months preceding the date of the gift. Applicable tax treaties may override deemed residency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 added tax (VAT)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Dutch VAT will be payable by a shareholder in respect of any purchase, ownership and disposal of the ordinary shares.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No other Dutch taxes, including taxes of a documentary nature, such as capital tax, stamp or registration tax or duty, are payable by or on behalf of the shareholder by reason only of the purchase, ownership and disposal of the ordinary shares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Residency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shareholder will not become resident, or deemed resident, in the Netherlands for tax purposes by reason only of holding the ordinary shares.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German Tax Considerations</w:t>
      </w:r>
    </w:p>
    <w:p>
      <w:pPr>
        <w:spacing w:after="0" w:line="121" w:lineRule="exact"/>
        <w:rPr>
          <w:sz w:val="20"/>
          <w:szCs w:val="20"/>
          <w:color w:val="auto"/>
        </w:rPr>
      </w:pPr>
    </w:p>
    <w:p>
      <w:pPr>
        <w:jc w:val="both"/>
        <w:ind w:left="120" w:right="700"/>
        <w:spacing w:after="0" w:line="263" w:lineRule="auto"/>
        <w:rPr>
          <w:sz w:val="20"/>
          <w:szCs w:val="20"/>
          <w:color w:val="auto"/>
        </w:rPr>
      </w:pPr>
      <w:r>
        <w:rPr>
          <w:rFonts w:ascii="Arial" w:cs="Arial" w:eastAsia="Arial" w:hAnsi="Arial"/>
          <w:sz w:val="18"/>
          <w:szCs w:val="18"/>
          <w:color w:val="auto"/>
        </w:rPr>
        <w:t>The following section is a description of the material German tax considerations that become relevant when acquiring, owning and transferring Immatics’ ordinary shares. It is based on the German tax law applicable as of the date of this prospectus without prejudice to any amendments introduced at a later date and implemented with or without retroactive effect.</w:t>
      </w:r>
    </w:p>
    <w:p>
      <w:pPr>
        <w:spacing w:after="0" w:line="184"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This section is intended as general information only and does not purport to be a comprehensive or complete description of all potential German tax effects of the acquisition, ownership or transfer of ordinary shares and does not set forth all German tax considerations that may be relevant to a particular person’s decision to acquire ordinary shares. It does not constitute particular German tax advice and potential purchasers of Immatics’ ordinary shares are urged to consult their own tax advisors regarding the tax consequences of the acquisition, ownership and transfer of ordinary shares in light of their particular circumstances with regard to the application of German tax law to their particular situations, in particular with respect to the procedure to be complied with to obtain a relief of withholding tax on dividends and on capital gains (</w:t>
      </w:r>
      <w:r>
        <w:rPr>
          <w:rFonts w:ascii="Arial" w:cs="Arial" w:eastAsia="Arial" w:hAnsi="Arial"/>
          <w:sz w:val="17"/>
          <w:szCs w:val="17"/>
          <w:i w:val="1"/>
          <w:iCs w:val="1"/>
          <w:color w:val="auto"/>
        </w:rPr>
        <w:t>Kapitalertragsteuer</w:t>
      </w:r>
      <w:r>
        <w:rPr>
          <w:rFonts w:ascii="Arial" w:cs="Arial" w:eastAsia="Arial" w:hAnsi="Arial"/>
          <w:sz w:val="17"/>
          <w:szCs w:val="17"/>
          <w:color w:val="auto"/>
        </w:rPr>
        <w:t>) and with respect to the influence of double tax treaty provisions, as well as any tax consequences arising under the laws of any state, local or other non-German jurisdiction. For German tax purposes, a shareholder may include an individual who or an entity that does not have the legal title to the ordinary shares, but to whom nevertheless the ordinary shares are attributed, based either on such individual or entity owning a beneficial interest in the ordinary shares or based on specific statutory provisions.</w:t>
      </w:r>
    </w:p>
    <w:p>
      <w:pPr>
        <w:spacing w:after="0" w:line="18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All of the following is subject to change. Such changes could apply retroactively and could affect the consequences set forth below. This section does not refer to any foreign account tax compliance act (FATCA) aspects.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tax residency status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Immatics has its statutory seat in the Netherlands and its sole place of management in Germany and is therefore tax resident in Germany (for purposes of the German-Dutch tax treaty). Thus, Immatics qualifies as a corporation subject to German unlimited liability for corporate income tax purposes. However, because Immatics’ tax residency depends on future facts regarding its place of management the German unlimited liability for corporate income tax purposes may change in the future.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tax on dividend payments</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Dividends distributed from Immatics to its shareholders are generally subject to German withholding tax, conditionally upon certain exemptions (for example, repayments of capital from the tax contribution account (</w:t>
      </w:r>
      <w:r>
        <w:rPr>
          <w:rFonts w:ascii="Arial" w:cs="Arial" w:eastAsia="Arial" w:hAnsi="Arial"/>
          <w:sz w:val="16"/>
          <w:szCs w:val="16"/>
          <w:i w:val="1"/>
          <w:iCs w:val="1"/>
          <w:color w:val="auto"/>
        </w:rPr>
        <w:t>steuerliches Einlagekonto</w:t>
      </w:r>
      <w:r>
        <w:rPr>
          <w:rFonts w:ascii="Arial" w:cs="Arial" w:eastAsia="Arial" w:hAnsi="Arial"/>
          <w:sz w:val="16"/>
          <w:szCs w:val="16"/>
          <w:color w:val="auto"/>
        </w:rPr>
        <w:t>)), as further described. The withholding tax rate is 25% plus a 5.5% solidarity surcharge (</w:t>
      </w:r>
      <w:r>
        <w:rPr>
          <w:rFonts w:ascii="Arial" w:cs="Arial" w:eastAsia="Arial" w:hAnsi="Arial"/>
          <w:sz w:val="16"/>
          <w:szCs w:val="16"/>
          <w:i w:val="1"/>
          <w:iCs w:val="1"/>
          <w:color w:val="auto"/>
        </w:rPr>
        <w:t>Solidaritätszuschlag</w:t>
      </w:r>
      <w:r>
        <w:rPr>
          <w:rFonts w:ascii="Arial" w:cs="Arial" w:eastAsia="Arial" w:hAnsi="Arial"/>
          <w:sz w:val="16"/>
          <w:szCs w:val="16"/>
          <w:color w:val="auto"/>
        </w:rPr>
        <w:t>) thereon totaling 26.375% of the gross dividend amount. Withholding tax is to be withheld and passed on for the account of the shareholders by a domestic branch of a domestic or foreign credit or financial services institution (</w:t>
      </w:r>
      <w:r>
        <w:rPr>
          <w:rFonts w:ascii="Arial" w:cs="Arial" w:eastAsia="Arial" w:hAnsi="Arial"/>
          <w:sz w:val="16"/>
          <w:szCs w:val="16"/>
          <w:i w:val="1"/>
          <w:iCs w:val="1"/>
          <w:color w:val="auto"/>
        </w:rPr>
        <w:t>Kredit</w:t>
      </w:r>
      <w:r>
        <w:rPr>
          <w:rFonts w:ascii="Arial" w:cs="Arial" w:eastAsia="Arial" w:hAnsi="Arial"/>
          <w:sz w:val="16"/>
          <w:szCs w:val="16"/>
          <w:color w:val="auto"/>
        </w:rPr>
        <w:t xml:space="preserve">- </w:t>
      </w:r>
      <w:r>
        <w:rPr>
          <w:rFonts w:ascii="Arial" w:cs="Arial" w:eastAsia="Arial" w:hAnsi="Arial"/>
          <w:sz w:val="16"/>
          <w:szCs w:val="16"/>
          <w:i w:val="1"/>
          <w:iCs w:val="1"/>
          <w:color w:val="auto"/>
        </w:rPr>
        <w:t>und</w:t>
      </w:r>
      <w:r>
        <w:rPr>
          <w:rFonts w:ascii="Arial" w:cs="Arial" w:eastAsia="Arial" w:hAnsi="Arial"/>
          <w:sz w:val="16"/>
          <w:szCs w:val="16"/>
          <w:color w:val="auto"/>
        </w:rPr>
        <w:t xml:space="preserve"> </w:t>
      </w:r>
      <w:r>
        <w:rPr>
          <w:rFonts w:ascii="Arial" w:cs="Arial" w:eastAsia="Arial" w:hAnsi="Arial"/>
          <w:sz w:val="16"/>
          <w:szCs w:val="16"/>
          <w:i w:val="1"/>
          <w:iCs w:val="1"/>
          <w:color w:val="auto"/>
        </w:rPr>
        <w:t>Finanzdienstleistungsinstitut</w:t>
      </w:r>
      <w:r>
        <w:rPr>
          <w:rFonts w:ascii="Arial" w:cs="Arial" w:eastAsia="Arial" w:hAnsi="Arial"/>
          <w:sz w:val="16"/>
          <w:szCs w:val="16"/>
          <w:color w:val="auto"/>
        </w:rPr>
        <w:t>), by the domestic securities trading company (</w:t>
      </w:r>
      <w:r>
        <w:rPr>
          <w:rFonts w:ascii="Arial" w:cs="Arial" w:eastAsia="Arial" w:hAnsi="Arial"/>
          <w:sz w:val="16"/>
          <w:szCs w:val="16"/>
          <w:i w:val="1"/>
          <w:iCs w:val="1"/>
          <w:color w:val="auto"/>
        </w:rPr>
        <w:t>inländisches Wertpapierhandelsunternehmen</w:t>
      </w:r>
      <w:r>
        <w:rPr>
          <w:rFonts w:ascii="Arial" w:cs="Arial" w:eastAsia="Arial" w:hAnsi="Arial"/>
          <w:sz w:val="16"/>
          <w:szCs w:val="16"/>
          <w:color w:val="auto"/>
        </w:rPr>
        <w:t>) or a domestic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bank (</w:t>
      </w:r>
      <w:r>
        <w:rPr>
          <w:rFonts w:ascii="Arial" w:cs="Arial" w:eastAsia="Arial" w:hAnsi="Arial"/>
          <w:sz w:val="16"/>
          <w:szCs w:val="16"/>
          <w:i w:val="1"/>
          <w:iCs w:val="1"/>
          <w:color w:val="auto"/>
        </w:rPr>
        <w:t>inländische Wertpapierhandelsbank</w:t>
      </w:r>
      <w:r>
        <w:rPr>
          <w:rFonts w:ascii="Arial" w:cs="Arial" w:eastAsia="Arial" w:hAnsi="Arial"/>
          <w:sz w:val="16"/>
          <w:szCs w:val="16"/>
          <w:color w:val="auto"/>
        </w:rPr>
        <w:t>) which keeps and administers the ordinary shares and disburses or credits the dividends or disburses the dividends to a foreign agent, or by the securities custodian bank (</w:t>
      </w:r>
      <w:r>
        <w:rPr>
          <w:rFonts w:ascii="Arial" w:cs="Arial" w:eastAsia="Arial" w:hAnsi="Arial"/>
          <w:sz w:val="16"/>
          <w:szCs w:val="16"/>
          <w:i w:val="1"/>
          <w:iCs w:val="1"/>
          <w:color w:val="auto"/>
        </w:rPr>
        <w:t>Wertpapiersammelbank</w:t>
      </w:r>
      <w:r>
        <w:rPr>
          <w:rFonts w:ascii="Arial" w:cs="Arial" w:eastAsia="Arial" w:hAnsi="Arial"/>
          <w:sz w:val="16"/>
          <w:szCs w:val="16"/>
          <w:color w:val="auto"/>
        </w:rPr>
        <w:t>) to which the ordinary shares were entrusted for collective custody if the dividends are distributed to a foreign agent by such securities custodian bank (which is referred to as the “</w:t>
      </w:r>
      <w:r>
        <w:rPr>
          <w:rFonts w:ascii="Arial" w:cs="Arial" w:eastAsia="Arial" w:hAnsi="Arial"/>
          <w:sz w:val="16"/>
          <w:szCs w:val="16"/>
          <w:b w:val="1"/>
          <w:bCs w:val="1"/>
          <w:color w:val="auto"/>
        </w:rPr>
        <w:t>Dividend Paying Agent</w:t>
      </w:r>
      <w:r>
        <w:rPr>
          <w:rFonts w:ascii="Arial" w:cs="Arial" w:eastAsia="Arial" w:hAnsi="Arial"/>
          <w:sz w:val="16"/>
          <w:szCs w:val="16"/>
          <w:color w:val="auto"/>
        </w:rPr>
        <w:t>”). In case the ordinary shares are not held in collective deposit with a Dividend Paying Agent, Immatics is responsible for withholding and remitting the tax to the competent tax office. Such withholding tax is levied and withheld irrespective of whether and to what extent the dividend distribution is taxable at the level of the shareholder and whether the shareholder is a person residing in Germany or in a foreign country.</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case of dividends distributed to a company within the meaning of Art. 2 of the amended EU Directive 2011/96/EU of the Council of</w:t>
      </w:r>
    </w:p>
    <w:p>
      <w:pPr>
        <w:spacing w:after="0" w:line="23"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November 30, 2011 (the “</w:t>
      </w:r>
      <w:r>
        <w:rPr>
          <w:rFonts w:ascii="Arial" w:cs="Arial" w:eastAsia="Arial" w:hAnsi="Arial"/>
          <w:sz w:val="17"/>
          <w:szCs w:val="17"/>
          <w:b w:val="1"/>
          <w:bCs w:val="1"/>
          <w:color w:val="auto"/>
        </w:rPr>
        <w:t>EU Parent Subsidiary Directive</w:t>
      </w:r>
      <w:r>
        <w:rPr>
          <w:rFonts w:ascii="Arial" w:cs="Arial" w:eastAsia="Arial" w:hAnsi="Arial"/>
          <w:sz w:val="17"/>
          <w:szCs w:val="17"/>
          <w:color w:val="auto"/>
        </w:rPr>
        <w:t>”) domiciled in another Member State of the European Union, withholding tax is effectively reduced to zero. This also applies to dividends distributed to a permanent establishment located in another Member State of the European Union of such a parent company or of a parent company tax resident in Germany if the participation in Immatics is effectively connected with this permanent establishment. The key prerequisite for the application of the EU Parent Subsidiary Directive is that the shareholder has held a direct participation in the share capital of Immatics of at least 10% for at an uninterrupted period of least one year.</w:t>
      </w:r>
    </w:p>
    <w:p>
      <w:pPr>
        <w:spacing w:after="0" w:line="178"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withholding tax on dividends distributed to other foreign resident shareholders is reduced in accordance with an applicable double tax treaty (to 15%, 5% or 0% depending on certain prerequisites) if Germany has concluded such double tax treaty with the country of residence of the shareholder and if the shareholder does not hold his ordinary shares either as part of the assets of a permanent establishment or a fixed place of business in Germany or as business assets for which a permanent representative has been appointed in Germany. Further, the foreign resident shareholder must be eligible for treaty purposes and no limitation of benefits provision in a double tax treaty and – both in relation to a reduction pursuant to the EU Parent Subsidiary Directive and an applicable tax treaty – no German anti-directive/treaty shopping provision of Section 50d paragraph 3 of the German Income Tax Act (</w:t>
      </w:r>
      <w:r>
        <w:rPr>
          <w:rFonts w:ascii="Arial" w:cs="Arial" w:eastAsia="Arial" w:hAnsi="Arial"/>
          <w:sz w:val="17"/>
          <w:szCs w:val="17"/>
          <w:i w:val="1"/>
          <w:iCs w:val="1"/>
          <w:color w:val="auto"/>
        </w:rPr>
        <w:t>Einkommensteuergesetz</w:t>
      </w:r>
      <w:r>
        <w:rPr>
          <w:rFonts w:ascii="Arial" w:cs="Arial" w:eastAsia="Arial" w:hAnsi="Arial"/>
          <w:sz w:val="17"/>
          <w:szCs w:val="17"/>
          <w:color w:val="auto"/>
        </w:rPr>
        <w:t>) must be applicable.</w:t>
      </w:r>
    </w:p>
    <w:p>
      <w:pPr>
        <w:spacing w:after="0" w:line="17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However, the deduction of withholding taxes will generally apply irrespective of a possible reduction pursuant to the EU Parent Subsidiary Directive or applicable double tax treaty except for the case that the recipient of the dividends has been granted an exemption from the German Federal Central Tax Office (</w:t>
      </w:r>
      <w:r>
        <w:rPr>
          <w:rFonts w:ascii="Arial" w:cs="Arial" w:eastAsia="Arial" w:hAnsi="Arial"/>
          <w:sz w:val="16"/>
          <w:szCs w:val="16"/>
          <w:i w:val="1"/>
          <w:iCs w:val="1"/>
          <w:color w:val="auto"/>
        </w:rPr>
        <w:t>Bundeszentralamt für Steuern</w:t>
      </w:r>
      <w:r>
        <w:rPr>
          <w:rFonts w:ascii="Arial" w:cs="Arial" w:eastAsia="Arial" w:hAnsi="Arial"/>
          <w:sz w:val="16"/>
          <w:szCs w:val="16"/>
          <w:color w:val="auto"/>
        </w:rPr>
        <w:t>) upon formal application by the recipient of the dividends (</w:t>
      </w:r>
      <w:r>
        <w:rPr>
          <w:rFonts w:ascii="Arial" w:cs="Arial" w:eastAsia="Arial" w:hAnsi="Arial"/>
          <w:sz w:val="16"/>
          <w:szCs w:val="16"/>
          <w:i w:val="1"/>
          <w:iCs w:val="1"/>
          <w:color w:val="auto"/>
        </w:rPr>
        <w:t>Freistellung im Steuerabzugsverfahren</w:t>
      </w:r>
      <w:r>
        <w:rPr>
          <w:rFonts w:ascii="Arial" w:cs="Arial" w:eastAsia="Arial" w:hAnsi="Arial"/>
          <w:sz w:val="16"/>
          <w:szCs w:val="16"/>
          <w:color w:val="auto"/>
        </w:rPr>
        <w:t>). In case of deducted withholding taxes, the reduction of the withholding tax pursuant to both the EU Parent Subsidiary Directive and an applicable double tax treaty is procedurally granted in such a manner that the difference between the total amount withheld, including the solidarity surcharge, and the tax liability determined on the basis of the EU Parent Subsidiary Directive (0%) or on the basis of the tax rate set forth in the applicable double tax treaty (15% unless further qualifications are met) is upon request refunded by the German Federal Central Tax Office (</w:t>
      </w:r>
      <w:r>
        <w:rPr>
          <w:rFonts w:ascii="Arial" w:cs="Arial" w:eastAsia="Arial" w:hAnsi="Arial"/>
          <w:sz w:val="16"/>
          <w:szCs w:val="16"/>
          <w:i w:val="1"/>
          <w:iCs w:val="1"/>
          <w:color w:val="auto"/>
        </w:rPr>
        <w:t>Bundeszentralamt für Steuern</w:t>
      </w:r>
      <w:r>
        <w:rPr>
          <w:rFonts w:ascii="Arial" w:cs="Arial" w:eastAsia="Arial" w:hAnsi="Arial"/>
          <w:sz w:val="16"/>
          <w:szCs w:val="16"/>
          <w:color w:val="auto"/>
        </w:rPr>
        <w:t>).</w:t>
      </w:r>
    </w:p>
    <w:p>
      <w:pPr>
        <w:spacing w:after="0" w:line="16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the case of dividends received by corporations who are not tax resident in Germany, two-fifths of the withholding tax deducted and remitted are refunded without the need to fulfill all prerequisites required for such refund under the EU Parent Subsidiary Directive or under a double tax treaty or if no double tax treaty has been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concluded between the state of residence of the shareholder, however, likewise subject to the conditions of the German anti-directive/treaty shopping provision.</w:t>
      </w:r>
    </w:p>
    <w:p>
      <w:pPr>
        <w:spacing w:after="0" w:line="170" w:lineRule="exact"/>
        <w:rPr>
          <w:sz w:val="20"/>
          <w:szCs w:val="20"/>
          <w:color w:val="auto"/>
        </w:rPr>
      </w:pPr>
    </w:p>
    <w:p>
      <w:pPr>
        <w:ind w:left="120" w:right="460"/>
        <w:spacing w:after="0" w:line="259" w:lineRule="auto"/>
        <w:rPr>
          <w:sz w:val="20"/>
          <w:szCs w:val="20"/>
          <w:color w:val="auto"/>
        </w:rPr>
      </w:pPr>
      <w:r>
        <w:rPr>
          <w:rFonts w:ascii="Arial" w:cs="Arial" w:eastAsia="Arial" w:hAnsi="Arial"/>
          <w:sz w:val="18"/>
          <w:szCs w:val="18"/>
          <w:color w:val="auto"/>
        </w:rPr>
        <w:t>In order to receive a refund pursuant to a double tax treaty or the aforementioned option for foreign corporations, the shareholder has to submit a completed form for refund (available at the website of the Federal Central Tax Office (http://www.bzst.de) as well as at the German embassies and consulates) together with a withholding tax certificate (</w:t>
      </w:r>
      <w:r>
        <w:rPr>
          <w:rFonts w:ascii="Arial" w:cs="Arial" w:eastAsia="Arial" w:hAnsi="Arial"/>
          <w:sz w:val="18"/>
          <w:szCs w:val="18"/>
          <w:i w:val="1"/>
          <w:iCs w:val="1"/>
          <w:color w:val="auto"/>
        </w:rPr>
        <w:t>Kapitalertragsteuerbescheinigung</w:t>
      </w:r>
      <w:r>
        <w:rPr>
          <w:rFonts w:ascii="Arial" w:cs="Arial" w:eastAsia="Arial" w:hAnsi="Arial"/>
          <w:sz w:val="18"/>
          <w:szCs w:val="18"/>
          <w:color w:val="auto"/>
        </w:rPr>
        <w:t>) issued by the institution that deducted the respective withholding tax.</w:t>
      </w:r>
    </w:p>
    <w:p>
      <w:pPr>
        <w:spacing w:after="0" w:line="18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aforementioned reductions of (or exemptions from) withholding tax are further restricted if (i) the applicable double tax treaty provides for a tax reduction resulting in an applicable tax rate of less than 15% and (ii) the shareholder is not a corporation that directly holds at least 10% in the equity capital of Immatics and is subject to tax on its income and profits in its state of residence without being exempt. In this case, the reduction of (or exemption from) withholding tax is subject to the following three cumulative prerequisites: (i) the shareholder must qualify as beneficial owner of the shares in a company for a minimum holding period of 45 consecutive days occurring within a period of 45 days prior and 45 days after the due date of the dividends, (ii) the shareholder has to bear at least 70 % of the change in value risk related to the shares in a company during the minimum holding period without being directly or indirectly hedged, and (iii) the shareholder must not be required to fully or largely compensate directly or indirectly the dividends to third parties.</w:t>
      </w:r>
    </w:p>
    <w:p>
      <w:pPr>
        <w:spacing w:after="0" w:line="192" w:lineRule="exact"/>
        <w:rPr>
          <w:sz w:val="20"/>
          <w:szCs w:val="20"/>
          <w:color w:val="auto"/>
        </w:rPr>
      </w:pPr>
    </w:p>
    <w:p>
      <w:pPr>
        <w:ind w:left="120" w:right="520"/>
        <w:spacing w:after="0" w:line="275" w:lineRule="auto"/>
        <w:rPr>
          <w:sz w:val="20"/>
          <w:szCs w:val="20"/>
          <w:color w:val="auto"/>
        </w:rPr>
      </w:pPr>
      <w:r>
        <w:rPr>
          <w:rFonts w:ascii="Arial" w:cs="Arial" w:eastAsia="Arial" w:hAnsi="Arial"/>
          <w:sz w:val="17"/>
          <w:szCs w:val="17"/>
          <w:color w:val="auto"/>
        </w:rPr>
        <w:t>In the absence of the fulfillment of all of the three prerequisites, three fifths of the withholding tax imposed on the dividends must not be credited against the shareholder’s (corporate) income tax liability, but may, upon application, be deducted from the shareholder’s tax base for the relevant assessment period. Furthermore, a shareholder that has received gross dividends without any deduction of withholding tax due to a tax exemption without qualifying for such a full tax credit has (i) to notify the competent local tax office accordingly, (ii) to declare according to the officially prescribed form and (iii) has to make a payment in the amount of the omitted withholding tax deduction.</w:t>
      </w:r>
    </w:p>
    <w:p>
      <w:pPr>
        <w:spacing w:after="0" w:line="176"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However, these special rules on the restriction of withholding tax credit do not apply to a shareholder whose overall dividend earnings within an assessment period do not exceed €20,000 or that has been the beneficial owner of the shares in a company for at least one uninterrupted year upon receipt of the dividends.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individual or corporate shareholders tax resident outside Germany not holding the ordinary shares through a permanent establishment</w:t>
      </w:r>
    </w:p>
    <w:p>
      <w:pPr>
        <w:spacing w:after="0" w:line="23"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Betriebsstätte</w:t>
      </w:r>
      <w:r>
        <w:rPr>
          <w:rFonts w:ascii="Arial" w:cs="Arial" w:eastAsia="Arial" w:hAnsi="Arial"/>
          <w:sz w:val="17"/>
          <w:szCs w:val="17"/>
          <w:color w:val="auto"/>
        </w:rPr>
        <w:t>) in Germany or as business assets (</w:t>
      </w:r>
      <w:r>
        <w:rPr>
          <w:rFonts w:ascii="Arial" w:cs="Arial" w:eastAsia="Arial" w:hAnsi="Arial"/>
          <w:sz w:val="17"/>
          <w:szCs w:val="17"/>
          <w:i w:val="1"/>
          <w:iCs w:val="1"/>
          <w:color w:val="auto"/>
        </w:rPr>
        <w:t>Betriebsvermögen</w:t>
      </w:r>
      <w:r>
        <w:rPr>
          <w:rFonts w:ascii="Arial" w:cs="Arial" w:eastAsia="Arial" w:hAnsi="Arial"/>
          <w:sz w:val="17"/>
          <w:szCs w:val="17"/>
          <w:color w:val="auto"/>
        </w:rPr>
        <w:t>) for which a permanent representative (</w:t>
      </w:r>
      <w:r>
        <w:rPr>
          <w:rFonts w:ascii="Arial" w:cs="Arial" w:eastAsia="Arial" w:hAnsi="Arial"/>
          <w:sz w:val="17"/>
          <w:szCs w:val="17"/>
          <w:i w:val="1"/>
          <w:iCs w:val="1"/>
          <w:color w:val="auto"/>
        </w:rPr>
        <w:t>ständiger Vertreter</w:t>
      </w:r>
      <w:r>
        <w:rPr>
          <w:rFonts w:ascii="Arial" w:cs="Arial" w:eastAsia="Arial" w:hAnsi="Arial"/>
          <w:sz w:val="17"/>
          <w:szCs w:val="17"/>
          <w:color w:val="auto"/>
        </w:rPr>
        <w:t>) has been appointed in Germany, the remaining and paid withholding tax (if any) is then final (i.e., not refundable) and settles the shareholder’s limited tax liability in Germany. For individual or corporate shareholders tax resident in Germany (for example, those shareholders whose residence, domicile, registered office or place of management is located in Germany) holding their ordinary shares as business assets, as well as for shareholders tax resident outside of Germany holding their ordinary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is refunded. For individual shareholders tax resident in Germany holding Immatics’ ordinary shares as private assets, the withholding tax is a final tax (</w:t>
      </w:r>
      <w:r>
        <w:rPr>
          <w:rFonts w:ascii="Arial" w:cs="Arial" w:eastAsia="Arial" w:hAnsi="Arial"/>
          <w:sz w:val="17"/>
          <w:szCs w:val="17"/>
          <w:i w:val="1"/>
          <w:iCs w:val="1"/>
          <w:color w:val="auto"/>
        </w:rPr>
        <w:t>Abgeltungsteuer</w:t>
      </w:r>
      <w:r>
        <w:rPr>
          <w:rFonts w:ascii="Arial" w:cs="Arial" w:eastAsia="Arial" w:hAnsi="Arial"/>
          <w:sz w:val="17"/>
          <w:szCs w:val="17"/>
          <w:color w:val="auto"/>
        </w:rPr>
        <w:t>), subject to the exceptions described in the following section.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Taxation of dividend income of shareholders tax resident in Germany holding Immatics’ ordinary shares as private assets (private individuals)</w:t>
      </w:r>
    </w:p>
    <w:p>
      <w:pPr>
        <w:spacing w:after="0" w:line="12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For individual shareholders (individuals) resident in Germany holding Immatics’ ordinary shares as private assets, dividends are subject to a flat rate tax which is satisfied by the withholding tax actually withheld (</w:t>
      </w:r>
      <w:r>
        <w:rPr>
          <w:rFonts w:ascii="Arial" w:cs="Arial" w:eastAsia="Arial" w:hAnsi="Arial"/>
          <w:sz w:val="18"/>
          <w:szCs w:val="18"/>
          <w:i w:val="1"/>
          <w:iCs w:val="1"/>
          <w:color w:val="auto"/>
        </w:rPr>
        <w:t>Abgeltungsteuer</w:t>
      </w:r>
      <w:r>
        <w:rPr>
          <w:rFonts w:ascii="Arial" w:cs="Arial" w:eastAsia="Arial" w:hAnsi="Arial"/>
          <w:sz w:val="18"/>
          <w:szCs w:val="18"/>
          <w:color w:val="auto"/>
        </w:rPr>
        <w:t>). Accordingly, dividend income will be taxed at a flat tax rate of 25% plus 5.5% solidarity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surcharge thereon totaling 26.375% and church tax (</w:t>
      </w:r>
      <w:r>
        <w:rPr>
          <w:rFonts w:ascii="Arial" w:cs="Arial" w:eastAsia="Arial" w:hAnsi="Arial"/>
          <w:sz w:val="17"/>
          <w:szCs w:val="17"/>
          <w:i w:val="1"/>
          <w:iCs w:val="1"/>
          <w:color w:val="auto"/>
        </w:rPr>
        <w:t>Kirchensteuer</w:t>
      </w:r>
      <w:r>
        <w:rPr>
          <w:rFonts w:ascii="Arial" w:cs="Arial" w:eastAsia="Arial" w:hAnsi="Arial"/>
          <w:sz w:val="17"/>
          <w:szCs w:val="17"/>
          <w:color w:val="auto"/>
        </w:rPr>
        <w:t>) in case the shareholder is subject to church tax because of his personal circumstances. An automatic procedure for deduction of church tax by way of withholding will apply to shareholders being subject to church tax unless the shareholder has filed a blocking notice (</w:t>
      </w:r>
      <w:r>
        <w:rPr>
          <w:rFonts w:ascii="Arial" w:cs="Arial" w:eastAsia="Arial" w:hAnsi="Arial"/>
          <w:sz w:val="17"/>
          <w:szCs w:val="17"/>
          <w:i w:val="1"/>
          <w:iCs w:val="1"/>
          <w:color w:val="auto"/>
        </w:rPr>
        <w:t>Sperrvermerk</w:t>
      </w:r>
      <w:r>
        <w:rPr>
          <w:rFonts w:ascii="Arial" w:cs="Arial" w:eastAsia="Arial" w:hAnsi="Arial"/>
          <w:sz w:val="17"/>
          <w:szCs w:val="17"/>
          <w:color w:val="auto"/>
        </w:rPr>
        <w:t>) with the German Federal Tax Office (details related to the computation of the specific tax rate including church tax are to be discussed with the individual tax advisor of the relevant shareholder). Except for an annual lump sum savings allowance (</w:t>
      </w:r>
      <w:r>
        <w:rPr>
          <w:rFonts w:ascii="Arial" w:cs="Arial" w:eastAsia="Arial" w:hAnsi="Arial"/>
          <w:sz w:val="17"/>
          <w:szCs w:val="17"/>
          <w:i w:val="1"/>
          <w:iCs w:val="1"/>
          <w:color w:val="auto"/>
        </w:rPr>
        <w:t>Sparer-Pauschbetrag</w:t>
      </w:r>
      <w:r>
        <w:rPr>
          <w:rFonts w:ascii="Arial" w:cs="Arial" w:eastAsia="Arial" w:hAnsi="Arial"/>
          <w:sz w:val="17"/>
          <w:szCs w:val="17"/>
          <w:color w:val="auto"/>
        </w:rPr>
        <w:t>) of up to €801 (for individual filers) or up to €1,602 (for married couples and for partners in accordance with the registered partnership law (</w:t>
      </w:r>
      <w:r>
        <w:rPr>
          <w:rFonts w:ascii="Arial" w:cs="Arial" w:eastAsia="Arial" w:hAnsi="Arial"/>
          <w:sz w:val="17"/>
          <w:szCs w:val="17"/>
          <w:i w:val="1"/>
          <w:iCs w:val="1"/>
          <w:color w:val="auto"/>
        </w:rPr>
        <w:t>Gesetz über die Eingetragene Lebenspartnerschaft</w:t>
      </w:r>
      <w:r>
        <w:rPr>
          <w:rFonts w:ascii="Arial" w:cs="Arial" w:eastAsia="Arial" w:hAnsi="Arial"/>
          <w:sz w:val="17"/>
          <w:szCs w:val="17"/>
          <w:color w:val="auto"/>
        </w:rPr>
        <w:t>) filing jointly), private individual shareholders will not be entitled to deduct expenses incurred in connection with the capital investment from their dividend income.</w:t>
      </w:r>
    </w:p>
    <w:p>
      <w:pPr>
        <w:spacing w:after="0" w:line="17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income tax owed for the dividend income is satisfied by the withholding tax withheld by the Dividend Paying Agent. However, if the flat tax results in a higher tax burden as opposed to the private individual shareholder’s personal income tax rate, the private individual shareholder can opt for taxation at his personal income tax rate. In that case, the final withholding tax will be credited against the income tax. The option can be exercised only for all capital income from capital investments received in the relevant assessment period uniformly and married couples as well as partners in accordance with the registered partnership law filing jointly may only jointly exercise the option.</w:t>
      </w:r>
    </w:p>
    <w:p>
      <w:pPr>
        <w:spacing w:after="0" w:line="188"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 xml:space="preserve">Exceptions from the flat rate tax (satisfied by withholding the tax at source, </w:t>
      </w:r>
      <w:r>
        <w:rPr>
          <w:rFonts w:ascii="Arial" w:cs="Arial" w:eastAsia="Arial" w:hAnsi="Arial"/>
          <w:sz w:val="17"/>
          <w:szCs w:val="17"/>
          <w:i w:val="1"/>
          <w:iCs w:val="1"/>
          <w:color w:val="auto"/>
        </w:rPr>
        <w:t>Abgeltungswirkung</w:t>
      </w:r>
      <w:r>
        <w:rPr>
          <w:rFonts w:ascii="Arial" w:cs="Arial" w:eastAsia="Arial" w:hAnsi="Arial"/>
          <w:sz w:val="17"/>
          <w:szCs w:val="17"/>
          <w:color w:val="auto"/>
        </w:rPr>
        <w:t>) may apply – that is, only upon application – for shareholders who have a shareholding of at least 25% in Immatics and for shareholders who have a shareholding of at least 1% in Immatics and work for a company in a professional capacity. In such a case, the same rules apply as for sole proprietors holding the ordinary shares as business assets (see below “Taxation of dividend income of shareholders tax resident in Germany holding the company’s ordinary shares as business assets – Sole proprietors”). Further, the flat rate tax does not apply if and to the extent dividends reduced Immatics taxable income.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dividend income of shareholders tax resident in Germany holding Immatics’ ordinary shares as business assets</w:t>
      </w:r>
    </w:p>
    <w:p>
      <w:pPr>
        <w:spacing w:after="0" w:line="117"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If a shareholder holds the Immatics’ ordinary shares as business assets, the taxation of the dividend income depends on whether the respective shareholder is a corporation, a sole proprietor or a partnership.</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Corporations</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Dividend income of corporate shareholders is exempt from corporate income tax, provided that the corporation holds a direct participation of at least 10% in the share capital of a company at the beginning of the calendar year in which the dividends are paid (participation exemption). The acquisition of a participation of at least 10% in the course of a calendar year is deemed to have occurred at the beginning of such calendar year. Participations in the share capital of the company which a corporate shareholder holds through a partnership, including co-entrepreneurships (</w:t>
      </w:r>
      <w:r>
        <w:rPr>
          <w:rFonts w:ascii="Arial" w:cs="Arial" w:eastAsia="Arial" w:hAnsi="Arial"/>
          <w:sz w:val="18"/>
          <w:szCs w:val="18"/>
          <w:i w:val="1"/>
          <w:iCs w:val="1"/>
          <w:color w:val="auto"/>
        </w:rPr>
        <w:t>Mitunternehmerschaften</w:t>
      </w:r>
      <w:r>
        <w:rPr>
          <w:rFonts w:ascii="Arial" w:cs="Arial" w:eastAsia="Arial" w:hAnsi="Arial"/>
          <w:sz w:val="18"/>
          <w:szCs w:val="18"/>
          <w:color w:val="auto"/>
        </w:rPr>
        <w:t>),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effectively subject to corporate income tax (plus solidarity surcharge) and trade tax; i.e. tax exemption of 95%. Business expenses incurred in connection with the dividends received are entirely tax deductible. The participation exemption does not apply if and to the extent dividends reduced Immatics taxable income.</w:t>
      </w:r>
    </w:p>
    <w:p>
      <w:pPr>
        <w:spacing w:after="0" w:line="196"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For trade tax purposes the entire dividend income is subject to trade tax (i.e. the tax-exempt dividends must be added back when determining the trade taxable income), unless the corporation shareholder holds at least 15% of the company’s registered share capital at the beginning of the relevant tax assessment period (</w:t>
      </w:r>
      <w:r>
        <w:rPr>
          <w:rFonts w:ascii="Arial" w:cs="Arial" w:eastAsia="Arial" w:hAnsi="Arial"/>
          <w:sz w:val="16"/>
          <w:szCs w:val="16"/>
          <w:i w:val="1"/>
          <w:iCs w:val="1"/>
          <w:color w:val="auto"/>
        </w:rPr>
        <w:t>Erhebungszeitraum</w:t>
      </w:r>
      <w:r>
        <w:rPr>
          <w:rFonts w:ascii="Arial" w:cs="Arial" w:eastAsia="Arial" w:hAnsi="Arial"/>
          <w:sz w:val="16"/>
          <w:szCs w:val="16"/>
          <w:color w:val="auto"/>
        </w:rPr>
        <w:t>). In case of an indirect participation via a partnership please refer to the section “Partnerships” below.</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If the shareholding is below 10% in the share capital, dividends are taxable at the applicable corporate income tax rate of 15% plus 5.5% solidarity surcharge thereon and trade tax (the rate of which depends on the applicably municipality levy rate determined by the municipality the corporate shareholder has its place of management and permanent establishments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Special regulations apply which abolish the 95% tax exemption, if the company’s ordinary shares are held as trading portfolio assets in the meaning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340e of the German Commercial Code (</w:t>
      </w:r>
      <w:r>
        <w:rPr>
          <w:rFonts w:ascii="Arial" w:cs="Arial" w:eastAsia="Arial" w:hAnsi="Arial"/>
          <w:sz w:val="17"/>
          <w:szCs w:val="17"/>
          <w:i w:val="1"/>
          <w:iCs w:val="1"/>
          <w:color w:val="auto"/>
        </w:rPr>
        <w:t>Handelsgesetzbuch</w:t>
      </w:r>
      <w:r>
        <w:rPr>
          <w:rFonts w:ascii="Arial" w:cs="Arial" w:eastAsia="Arial" w:hAnsi="Arial"/>
          <w:sz w:val="17"/>
          <w:szCs w:val="17"/>
          <w:color w:val="auto"/>
        </w:rPr>
        <w:t>) by (i) a credit institution (</w:t>
      </w:r>
      <w:r>
        <w:rPr>
          <w:rFonts w:ascii="Arial" w:cs="Arial" w:eastAsia="Arial" w:hAnsi="Arial"/>
          <w:sz w:val="17"/>
          <w:szCs w:val="17"/>
          <w:i w:val="1"/>
          <w:iCs w:val="1"/>
          <w:color w:val="auto"/>
        </w:rPr>
        <w:t>Kreditinstitut</w:t>
      </w:r>
      <w:r>
        <w:rPr>
          <w:rFonts w:ascii="Arial" w:cs="Arial" w:eastAsia="Arial" w:hAnsi="Arial"/>
          <w:sz w:val="17"/>
          <w:szCs w:val="17"/>
          <w:color w:val="auto"/>
        </w:rPr>
        <w:t>), (ii) a financial service institution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Finanzdienstleistungsinstitut</w:t>
      </w:r>
      <w:r>
        <w:rPr>
          <w:rFonts w:ascii="Arial" w:cs="Arial" w:eastAsia="Arial" w:hAnsi="Arial"/>
          <w:sz w:val="16"/>
          <w:szCs w:val="16"/>
          <w:color w:val="auto"/>
        </w:rPr>
        <w:t>) or (iii) a financial enterprise within the meaning of the German Banking Act (</w:t>
      </w:r>
      <w:r>
        <w:rPr>
          <w:rFonts w:ascii="Arial" w:cs="Arial" w:eastAsia="Arial" w:hAnsi="Arial"/>
          <w:sz w:val="16"/>
          <w:szCs w:val="16"/>
          <w:i w:val="1"/>
          <w:iCs w:val="1"/>
          <w:color w:val="auto"/>
        </w:rPr>
        <w:t>Kreditwesengesetz</w:t>
      </w:r>
      <w:r>
        <w:rPr>
          <w:rFonts w:ascii="Arial" w:cs="Arial" w:eastAsia="Arial" w:hAnsi="Arial"/>
          <w:sz w:val="16"/>
          <w:szCs w:val="16"/>
          <w:color w:val="auto"/>
        </w:rPr>
        <w:t>), in case more than 50%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the shares of such financial enterprise are held directly or indirectly by a credit institution or a financial service institution, as well as by a life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insurance company, a health insurance company or a pension fund in case the shares are attributable to the capital investments, resulting in fully taxable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Sole proprietors</w:t>
      </w:r>
    </w:p>
    <w:p>
      <w:pPr>
        <w:spacing w:after="0" w:line="11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For sole proprietors (individuals) resident in Germany holding ordinary shares as business assets dividends are subject to the partial income rule (</w:t>
      </w:r>
      <w:r>
        <w:rPr>
          <w:rFonts w:ascii="Arial" w:cs="Arial" w:eastAsia="Arial" w:hAnsi="Arial"/>
          <w:sz w:val="17"/>
          <w:szCs w:val="17"/>
          <w:i w:val="1"/>
          <w:iCs w:val="1"/>
          <w:color w:val="auto"/>
        </w:rPr>
        <w:t>Teileinkünfteverfahren</w:t>
      </w:r>
      <w:r>
        <w:rPr>
          <w:rFonts w:ascii="Arial" w:cs="Arial" w:eastAsia="Arial" w:hAnsi="Arial"/>
          <w:sz w:val="17"/>
          <w:szCs w:val="17"/>
          <w:color w:val="auto"/>
        </w:rPr>
        <w:t>). Accordingly, only (i) 60% of the dividend income will be taxed at his/her personal income tax rate plus 5.5% solidarity surcharge thereon and church tax (if applicable) and (ii) 60% of the business expenses related to the dividend income are deductible for tax purposes. In addition, the dividend income is entirely subject to trade tax if the ordinary shares are held as business assets of a permanent establishment in Germany within the meaning of the German Trade Tax Act (</w:t>
      </w:r>
      <w:r>
        <w:rPr>
          <w:rFonts w:ascii="Arial" w:cs="Arial" w:eastAsia="Arial" w:hAnsi="Arial"/>
          <w:sz w:val="17"/>
          <w:szCs w:val="17"/>
          <w:i w:val="1"/>
          <w:iCs w:val="1"/>
          <w:color w:val="auto"/>
        </w:rPr>
        <w:t>Gewerbesteuergesetz</w:t>
      </w:r>
      <w:r>
        <w:rPr>
          <w:rFonts w:ascii="Arial" w:cs="Arial" w:eastAsia="Arial" w:hAnsi="Arial"/>
          <w:sz w:val="17"/>
          <w:szCs w:val="17"/>
          <w:color w:val="auto"/>
        </w:rPr>
        <w:t>), unless the shareholder holds at least 15% of the company’s registered share capital at the beginning of the relevant assessment period. The trade tax levied will be eligible for credit against the shareholder’s personal income tax liability based on the applicable municipal trade tax rate and the individual tax situation of the shareholder limited to currently 4.0 times the trade tax measurement amount (</w:t>
      </w:r>
      <w:r>
        <w:rPr>
          <w:rFonts w:ascii="Arial" w:cs="Arial" w:eastAsia="Arial" w:hAnsi="Arial"/>
          <w:sz w:val="17"/>
          <w:szCs w:val="17"/>
          <w:i w:val="1"/>
          <w:iCs w:val="1"/>
          <w:color w:val="auto"/>
        </w:rPr>
        <w:t>Gewerbesteuer-Messbetrag</w:t>
      </w:r>
      <w:r>
        <w:rPr>
          <w:rFonts w:ascii="Arial" w:cs="Arial" w:eastAsia="Arial" w:hAnsi="Arial"/>
          <w:sz w:val="17"/>
          <w:szCs w:val="17"/>
          <w:color w:val="auto"/>
        </w:rPr>
        <w:t>). As from 2021 onwards the solidarity surcharge likely will be abolished in case a certain income threshold is not exceeded.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Partnerships</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In case ordinary shares are held by a partnership, the partnership itself is not subject to corporate income tax or personal income tax. In this regard, corporate income tax or personal income tax (and church tax, if applicable) as well as solidarity surcharge are levied only at the level of the partner with respect to their relevant part of the partnership’s taxable income and depending on their individual circumstances:</w:t>
      </w:r>
    </w:p>
    <w:p>
      <w:pPr>
        <w:spacing w:after="0" w:line="71" w:lineRule="exact"/>
        <w:rPr>
          <w:sz w:val="20"/>
          <w:szCs w:val="20"/>
          <w:color w:val="auto"/>
        </w:rPr>
      </w:pPr>
    </w:p>
    <w:p>
      <w:pPr>
        <w:ind w:left="1080" w:right="88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partner is a corporation, the dividend income will be subject to corporate income tax plus solidarity surcharge (see above “Corporations”);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partner is a sole proprietor, the dividend income will be subject to the partial income rule (see above “Sole proprietors”);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partner is a private individual, the dividend income will be subject to the flat tax rate (see above “private individuals”).</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case the partnership is a (operative or deemed) commercial partnership with its place of management in Germany the dividend income is subject to German trade tax at the level of the partnership, unless the partnership holds at least 15% of a company’s registered share capital at the beginning of the relevant assessment period, in which case the dividend income is exempt from trade tax.</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dividend income of shareholders tax resident outside of Germany</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For foreign individual or corporate shareholders tax resident outside of Germany not holding the ordinary shares through a permanent establishment in Germany or as business assets for which a permanent representative has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080"/>
          </w:cols>
          <w:pgMar w:left="320" w:top="459"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been appointed in Germany, the deducted withholding tax (possibly reduced by way of a tax relief under a double tax treaty or domestic tax law, such as in connection with the EU Parent Subsidiary Directive) is final (that is, not refundable) and settles the shareholder’s limited tax liability in Germany, unless the shareholder is entitled to apply for a withholding tax refund or exemption.</w:t>
      </w:r>
    </w:p>
    <w:p>
      <w:pPr>
        <w:spacing w:after="0" w:line="184"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In contrast, individual or corporate shareholders tax resident outside of Germany holding the company’s ordinary shares through a permanent establishment in Germany or as business assets for which a permanent representative has been appointed in Germany are subject to the same rules as applicable (and described above) to shareholders resident in Germany holding the ordinary shares as business assets. The withholding tax withheld (including solidarity surcharge) is credited against the shareholder’s personal income tax or corporate income tax liability in Germany.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capital gains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tax on capital gains</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Capital gains realized on the disposal of ordinary shares are only subject to withholding tax if (i) a permanent establishment in Germany of a German or foreign credit or financial institution, (ii) a German securities trading company or (iii) a German securities trading bank stores or administrates or carries out the disposal of the ordinary shares and pays or credits the capital gains. In those cases, the institution (and not the company) is required to deduct the withholding tax at the time of payment for the account of the shareholder and has to pay the withholding tax to the competent tax authority.</w:t>
      </w:r>
    </w:p>
    <w:p>
      <w:pPr>
        <w:spacing w:after="0" w:line="15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case the ordinary shares in the company are held (i) as business assets by a sole proprietor, a partnership or a corporation and such shares are attributable to a German business or (ii) in case of a corporation being subject to unlimited corporate income tax liability in Germany, the capital gains are not subject to withholding tax. In case of the aforementioned exemption under (i) the withholding tax exemption is subject to the condition that the paying agent has been notified by the beneficiary (</w:t>
      </w:r>
      <w:r>
        <w:rPr>
          <w:rFonts w:ascii="Arial" w:cs="Arial" w:eastAsia="Arial" w:hAnsi="Arial"/>
          <w:sz w:val="18"/>
          <w:szCs w:val="18"/>
          <w:i w:val="1"/>
          <w:iCs w:val="1"/>
          <w:color w:val="auto"/>
        </w:rPr>
        <w:t>Gläubiger</w:t>
      </w:r>
      <w:r>
        <w:rPr>
          <w:rFonts w:ascii="Arial" w:cs="Arial" w:eastAsia="Arial" w:hAnsi="Arial"/>
          <w:sz w:val="18"/>
          <w:szCs w:val="18"/>
          <w:color w:val="auto"/>
        </w:rPr>
        <w:t>) that the capital gains are exempt from withholding tax. The respective notification has to be filed by using the officially prescribed form.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Taxation of capital gains realized by shareholders tax resident in Germany holding Immatics’ ordinary shares as private assets (private individuals)</w:t>
      </w:r>
    </w:p>
    <w:p>
      <w:pPr>
        <w:spacing w:after="0" w:line="12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For individual shareholders (individuals) resident in Germany holding ordinary shares as private assets, capital gains realized on the disposal of ordinary shares are subject to final withholding tax (</w:t>
      </w:r>
      <w:r>
        <w:rPr>
          <w:rFonts w:ascii="Arial" w:cs="Arial" w:eastAsia="Arial" w:hAnsi="Arial"/>
          <w:sz w:val="16"/>
          <w:szCs w:val="16"/>
          <w:i w:val="1"/>
          <w:iCs w:val="1"/>
          <w:color w:val="auto"/>
        </w:rPr>
        <w:t>Abgeltungsteuer</w:t>
      </w:r>
      <w:r>
        <w:rPr>
          <w:rFonts w:ascii="Arial" w:cs="Arial" w:eastAsia="Arial" w:hAnsi="Arial"/>
          <w:sz w:val="16"/>
          <w:szCs w:val="16"/>
          <w:color w:val="auto"/>
        </w:rPr>
        <w:t>). Accordingly, capital gains will be taxed at a flat tax rate of 25% plus 5.5% solidarity surcharge thereon totaling 26.375% and church tax, in case the shareholder is subject to church tax because of his personal circumstances. An automatic procedure for deduction of church tax by way of withholding will apply to shareholders being subject to church tax unless the shareholder has filed a blocking notice (</w:t>
      </w:r>
      <w:r>
        <w:rPr>
          <w:rFonts w:ascii="Arial" w:cs="Arial" w:eastAsia="Arial" w:hAnsi="Arial"/>
          <w:sz w:val="16"/>
          <w:szCs w:val="16"/>
          <w:i w:val="1"/>
          <w:iCs w:val="1"/>
          <w:color w:val="auto"/>
        </w:rPr>
        <w:t>Sperrvermerk</w:t>
      </w:r>
      <w:r>
        <w:rPr>
          <w:rFonts w:ascii="Arial" w:cs="Arial" w:eastAsia="Arial" w:hAnsi="Arial"/>
          <w:sz w:val="16"/>
          <w:szCs w:val="16"/>
          <w:color w:val="auto"/>
        </w:rPr>
        <w:t>) with the German Federal Central Tax Office (details related to the computation of the specific tax rate including church tax are to be discussed with the personal tax advisor of the relevant shareholder). The taxable capital gain is calculated by deducting the acquisition costs of the ordinary shares and the expenses directly and materially related to the disposal from the proceeds of the disposal. Apart from that, except for an annual lump sum savings allowance (</w:t>
      </w:r>
      <w:r>
        <w:rPr>
          <w:rFonts w:ascii="Arial" w:cs="Arial" w:eastAsia="Arial" w:hAnsi="Arial"/>
          <w:sz w:val="16"/>
          <w:szCs w:val="16"/>
          <w:i w:val="1"/>
          <w:iCs w:val="1"/>
          <w:color w:val="auto"/>
        </w:rPr>
        <w:t>Sparer- Pauschbetrag</w:t>
      </w:r>
      <w:r>
        <w:rPr>
          <w:rFonts w:ascii="Arial" w:cs="Arial" w:eastAsia="Arial" w:hAnsi="Arial"/>
          <w:sz w:val="16"/>
          <w:szCs w:val="16"/>
          <w:color w:val="auto"/>
        </w:rPr>
        <w:t>) of up to €801 (for individual filers) or up to €1,602 (for married couples and for partners in accordance with the registered partnership law (</w:t>
      </w:r>
      <w:r>
        <w:rPr>
          <w:rFonts w:ascii="Arial" w:cs="Arial" w:eastAsia="Arial" w:hAnsi="Arial"/>
          <w:sz w:val="16"/>
          <w:szCs w:val="16"/>
          <w:i w:val="1"/>
          <w:iCs w:val="1"/>
          <w:color w:val="auto"/>
        </w:rPr>
        <w:t>Gesetz über die Eingetragene Lebenspartnerschaft</w:t>
      </w:r>
      <w:r>
        <w:rPr>
          <w:rFonts w:ascii="Arial" w:cs="Arial" w:eastAsia="Arial" w:hAnsi="Arial"/>
          <w:sz w:val="16"/>
          <w:szCs w:val="16"/>
          <w:color w:val="auto"/>
        </w:rPr>
        <w:t>) filing jointly), private individual shareholders will not be entitled to deduct expenses incurred in connection with the capital investment from their capital gain.</w:t>
      </w:r>
    </w:p>
    <w:p>
      <w:pPr>
        <w:spacing w:after="0" w:line="168"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In case the flat tax results in a higher tax burden as opposed to the private individual shareholder’s personal income tax rate the private individual shareholder can opt for taxation at his personal income tax rate. In that case, the withholding tax (including solidarity surcharge) withheld will be credited against the income tax.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Capital losses arising from the disposal of the ordinary shares can only be offset against other capital gains resulting from the disposition of the ordinary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disposal of ordinary shares in stock corporations in future years.</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final withholding tax (</w:t>
      </w:r>
      <w:r>
        <w:rPr>
          <w:rFonts w:ascii="Arial" w:cs="Arial" w:eastAsia="Arial" w:hAnsi="Arial"/>
          <w:sz w:val="18"/>
          <w:szCs w:val="18"/>
          <w:i w:val="1"/>
          <w:iCs w:val="1"/>
          <w:color w:val="auto"/>
        </w:rPr>
        <w:t>Abgeltungsteuer</w:t>
      </w:r>
      <w:r>
        <w:rPr>
          <w:rFonts w:ascii="Arial" w:cs="Arial" w:eastAsia="Arial" w:hAnsi="Arial"/>
          <w:sz w:val="18"/>
          <w:szCs w:val="18"/>
          <w:color w:val="auto"/>
        </w:rPr>
        <w:t>) will not apply if the seller of the ordinary shares or in case of gratuitous transfer, its legal predecessor has held, directly or indirectly, at least 1% of the company’s registered share capital at any time during the five years prior to the disposal. In that case capital gains are subject to the partial income rule (</w:t>
      </w:r>
      <w:r>
        <w:rPr>
          <w:rFonts w:ascii="Arial" w:cs="Arial" w:eastAsia="Arial" w:hAnsi="Arial"/>
          <w:sz w:val="18"/>
          <w:szCs w:val="18"/>
          <w:i w:val="1"/>
          <w:iCs w:val="1"/>
          <w:color w:val="auto"/>
        </w:rPr>
        <w:t>Teileinkünfteverfahren</w:t>
      </w:r>
      <w:r>
        <w:rPr>
          <w:rFonts w:ascii="Arial" w:cs="Arial" w:eastAsia="Arial" w:hAnsi="Arial"/>
          <w:sz w:val="18"/>
          <w:szCs w:val="18"/>
          <w:color w:val="auto"/>
        </w:rPr>
        <w:t>). Accordingly, only (i) 60% of the capital gains will be taxed at his / her personal income tax rate plus 5.5% solidarity surcharge thereon and church tax (if applicable) and (ii) 60% of the business expenses related to the capital gains are deductible for tax purposes. The withholding tax withheld (including solidarity surcharge) will be credited against the shareholder’s personal income tax liability in Germany.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capital gains realized by shareholders tax resident in Germany holding Immatics’ ordinary shares as business assets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If a shareholder holds ordinary shares as business assets, the taxation of capital gains realized on the disposal of such shares depends on whether the respective shareholder is a corporation, a sole proprietor or a partnership:</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Corporations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Capital gains realized on the disposal of ordinary shares by a corporate shareholder are generally exempt from corporate income tax and trade tax. However, 5% of the tax-exempt capital gains are deemed to be non-deductible business expenses for tax purposes and therefore are effectively subject to corporate income tax (plus solidarity surcharge) and trade tax; i.e. tax exemption of 95%. Business expenses incurred in connection with the capital gains are entirely tax deductible.</w:t>
      </w:r>
    </w:p>
    <w:p>
      <w:pPr>
        <w:spacing w:after="0" w:line="18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Capital losses incurred upon the disposal of ordinary shares or other impairments of the share value are not tax deductible. A reduction of profit is also defined as any losses incurred in connection with a loan or security in the event the loan or the security is granted by a shareholder or by a related party thereto or by a third person with the right of recourse against the before mentioned persons and the shareholder holds directly or indirectly more than 25% of the company’s registered share capital.</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Special regulations apply, if the ordinary shares are held as trading portfolio assets by a credit institution, a financial service institution or a financial enterprise within the meaning of the German Banking Act (</w:t>
      </w:r>
      <w:r>
        <w:rPr>
          <w:rFonts w:ascii="Arial" w:cs="Arial" w:eastAsia="Arial" w:hAnsi="Arial"/>
          <w:sz w:val="18"/>
          <w:szCs w:val="18"/>
          <w:i w:val="1"/>
          <w:iCs w:val="1"/>
          <w:color w:val="auto"/>
        </w:rPr>
        <w:t>Kreditwesengesetz</w:t>
      </w:r>
      <w:r>
        <w:rPr>
          <w:rFonts w:ascii="Arial" w:cs="Arial" w:eastAsia="Arial" w:hAnsi="Arial"/>
          <w:sz w:val="18"/>
          <w:szCs w:val="18"/>
          <w:color w:val="auto"/>
        </w:rPr>
        <w:t>) as well as by a life insurance company, a health insurance company or a pension fund (see “Corporations”).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Sole proprietors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 ordinary shares are held by a sole proprietor, capital gains realized on the disposal of the ordinary shares are subject to the partial income rule</w:t>
      </w:r>
    </w:p>
    <w:p>
      <w:pPr>
        <w:spacing w:after="0" w:line="46"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Teileinkünfteverfahren</w:t>
      </w:r>
      <w:r>
        <w:rPr>
          <w:rFonts w:ascii="Arial" w:cs="Arial" w:eastAsia="Arial" w:hAnsi="Arial"/>
          <w:sz w:val="17"/>
          <w:szCs w:val="17"/>
          <w:color w:val="auto"/>
        </w:rPr>
        <w:t>). Accordingly, only (i) 60% of the capital gains will be taxed at his /her personal income tax rate plus 5.5% solidarity surcharge thereon and church tax (if applicable) and (ii) 60% of the business expenses related to the dividend income are deductible for tax purposes. In addition, 60% of the capital gains are subject to trade tax if the ordinary shares are held as business assets of a permanent establishment in Germany within the meaning of the German Trade Tax Act (</w:t>
      </w:r>
      <w:r>
        <w:rPr>
          <w:rFonts w:ascii="Arial" w:cs="Arial" w:eastAsia="Arial" w:hAnsi="Arial"/>
          <w:sz w:val="17"/>
          <w:szCs w:val="17"/>
          <w:i w:val="1"/>
          <w:iCs w:val="1"/>
          <w:color w:val="auto"/>
        </w:rPr>
        <w:t>Gewerbesteuergesetz</w:t>
      </w:r>
      <w:r>
        <w:rPr>
          <w:rFonts w:ascii="Arial" w:cs="Arial" w:eastAsia="Arial" w:hAnsi="Arial"/>
          <w:sz w:val="17"/>
          <w:szCs w:val="17"/>
          <w:color w:val="auto"/>
        </w:rPr>
        <w:t>). The trade tax levied, depending on the applicable municipal trade tax rate and the individual tax situation, is partly or entirely be credited against the shareholder’s personal income tax liability. As from 2021 onwards the solidarity surcharge likely will be abolished in case a certain income threshold is not exceeded.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Partnerships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case the ordinary shares are held by a partnership, the partnership itself is not subject to corporate income tax or personal income tax as well as solidarity surcharge (and church tax) since partnerships qualify as transparent for German income tax purposes. In this regard, corporate income tax or personal income tax as well as solidarity surcharge (and church tax, if applicable) are levied only at the level of the partner with respect to their relevant part of the partnership’s taxable income and depending on their individual circumstances:</w:t>
      </w:r>
    </w:p>
    <w:p>
      <w:pPr>
        <w:spacing w:after="0" w:line="92" w:lineRule="exact"/>
        <w:rPr>
          <w:sz w:val="20"/>
          <w:szCs w:val="20"/>
          <w:color w:val="auto"/>
        </w:rPr>
      </w:pPr>
    </w:p>
    <w:p>
      <w:pPr>
        <w:ind w:left="1080" w:right="20" w:hanging="424"/>
        <w:spacing w:after="0" w:line="255"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the partner is a corporation, the capital gains will be subject to corporate income tax plus solidarity surcharge (see above “Corporations”). Trade tax will be levied additionally at the level of the partner insofar as the relevant profit of the partnership is not subject to trade tax at the level of the partnership. However, with respect to both corporate income and trade tax, the 95%-exemption rule as described above applies. With regard to corporate partners, special regulations apply if they are held as trading portfolio assets by credit institutions, financial service institutions or financial enterprises within the meaning of the German Banking Act or life insurance companies, health insurance companies or pension funds, as described above.</w:t>
      </w:r>
    </w:p>
    <w:p>
      <w:pPr>
        <w:spacing w:after="0" w:line="97" w:lineRule="exact"/>
        <w:rPr>
          <w:rFonts w:ascii="Arial" w:cs="Arial" w:eastAsia="Arial" w:hAnsi="Arial"/>
          <w:sz w:val="18"/>
          <w:szCs w:val="18"/>
          <w:color w:val="auto"/>
        </w:rPr>
      </w:pPr>
    </w:p>
    <w:p>
      <w:pPr>
        <w:ind w:left="1080" w:hanging="424"/>
        <w:spacing w:after="0"/>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If the partner is a sole proprietor (individual), the capital gains are subject to the partial income rule (see above “Sole proprietors”).</w:t>
      </w:r>
    </w:p>
    <w:p>
      <w:pPr>
        <w:spacing w:after="0" w:line="23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In addition, if the partnership is liable to German trade tax, 60% of the capital gains are subject to trade tax at the level of the partnership, to the extent the partners are individuals, and 5% of the capital gains are subject to trade tax, to the extent the partners are corporations. However, if a partner is a private individual the trade tax paid at the level of the is credited against the partner’s personal income tax liability at up to 4.0 times of the trade tax measurement amount (</w:t>
      </w:r>
      <w:r>
        <w:rPr>
          <w:rFonts w:ascii="Arial" w:cs="Arial" w:eastAsia="Arial" w:hAnsi="Arial"/>
          <w:sz w:val="16"/>
          <w:szCs w:val="16"/>
          <w:i w:val="1"/>
          <w:iCs w:val="1"/>
          <w:color w:val="auto"/>
        </w:rPr>
        <w:t>Gewerbesteuer-Messbetrag</w:t>
      </w:r>
      <w:r>
        <w:rPr>
          <w:rFonts w:ascii="Arial" w:cs="Arial" w:eastAsia="Arial" w:hAnsi="Arial"/>
          <w:sz w:val="16"/>
          <w:szCs w:val="16"/>
          <w:color w:val="auto"/>
        </w:rPr>
        <w:t>) depending on the applicable municipal trade tax levy rate and the personal tax situation.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capital gains realized by shareholders tax resident outside of Germany</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Capital gains realized on the disposal of the ordinary shares by a shareholder tax resident outside of Germany are subject to German taxation provided that (i) the company’s ordinary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shares capital at any time during a five years period prior to the disposal. In these cases, capital gains are generally subject to the same rules as described above for shareholders resident in Germany. However, except for the cases referred to in (i) above, most double tax treaties concluded by Germany provide for a full exemption from German taxation except that that the company is considered a real estate holding entity for treaty purposes. Further, in case of non-German corporation, the participation exemption applies in full resulting in a tax exemption of 100% (i.e. no deemed non-tax-deductible business expenses).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Inheritance and gift tax</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transfer of Immatics’ ordinary shares to another person by way of succession or donation is subject to German inheritance and gift tax (</w:t>
      </w:r>
      <w:r>
        <w:rPr>
          <w:rFonts w:ascii="Arial" w:cs="Arial" w:eastAsia="Arial" w:hAnsi="Arial"/>
          <w:sz w:val="18"/>
          <w:szCs w:val="18"/>
          <w:i w:val="1"/>
          <w:iCs w:val="1"/>
          <w:color w:val="auto"/>
        </w:rPr>
        <w:t>Erbschaft-und Schenkungsteuer</w:t>
      </w:r>
      <w:r>
        <w:rPr>
          <w:rFonts w:ascii="Arial" w:cs="Arial" w:eastAsia="Arial" w:hAnsi="Arial"/>
          <w:sz w:val="18"/>
          <w:szCs w:val="18"/>
          <w:color w:val="auto"/>
        </w:rPr>
        <w:t>) if</w:t>
      </w:r>
    </w:p>
    <w:p>
      <w:pPr>
        <w:spacing w:after="0" w:line="76" w:lineRule="exact"/>
        <w:rPr>
          <w:sz w:val="20"/>
          <w:szCs w:val="20"/>
          <w:color w:val="auto"/>
        </w:rPr>
      </w:pPr>
    </w:p>
    <w:p>
      <w:pPr>
        <w:ind w:left="1080" w:right="20" w:hanging="532"/>
        <w:spacing w:after="0" w:line="263"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decedent, the donor, the heir, the donee or any other beneficiary has his /her /its residence, domicile, registered office or place of management in Germany at the time of the transfer, or is a German citizen who has not stayed abroad for more than five consecutive years without having a residence in Germany; or</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(irrespective of the personal circumstances) the ordinary shares are held by the decedent or donor as business assets for which a permanent establishment in Germany is maintained or a permanent representative is appointed in Germany;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080"/>
          </w:cols>
          <w:pgMar w:left="320" w:top="459" w:right="4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532"/>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(irrespective of the personal circumstances) at least 10% of the ordinary shares are held directly or indirectly by the decedent or person making the gift, himself or together with a related party in terms of Section 6 Foreign Tax Act.</w:t>
      </w:r>
    </w:p>
    <w:p>
      <w:pPr>
        <w:spacing w:after="0" w:line="170"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Special regulations apply to qualified German citizens who maintain neither a residence nor their domicile in Germany but in a low tax jurisdiction and to former German citizens, also resulting in inheritance and gift tax. The few double tax treaties on inheritance and gift tax which Germany has entered into provide that German inheritance and gift tax is levied only in case of (i) and, with certain restrictions, in case of (ii).</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 added tax (VAT)</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No German value added tax (</w:t>
      </w:r>
      <w:r>
        <w:rPr>
          <w:rFonts w:ascii="Arial" w:cs="Arial" w:eastAsia="Arial" w:hAnsi="Arial"/>
          <w:sz w:val="18"/>
          <w:szCs w:val="18"/>
          <w:i w:val="1"/>
          <w:iCs w:val="1"/>
          <w:color w:val="auto"/>
        </w:rPr>
        <w:t>Umsatzsteuer</w:t>
      </w:r>
      <w:r>
        <w:rPr>
          <w:rFonts w:ascii="Arial" w:cs="Arial" w:eastAsia="Arial" w:hAnsi="Arial"/>
          <w:sz w:val="18"/>
          <w:szCs w:val="18"/>
          <w:color w:val="auto"/>
        </w:rPr>
        <w:t>) will be payable by a shareholder in respect of any purchase, ownership and disposal of the ordinary shares except for a valid option to waive VAT exemption requiring a sale between entrepreneurs for VAT purposes.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taxes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No German capital transfer tax (</w:t>
      </w:r>
      <w:r>
        <w:rPr>
          <w:rFonts w:ascii="Arial" w:cs="Arial" w:eastAsia="Arial" w:hAnsi="Arial"/>
          <w:sz w:val="18"/>
          <w:szCs w:val="18"/>
          <w:i w:val="1"/>
          <w:iCs w:val="1"/>
          <w:color w:val="auto"/>
        </w:rPr>
        <w:t>Kapitalverkehrsteuer</w:t>
      </w:r>
      <w:r>
        <w:rPr>
          <w:rFonts w:ascii="Arial" w:cs="Arial" w:eastAsia="Arial" w:hAnsi="Arial"/>
          <w:sz w:val="18"/>
          <w:szCs w:val="18"/>
          <w:color w:val="auto"/>
        </w:rPr>
        <w:t>) or stamp duty (</w:t>
      </w:r>
      <w:r>
        <w:rPr>
          <w:rFonts w:ascii="Arial" w:cs="Arial" w:eastAsia="Arial" w:hAnsi="Arial"/>
          <w:sz w:val="18"/>
          <w:szCs w:val="18"/>
          <w:i w:val="1"/>
          <w:iCs w:val="1"/>
          <w:color w:val="auto"/>
        </w:rPr>
        <w:t>Stempelgebühr</w:t>
      </w:r>
      <w:r>
        <w:rPr>
          <w:rFonts w:ascii="Arial" w:cs="Arial" w:eastAsia="Arial" w:hAnsi="Arial"/>
          <w:sz w:val="18"/>
          <w:szCs w:val="18"/>
          <w:color w:val="auto"/>
        </w:rPr>
        <w:t>) or similar taxes are levied when acquiring, owning or transferring the company’s ordinary shares. Net wealth tax (</w:t>
      </w:r>
      <w:r>
        <w:rPr>
          <w:rFonts w:ascii="Arial" w:cs="Arial" w:eastAsia="Arial" w:hAnsi="Arial"/>
          <w:sz w:val="18"/>
          <w:szCs w:val="18"/>
          <w:i w:val="1"/>
          <w:iCs w:val="1"/>
          <w:color w:val="auto"/>
        </w:rPr>
        <w:t>Vermögensteuer</w:t>
      </w:r>
      <w:r>
        <w:rPr>
          <w:rFonts w:ascii="Arial" w:cs="Arial" w:eastAsia="Arial" w:hAnsi="Arial"/>
          <w:sz w:val="18"/>
          <w:szCs w:val="18"/>
          <w:color w:val="auto"/>
        </w:rPr>
        <w:t>) is currently not levied in Germany.</w:t>
      </w:r>
    </w:p>
    <w:p>
      <w:pPr>
        <w:spacing w:after="0" w:line="170"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On January 22, 2013, the Council of the European Union approved the resolution of the ministers of finance from eleven EU member states (including Germany) to introduce a financial transaction tax (“</w:t>
      </w:r>
      <w:r>
        <w:rPr>
          <w:rFonts w:ascii="Arial" w:cs="Arial" w:eastAsia="Arial" w:hAnsi="Arial"/>
          <w:sz w:val="18"/>
          <w:szCs w:val="18"/>
          <w:b w:val="1"/>
          <w:bCs w:val="1"/>
          <w:color w:val="auto"/>
        </w:rPr>
        <w:t>FTT</w:t>
      </w:r>
      <w:r>
        <w:rPr>
          <w:rFonts w:ascii="Arial" w:cs="Arial" w:eastAsia="Arial" w:hAnsi="Arial"/>
          <w:sz w:val="18"/>
          <w:szCs w:val="18"/>
          <w:color w:val="auto"/>
        </w:rPr>
        <w:t>”) within the framework of enhanced cooperation. On February 14, 2013, the European Commission accepted the proposal for a Council Directive implementing enhanced cooperation in the area of FTT. The plan focuses on levying a financial tax of 0.1% (0.01% for derivates) on the purchase and sale of financial instruments.</w:t>
      </w:r>
    </w:p>
    <w:p>
      <w:pPr>
        <w:spacing w:after="0" w:line="18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A joint statement issued by ten of the eleven participating EU Member States in October 2016 reaffirmed the intention to introduce a FTT. However, at the moment not many details are available. Thus, it is not known to what extent the elements of the European Commission’s proposal outlined in the preceding paragraph will be followed in relation to the taxation of shares. The FTT proposal remains subject to negotiation between the participating EU Member States and is subject to political discussion. It may therefore be altered prior to the implementation, the timing of which remains unclear. With the EU Council’s conclusion of COVID-19 fincial support and the German Resideny starting in July 2020 the agreement on a FTT becomes more realistic as one of the measures to fund the EU’s response to the COVID-19 pandemic. Additional EU Member States may decide to participate. If an EU-wide FTT (see above) fails, representatives of the IfW (Institute for the World Economy) intend to advocate the introduction of a comprehensive version of the tax in Germany after the COVID-19 pandemic. Prospective holders of the ordinary shares are advised to seek their own professional advice in relation to FTT.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are registering the possible offer and sale from time to time of up to 39,332,281 ordinary shares by the selling securityholders. All of the ordinary shares offered by the selling securityholders pursuant to this prospectus will be sold by the selling securityholders for their respective accounts. We will not receive any of the proceeds from such sales.</w:t>
      </w:r>
    </w:p>
    <w:p>
      <w:pPr>
        <w:spacing w:after="0" w:line="184"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57"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The securities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8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76"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w:t>
      </w:r>
    </w:p>
    <w:p>
      <w:pPr>
        <w:spacing w:after="0" w:line="130" w:lineRule="exact"/>
        <w:rPr>
          <w:rFonts w:ascii="Arial" w:cs="Arial" w:eastAsia="Arial" w:hAnsi="Arial"/>
          <w:sz w:val="18"/>
          <w:szCs w:val="18"/>
          <w:color w:val="auto"/>
        </w:rPr>
      </w:pPr>
    </w:p>
    <w:p>
      <w:pPr>
        <w:ind w:left="1080" w:right="400" w:hanging="424"/>
        <w:spacing w:after="0" w:line="342" w:lineRule="auto"/>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addition, a selling securityholder that is an entity may elect to make a pro rata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8"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9" w:lineRule="exact"/>
        <w:rPr>
          <w:sz w:val="20"/>
          <w:szCs w:val="20"/>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any applicable commissions, discounts, concessions and other items constituting compensation from the selling securityholders.</w:t>
      </w:r>
    </w:p>
    <w:p>
      <w:pPr>
        <w:spacing w:after="0" w:line="23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selling securityholders may solicit offers to purchase the securities directly from, and they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ordinary shares are listed on Nasdaq under the symbol “IMTX”.</w:t>
      </w:r>
    </w:p>
    <w:p>
      <w:pPr>
        <w:spacing w:after="0" w:line="184"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71"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66"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2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the European Economic Area</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except that offers of shares may be made to the public in that Relevant State at any time under the following exemptions under the Prospectus Regulation (Regulation (EU) 2017/1129):</w:t>
      </w:r>
    </w:p>
    <w:p>
      <w:pPr>
        <w:spacing w:after="0" w:line="89"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underwriters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provided that no such offer of shares shall require Immatics or the representatives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Each person in a Relevant State who initially acquires any shares or to whom any offer is made will be deemed to have represented, acknowledged and agreed that it is a “qualified investor” within the meaning of Article 2(e) of the Prospectus Regulation. 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representatives has been obtained to each such proposed offer or resale.</w:t>
      </w:r>
    </w:p>
    <w:p>
      <w:pPr>
        <w:spacing w:after="0" w:line="177"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We, the representatives and each of our and the representatives’ affiliates will rely upon the truth and accuracy of the foregoing representations, acknowledgements and agreements.</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This prospectus has been prepared on the basis that any offer of shares in any Relevant State will be made pursuant to an exemption under the Prospectus Regulation from the requirement to publish a prospectus for offers of shares. Accordingly, any person making or intending to make an offer in that Relevant State of shares which are the subject of the offering contemplated in this prospectus may only do so in circumstances in which no obligation arises for the company or any of the underwriters to publish a prospectus pursuant to Article 3 of the Prospectus Regulation in relation to such offer. Neither we nor the underwriters have authorized, nor do they authorize, the making of any offer of shares in circumstances in which an obligation arises for the company or the underwriters to publish a prospectus for such offer.</w:t>
      </w:r>
    </w:p>
    <w:p>
      <w:pPr>
        <w:spacing w:after="0" w:line="17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State means the communication in any form and by any means of sufficient information on the terms of the offer and the shares to be offered so as to enable an investor to decide to purchase or subscribe for any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MiFID II Product Governance</w:t>
      </w:r>
    </w:p>
    <w:p>
      <w:pPr>
        <w:spacing w:after="0" w:line="117"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Any person offering, selling or recommending the shares (a “distributor”) should take into consideration the manufacturers’ target market assessment; however, a distributor subject to MiFID II (Directive 2014/65/EU) is responsible for undertaking its own target market assessment in respect of the shares (by either adopting or refining the manufacturers’ target market assessment) and determining appropriate distribution channels.</w:t>
      </w:r>
    </w:p>
    <w:p>
      <w:pPr>
        <w:spacing w:after="0" w:line="14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i w:val="1"/>
          <w:iCs w:val="1"/>
          <w:color w:val="auto"/>
        </w:rPr>
        <w:t>Specific Dutch selling restriction for exempt offers</w:t>
      </w:r>
      <w:r>
        <w:rPr>
          <w:rFonts w:ascii="Arial" w:cs="Arial" w:eastAsia="Arial" w:hAnsi="Arial"/>
          <w:sz w:val="18"/>
          <w:szCs w:val="18"/>
          <w:color w:val="auto"/>
        </w:rPr>
        <w:t>: Each distributor will be required to represent and agree that it will not make an offer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the subject of the offering contemplated by this prospectus to the public in the Netherlands in reliance on Article 1(4) of the Prospectus Regulation, unless:</w:t>
      </w:r>
    </w:p>
    <w:p>
      <w:pPr>
        <w:spacing w:after="0" w:line="89" w:lineRule="exact"/>
        <w:rPr>
          <w:sz w:val="20"/>
          <w:szCs w:val="20"/>
          <w:color w:val="auto"/>
        </w:rPr>
      </w:pPr>
    </w:p>
    <w:p>
      <w:pPr>
        <w:ind w:left="5480" w:right="2960" w:hanging="4932"/>
        <w:spacing w:after="0" w:line="449" w:lineRule="auto"/>
        <w:tabs>
          <w:tab w:leader="none" w:pos="107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such offer is made exclusively to legal entities which are qualified investors in the Netherlands; or 230</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standard exemption logo and wording are disclosed as required by article 5:4(2) of the Dutch Financial Markets Supervision Act (</w:t>
      </w:r>
      <w:r>
        <w:rPr>
          <w:rFonts w:ascii="Arial" w:cs="Arial" w:eastAsia="Arial" w:hAnsi="Arial"/>
          <w:sz w:val="18"/>
          <w:szCs w:val="18"/>
          <w:i w:val="1"/>
          <w:iCs w:val="1"/>
          <w:color w:val="auto"/>
        </w:rPr>
        <w:t>Wet op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het financieel toezicht </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such offer is otherwise made in circumstances in which article 5:4(2) of the Dutch Financial Markets Supervision Act is not applicable,</w:t>
      </w:r>
    </w:p>
    <w:p>
      <w:pPr>
        <w:spacing w:after="0" w:line="248"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provided that no such offer of securities shall require Immatics or any distributor to publish a prospectus pursuant to Article 3 of the Prospectus Regulation or supplement a prospectus pursuant to Article 23 of the Prospectus Regulation.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0940"/>
          </w:cols>
          <w:pgMar w:left="320" w:top="459" w:right="6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We have 285,000,000 ordinary shares authorized and 62,908,617 ordinary shares issued and outstanding as of July 31, 2020. Additionally, we have 7,187,500 public warrants issued and outstanding, which entitle the holder to purchase one ordinary share per warrant at an exercise price of $11.50 per share and that became exercisable on July 31, 2020. The public warrants expire five years after July 1, 2020 (the Closing Date of the Business Combination) or earlier upon redemption or liquidation in accordance with their terms.</w:t>
      </w:r>
    </w:p>
    <w:p>
      <w:pPr>
        <w:spacing w:after="0" w:line="17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All of the ordinary shares that were issued in connection with the Business Combination are freely transferable without restriction or further registration under the Securities Act, other than 28,917,281 ordinary shares issued to our “affiliates”. The PIPE Shares were not registered under the Securities Act, in reliance upon the exemption provided in Section 4(a)(2) of the Securities Act and/or Regulation D or Regulation S promulgated thereunder, and are not freely transferable. The shares issued to our “affiliates” and the PIPE Shares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(see description below).</w:t>
      </w:r>
    </w:p>
    <w:p>
      <w:pPr>
        <w:spacing w:after="0" w:line="195" w:lineRule="exact"/>
        <w:rPr>
          <w:sz w:val="20"/>
          <w:szCs w:val="20"/>
          <w:color w:val="auto"/>
        </w:rPr>
      </w:pPr>
    </w:p>
    <w:p>
      <w:pPr>
        <w:jc w:val="both"/>
        <w:ind w:left="120" w:right="140"/>
        <w:spacing w:after="0" w:line="279" w:lineRule="auto"/>
        <w:rPr>
          <w:sz w:val="20"/>
          <w:szCs w:val="20"/>
          <w:color w:val="auto"/>
        </w:rPr>
      </w:pPr>
      <w:r>
        <w:rPr>
          <w:rFonts w:ascii="Arial" w:cs="Arial" w:eastAsia="Arial" w:hAnsi="Arial"/>
          <w:sz w:val="17"/>
          <w:szCs w:val="17"/>
          <w:color w:val="auto"/>
        </w:rPr>
        <w:t>The registration statement of which this prospectus forms a part has been filed to satisfy our obligations to register the offer and sale of ordinary shares by our affiliates and PIPE Investors pursuant to the Investor Rights Agreement. We cannot make any prediction as to the effect, if any, that sales of our shares or the availability of our shares for sale will have on the market price of our ordinary shares. Sales of substantial amounts of our ordinary shares in the public market could adversely affect prevailing market price of our ordinary shares.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Pursuant to Rule 144 of the Securities Act (“Rule 144”), a person who has beneficially owned restricted ordinary shares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Persons who have beneficially owned restricted ordinary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9" w:lineRule="exact"/>
        <w:rPr>
          <w:sz w:val="20"/>
          <w:szCs w:val="20"/>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1% of the total number of ordinary shares then issued and outstanding;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ordinary shares during the four calendar weeks preceding the filing of a notice on Form 144 with respect to the sale.</w:t>
      </w:r>
    </w:p>
    <w:p>
      <w:pPr>
        <w:spacing w:after="0" w:line="17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9" w:lineRule="exact"/>
        <w:rPr>
          <w:sz w:val="20"/>
          <w:szCs w:val="20"/>
          <w:color w:val="auto"/>
        </w:rPr>
      </w:pPr>
    </w:p>
    <w:p>
      <w:pPr>
        <w:ind w:left="5480" w:right="3160" w:hanging="4824"/>
        <w:spacing w:after="0" w:line="449" w:lineRule="auto"/>
        <w:tabs>
          <w:tab w:leader="none" w:pos="107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 232</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We were formed as a shell company in March 2020. Upon the consummation of the Business Combination, in July 2020, we ceased to be a shell company and so, once the conditions set forth in the exceptions listed above are satisfied, Rule 144 will become available for the resale of restricted securities and securities held by affiliates.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w:t>
      </w:r>
    </w:p>
    <w:p>
      <w:pPr>
        <w:spacing w:after="0" w:line="17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our company or who are affiliates of our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our company other than by virtue of his or her status as an officer or director of our company.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equity shares from us in connection with a compensatory stock plan or other written agreement that was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Pursuant to the Investor Rights Agreement, each holder party agreed not to sell, transfer, pledge or otherwise dispose of any ordinary shares received in connection with the Business Combination for 180 days from the Closing Date, subject to certain limited exceptions. The lock-up restriction does not apply to ordinary shares purchased in the PIPE Financing and ordinary shares acquired in the open market.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connection with the Business Combination and the PIPE Financing, we granted certain registration rights to certain securityholders under the Investor Rights Agreement. Pursuant to the Investor Rights Agreement, we agreed to promptly, but no later than 180 calendar days from the Closing Date, file, subject to customary exceptions, a Registration Statement covering all ordinary shares issued in connection with the First Merger, the Exchange and the PIPE Financing. The Investor Rights Agreement also provides the parties with demand and “piggy-back” registration rights, subject to certain minimum requirements and customary conditions.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EXPENSES RELATED TO THE OFFERING</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Set forth below is an itemization of the total expenses which are expected to be incurred by us in connection with the offer and sale of our ordinary shares by our selling securityholders. With the exception of the SEC registration fee, all amounts are estimates.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52,508.32</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FINRA filing fee</w:t>
            </w: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3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302,508.32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340" w:type="dxa"/>
            <w:vAlign w:val="bottom"/>
            <w:vMerge w:val="restart"/>
          </w:tcPr>
          <w:p>
            <w:pPr>
              <w:jc w:val="right"/>
              <w:ind w:right="2370"/>
              <w:spacing w:after="0"/>
              <w:rPr>
                <w:sz w:val="20"/>
                <w:szCs w:val="20"/>
                <w:color w:val="auto"/>
              </w:rPr>
            </w:pPr>
            <w:r>
              <w:rPr>
                <w:rFonts w:ascii="Arial" w:cs="Arial" w:eastAsia="Arial" w:hAnsi="Arial"/>
                <w:sz w:val="18"/>
                <w:szCs w:val="18"/>
                <w:color w:val="auto"/>
              </w:rPr>
              <w:t>235</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320" w:top="459" w:right="8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CMS Derks Star Busmann N.V. has advised us on certain legal matters as to Dutch law including the issuance of the ordinary shares offered by this prospectus. We have been advised on U.S. securities matters by Goodwin Procter LLP.</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The financial statements of Immatics Biotechnologies GmbH as of December 31, 2019 and 2018, and for each of the two years in the period ended December 31, 2019, included in this prospectus have been so included in reliance on the report of PricewaterhouseCoopers GmbH Wirtschaftsprüfungsgesellschaft, an independent registered public accounting firm, given on the authority of said firm as experts in auditing and accounting.</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financial statements of ARYA as of December 31, 2019 and 2018, for the year ended December 31, 2019 and for the period from June 29, 2018 (inception) to December 31, 2018, have been included in this prospectus in reliance upon the report of WithumSmith+Brown, PC (which report contains an explanatory paragraph regarding the ability of ARYA to continue as a going concern), appearing elsewhere herein, and upon the authority of said firm as experts in accounting and auditing.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77"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 xml:space="preserve">We are subject to the informational requirements of the Exchange Act that are applicable to foreign private issuers. Accordingly, we are required to file or furnish reports and other information with the SEC, including annual reports on Form 20-F and reports on Form 6-K. The SEC maintains an Internet website that contains reports and other information regarding issuers that file electronically with the SEC. Our filings with the SEC are available to the public through the SEC’s website at </w:t>
      </w:r>
      <w:r>
        <w:rPr>
          <w:rFonts w:ascii="Arial" w:cs="Arial" w:eastAsia="Arial" w:hAnsi="Arial"/>
          <w:sz w:val="18"/>
          <w:szCs w:val="18"/>
          <w:i w:val="1"/>
          <w:iCs w:val="1"/>
          <w:color w:val="auto"/>
        </w:rPr>
        <w:t>http://www.sec.gov.</w:t>
      </w:r>
    </w:p>
    <w:p>
      <w:pPr>
        <w:spacing w:after="0" w:line="187"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and selling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5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www.immatics.com.</w:t>
      </w:r>
      <w:r>
        <w:rPr>
          <w:rFonts w:ascii="Arial" w:cs="Arial" w:eastAsia="Arial" w:hAnsi="Arial"/>
          <w:sz w:val="18"/>
          <w:szCs w:val="18"/>
          <w:color w:val="auto"/>
        </w:rPr>
        <w:t xml:space="preserve"> Information contained on, or that can be accessed through, our website does not constitute a part of this prospectus. We have included our website address in this prospectus solely for informational purposes.</w:t>
      </w: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1"/>
        </w:trPr>
        <w:tc>
          <w:tcPr>
            <w:tcW w:w="105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Audited Financial Statements of ARYA Sciences Acquisition Corp.:</w:t>
            </w: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96"/>
        </w:trPr>
        <w:tc>
          <w:tcPr>
            <w:tcW w:w="10560" w:type="dxa"/>
            <w:vAlign w:val="bottom"/>
            <w:gridSpan w:val="4"/>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0560" w:type="dxa"/>
            <w:vAlign w:val="bottom"/>
            <w:gridSpan w:val="4"/>
          </w:tcPr>
          <w:p>
            <w:pPr>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261">
              <w:r>
                <w:rPr>
                  <w:rFonts w:ascii="Arial" w:cs="Arial" w:eastAsia="Arial" w:hAnsi="Arial"/>
                  <w:sz w:val="18"/>
                  <w:szCs w:val="18"/>
                  <w:u w:val="single" w:color="auto"/>
                  <w:color w:val="0000EE"/>
                </w:rPr>
                <w:t>Balance Sheets as of December 31,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w w:val="92"/>
              </w:rPr>
            </w:pPr>
            <w:hyperlink w:anchor="page262">
              <w:r>
                <w:rPr>
                  <w:rFonts w:ascii="Arial" w:cs="Arial" w:eastAsia="Arial" w:hAnsi="Arial"/>
                  <w:sz w:val="18"/>
                  <w:szCs w:val="18"/>
                  <w:u w:val="single" w:color="auto"/>
                  <w:color w:val="0000EE"/>
                  <w:w w:val="92"/>
                </w:rPr>
                <w:t>Statements of Operations for the year ended December 31, 2019 and for the period from June 29, 2018 (inception) through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0"/>
        </w:trPr>
        <w:tc>
          <w:tcPr>
            <w:tcW w:w="1042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w:anchor="page263">
              <w:r>
                <w:rPr>
                  <w:rFonts w:ascii="Arial" w:cs="Arial" w:eastAsia="Arial" w:hAnsi="Arial"/>
                  <w:sz w:val="18"/>
                  <w:szCs w:val="18"/>
                  <w:color w:val="0000EE"/>
                  <w:w w:val="90"/>
                </w:rPr>
                <w:t>Statements of Changes in Shareholders’ Equity for the year ended December 31, 2019 and for the period from June 29, 2018 (inception) through</w:t>
              </w:r>
            </w:hyperlink>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63">
              <w:r>
                <w:rPr>
                  <w:rFonts w:ascii="Arial" w:cs="Arial" w:eastAsia="Arial" w:hAnsi="Arial"/>
                  <w:sz w:val="18"/>
                  <w:szCs w:val="18"/>
                  <w:color w:val="0000EE"/>
                  <w:w w:val="88"/>
                </w:rPr>
                <w:t>December 31, 2018</w:t>
              </w:r>
            </w:hyperlink>
          </w:p>
        </w:tc>
        <w:tc>
          <w:tcPr>
            <w:tcW w:w="89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22"/>
        </w:trPr>
        <w:tc>
          <w:tcPr>
            <w:tcW w:w="10560" w:type="dxa"/>
            <w:vAlign w:val="bottom"/>
            <w:gridSpan w:val="4"/>
          </w:tcPr>
          <w:p>
            <w:pPr>
              <w:spacing w:after="0"/>
              <w:rPr>
                <w:rFonts w:ascii="Arial" w:cs="Arial" w:eastAsia="Arial" w:hAnsi="Arial"/>
                <w:sz w:val="18"/>
                <w:szCs w:val="18"/>
                <w:u w:val="single" w:color="auto"/>
                <w:color w:val="0000EE"/>
                <w:w w:val="91"/>
              </w:rPr>
            </w:pPr>
            <w:hyperlink w:anchor="page264">
              <w:r>
                <w:rPr>
                  <w:rFonts w:ascii="Arial" w:cs="Arial" w:eastAsia="Arial" w:hAnsi="Arial"/>
                  <w:sz w:val="18"/>
                  <w:szCs w:val="18"/>
                  <w:u w:val="single" w:color="auto"/>
                  <w:color w:val="0000EE"/>
                  <w:w w:val="91"/>
                </w:rPr>
                <w:t>Statements of Cash Flows for the year ended December 31, 2019 and for the period from June 29, 2018 (inception) through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10560" w:type="dxa"/>
            <w:vAlign w:val="bottom"/>
            <w:gridSpan w:val="4"/>
          </w:tcPr>
          <w:p>
            <w:pPr>
              <w:spacing w:after="0"/>
              <w:rPr>
                <w:rFonts w:ascii="Arial" w:cs="Arial" w:eastAsia="Arial" w:hAnsi="Arial"/>
                <w:sz w:val="18"/>
                <w:szCs w:val="18"/>
                <w:u w:val="single" w:color="auto"/>
                <w:color w:val="0000EE"/>
              </w:rPr>
            </w:pPr>
            <w:hyperlink w:anchor="page265">
              <w:r>
                <w:rPr>
                  <w:rFonts w:ascii="Arial" w:cs="Arial" w:eastAsia="Arial" w:hAnsi="Arial"/>
                  <w:sz w:val="18"/>
                  <w:szCs w:val="18"/>
                  <w:u w:val="single" w:color="auto"/>
                  <w:color w:val="0000EE"/>
                </w:rPr>
                <w:t>Notes to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b w:val="1"/>
                <w:bCs w:val="1"/>
                <w:color w:val="auto"/>
              </w:rPr>
              <w:t>Unaudited Condensed Interim Financial Statements of ARYA Sciences Acquisition Corp.</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560" w:type="dxa"/>
            <w:vAlign w:val="bottom"/>
            <w:gridSpan w:val="4"/>
          </w:tcPr>
          <w:p>
            <w:pPr>
              <w:spacing w:after="0"/>
              <w:rPr>
                <w:rFonts w:ascii="Arial" w:cs="Arial" w:eastAsia="Arial" w:hAnsi="Arial"/>
                <w:sz w:val="18"/>
                <w:szCs w:val="18"/>
                <w:u w:val="single" w:color="auto"/>
                <w:color w:val="0000EE"/>
              </w:rPr>
            </w:pPr>
            <w:hyperlink w:anchor="page277">
              <w:r>
                <w:rPr>
                  <w:rFonts w:ascii="Arial" w:cs="Arial" w:eastAsia="Arial" w:hAnsi="Arial"/>
                  <w:sz w:val="18"/>
                  <w:szCs w:val="18"/>
                  <w:u w:val="single" w:color="auto"/>
                  <w:color w:val="0000EE"/>
                </w:rPr>
                <w:t>Unaudited Condensed Balance Sheets as of March 31, 2020 and December 31,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Unaudited Condensed Statements of Operations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Unaudited Condensed Statements of Changes in Shareholders’ Equity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280">
              <w:r>
                <w:rPr>
                  <w:rFonts w:ascii="Arial" w:cs="Arial" w:eastAsia="Arial" w:hAnsi="Arial"/>
                  <w:sz w:val="18"/>
                  <w:szCs w:val="18"/>
                  <w:u w:val="single" w:color="auto"/>
                  <w:color w:val="0000EE"/>
                </w:rPr>
                <w:t>Unaudited Condensed Statements of Cash Flows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230"/>
        </w:trPr>
        <w:tc>
          <w:tcPr>
            <w:tcW w:w="10560" w:type="dxa"/>
            <w:vAlign w:val="bottom"/>
            <w:gridSpan w:val="4"/>
          </w:tcPr>
          <w:p>
            <w:pPr>
              <w:spacing w:after="0"/>
              <w:rPr>
                <w:rFonts w:ascii="Arial" w:cs="Arial" w:eastAsia="Arial" w:hAnsi="Arial"/>
                <w:sz w:val="18"/>
                <w:szCs w:val="18"/>
                <w:u w:val="single" w:color="auto"/>
                <w:color w:val="0000EE"/>
              </w:rPr>
            </w:pPr>
            <w:hyperlink w:anchor="page281">
              <w:r>
                <w:rPr>
                  <w:rFonts w:ascii="Arial" w:cs="Arial" w:eastAsia="Arial" w:hAnsi="Arial"/>
                  <w:sz w:val="18"/>
                  <w:szCs w:val="18"/>
                  <w:u w:val="single" w:color="auto"/>
                  <w:color w:val="0000EE"/>
                </w:rPr>
                <w:t>Notes to Unaudited Condensed Interim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b w:val="1"/>
                <w:bCs w:val="1"/>
                <w:color w:val="auto"/>
              </w:rPr>
              <w:t>Audited Consolidated Financial Statements of Immatics Biotechnologies GmbH:</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560" w:type="dxa"/>
            <w:vAlign w:val="bottom"/>
            <w:gridSpan w:val="4"/>
          </w:tcPr>
          <w:p>
            <w:pPr>
              <w:spacing w:after="0"/>
              <w:rPr>
                <w:rFonts w:ascii="Arial" w:cs="Arial" w:eastAsia="Arial" w:hAnsi="Arial"/>
                <w:sz w:val="18"/>
                <w:szCs w:val="18"/>
                <w:u w:val="single" w:color="auto"/>
                <w:color w:val="0000EE"/>
              </w:rPr>
            </w:pPr>
            <w:hyperlink w:anchor="page295">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296">
              <w:r>
                <w:rPr>
                  <w:rFonts w:ascii="Arial" w:cs="Arial" w:eastAsia="Arial" w:hAnsi="Arial"/>
                  <w:sz w:val="18"/>
                  <w:szCs w:val="18"/>
                  <w:u w:val="single" w:color="auto"/>
                  <w:color w:val="0000EE"/>
                </w:rPr>
                <w:t>Consolidated Statement of Financial Position as of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297">
              <w:r>
                <w:rPr>
                  <w:rFonts w:ascii="Arial" w:cs="Arial" w:eastAsia="Arial" w:hAnsi="Arial"/>
                  <w:sz w:val="18"/>
                  <w:szCs w:val="18"/>
                  <w:u w:val="single" w:color="auto"/>
                  <w:color w:val="0000EE"/>
                </w:rPr>
                <w:t>Consolidated Statement of Loss for the years ended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298">
              <w:r>
                <w:rPr>
                  <w:rFonts w:ascii="Arial" w:cs="Arial" w:eastAsia="Arial" w:hAnsi="Arial"/>
                  <w:sz w:val="18"/>
                  <w:szCs w:val="18"/>
                  <w:u w:val="single" w:color="auto"/>
                  <w:color w:val="0000EE"/>
                </w:rPr>
                <w:t>Consolidated Statement of Comprehensive Loss for the years ended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299">
              <w:r>
                <w:rPr>
                  <w:rFonts w:ascii="Arial" w:cs="Arial" w:eastAsia="Arial" w:hAnsi="Arial"/>
                  <w:sz w:val="18"/>
                  <w:szCs w:val="18"/>
                  <w:u w:val="single" w:color="auto"/>
                  <w:color w:val="0000EE"/>
                </w:rPr>
                <w:t>Consolidated Statement of Cash Flows for the years ended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300">
              <w:r>
                <w:rPr>
                  <w:rFonts w:ascii="Arial" w:cs="Arial" w:eastAsia="Arial" w:hAnsi="Arial"/>
                  <w:sz w:val="18"/>
                  <w:szCs w:val="18"/>
                  <w:u w:val="single" w:color="auto"/>
                  <w:color w:val="0000EE"/>
                </w:rPr>
                <w:t>Consolidated Statement of Changes in Shareholders’ Deficit for the years ended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230"/>
        </w:trPr>
        <w:tc>
          <w:tcPr>
            <w:tcW w:w="10560" w:type="dxa"/>
            <w:vAlign w:val="bottom"/>
            <w:gridSpan w:val="4"/>
          </w:tcPr>
          <w:p>
            <w:pPr>
              <w:spacing w:after="0"/>
              <w:rPr>
                <w:rFonts w:ascii="Arial" w:cs="Arial" w:eastAsia="Arial" w:hAnsi="Arial"/>
                <w:sz w:val="18"/>
                <w:szCs w:val="18"/>
                <w:u w:val="single" w:color="auto"/>
                <w:color w:val="0000EE"/>
              </w:rPr>
            </w:pPr>
            <w:hyperlink w:anchor="page301">
              <w:r>
                <w:rPr>
                  <w:rFonts w:ascii="Arial" w:cs="Arial" w:eastAsia="Arial" w:hAnsi="Arial"/>
                  <w:sz w:val="18"/>
                  <w:szCs w:val="18"/>
                  <w:u w:val="single" w:color="auto"/>
                  <w:color w:val="0000EE"/>
                </w:rPr>
                <w:t>Notes to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F-43</w:t>
            </w:r>
          </w:p>
        </w:tc>
        <w:tc>
          <w:tcPr>
            <w:tcW w:w="0" w:type="dxa"/>
            <w:vAlign w:val="bottom"/>
          </w:tcPr>
          <w:p>
            <w:pPr>
              <w:spacing w:after="0"/>
              <w:rPr>
                <w:sz w:val="1"/>
                <w:szCs w:val="1"/>
                <w:color w:val="auto"/>
              </w:rPr>
            </w:pP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b w:val="1"/>
                <w:bCs w:val="1"/>
                <w:color w:val="auto"/>
              </w:rPr>
              <w:t>Unaudited Interim Condensed Consolidated Financial Statements of Immatics Biotechnologies GmbH</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560" w:type="dxa"/>
            <w:vAlign w:val="bottom"/>
            <w:gridSpan w:val="4"/>
          </w:tcPr>
          <w:p>
            <w:pPr>
              <w:spacing w:after="0"/>
              <w:rPr>
                <w:rFonts w:ascii="Arial" w:cs="Arial" w:eastAsia="Arial" w:hAnsi="Arial"/>
                <w:sz w:val="18"/>
                <w:szCs w:val="18"/>
                <w:u w:val="single" w:color="auto"/>
                <w:color w:val="0000EE"/>
              </w:rPr>
            </w:pPr>
            <w:hyperlink w:anchor="page332">
              <w:r>
                <w:rPr>
                  <w:rFonts w:ascii="Arial" w:cs="Arial" w:eastAsia="Arial" w:hAnsi="Arial"/>
                  <w:sz w:val="18"/>
                  <w:szCs w:val="18"/>
                  <w:u w:val="single" w:color="auto"/>
                  <w:color w:val="0000EE"/>
                </w:rPr>
                <w:t>Unaudited Condensed Consolidated Statement of Financial Position as of March 31, 2020 and December 31,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F-74</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333">
              <w:r>
                <w:rPr>
                  <w:rFonts w:ascii="Arial" w:cs="Arial" w:eastAsia="Arial" w:hAnsi="Arial"/>
                  <w:sz w:val="18"/>
                  <w:szCs w:val="18"/>
                  <w:u w:val="single" w:color="auto"/>
                  <w:color w:val="0000EE"/>
                </w:rPr>
                <w:t>Unaudited Condensed Consolidated Statement of Loss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F-75</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334">
              <w:r>
                <w:rPr>
                  <w:rFonts w:ascii="Arial" w:cs="Arial" w:eastAsia="Arial" w:hAnsi="Arial"/>
                  <w:sz w:val="18"/>
                  <w:szCs w:val="18"/>
                  <w:u w:val="single" w:color="auto"/>
                  <w:color w:val="0000EE"/>
                </w:rPr>
                <w:t>Unaudited Condensed Consolidated Statement of Comprehensive Loss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F-76</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335">
              <w:r>
                <w:rPr>
                  <w:rFonts w:ascii="Arial" w:cs="Arial" w:eastAsia="Arial" w:hAnsi="Arial"/>
                  <w:sz w:val="18"/>
                  <w:szCs w:val="18"/>
                  <w:u w:val="single" w:color="auto"/>
                  <w:color w:val="0000EE"/>
                </w:rPr>
                <w:t>Unaudited Condensed Consolidated Statement of Cash Flows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F-77</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336">
              <w:r>
                <w:rPr>
                  <w:rFonts w:ascii="Arial" w:cs="Arial" w:eastAsia="Arial" w:hAnsi="Arial"/>
                  <w:sz w:val="18"/>
                  <w:szCs w:val="18"/>
                  <w:u w:val="single" w:color="auto"/>
                  <w:color w:val="0000EE"/>
                </w:rPr>
                <w:t>Unaudited Condensed Consolidated Statement of Changes in Shareholders’ Deficit</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F-78</w:t>
            </w:r>
          </w:p>
        </w:tc>
        <w:tc>
          <w:tcPr>
            <w:tcW w:w="0" w:type="dxa"/>
            <w:vAlign w:val="bottom"/>
          </w:tcPr>
          <w:p>
            <w:pPr>
              <w:spacing w:after="0"/>
              <w:rPr>
                <w:sz w:val="1"/>
                <w:szCs w:val="1"/>
                <w:color w:val="auto"/>
              </w:rPr>
            </w:pPr>
          </w:p>
        </w:tc>
      </w:tr>
      <w:tr>
        <w:trPr>
          <w:trHeight w:val="230"/>
        </w:trPr>
        <w:tc>
          <w:tcPr>
            <w:tcW w:w="10560" w:type="dxa"/>
            <w:vAlign w:val="bottom"/>
            <w:gridSpan w:val="4"/>
          </w:tcPr>
          <w:p>
            <w:pPr>
              <w:spacing w:after="0"/>
              <w:rPr>
                <w:rFonts w:ascii="Arial" w:cs="Arial" w:eastAsia="Arial" w:hAnsi="Arial"/>
                <w:sz w:val="18"/>
                <w:szCs w:val="18"/>
                <w:u w:val="single" w:color="auto"/>
                <w:color w:val="0000EE"/>
              </w:rPr>
            </w:pPr>
            <w:hyperlink w:anchor="page337">
              <w:r>
                <w:rPr>
                  <w:rFonts w:ascii="Arial" w:cs="Arial" w:eastAsia="Arial" w:hAnsi="Arial"/>
                  <w:sz w:val="18"/>
                  <w:szCs w:val="18"/>
                  <w:u w:val="single" w:color="auto"/>
                  <w:color w:val="0000EE"/>
                </w:rPr>
                <w:t>Notes to the Unaudited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F-79</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960" w:type="dxa"/>
            <w:vAlign w:val="bottom"/>
            <w:gridSpan w:val="2"/>
          </w:tcPr>
          <w:p>
            <w:pPr>
              <w:ind w:left="37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Sciences Acquisition Corp.</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have audited the accompanying balance sheets of ARYA Sciences Acquisition Corp. (the “Company”), as of December 31, 2019 and 2018, and the related statements of operations, changes in shareholders’ equity and cash flows for the year ended December 31, 2019 and for the period June 29, 2018 (inception) through December 31, 2018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the year ended December 31, 2019 and for the period from June 29, 2018 (inception) through December 31, 2018, in conformity with accounting principles generally accepted in the United States of America.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if the Company does not complete a business combination by October 10, 2020, then the Company will cease all operations except for the purpose of winding down and liquidating. This mandatory liquidation and subsequent dissolution raises substantial doubt about the Company’s ability to continue as a going concern. The financial statements do not include any adjustments that might result from the outcome of this uncertainty.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Whippany, New Jersey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6, 2020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ind w:lef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874,326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1,198,306</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60,584</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133,966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1,332,272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147,841,513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144,488,284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148,776,423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145,820,556</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107,245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382,245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4,671,875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4,671,875</w:t>
            </w:r>
          </w:p>
        </w:tc>
        <w:tc>
          <w:tcPr>
            <w:tcW w:w="0" w:type="dxa"/>
            <w:vAlign w:val="bottom"/>
          </w:tcPr>
          <w:p>
            <w:pPr>
              <w:spacing w:after="0"/>
              <w:rPr>
                <w:sz w:val="1"/>
                <w:szCs w:val="1"/>
                <w:color w:val="auto"/>
              </w:rPr>
            </w:pPr>
          </w:p>
        </w:tc>
      </w:tr>
      <w:tr>
        <w:trPr>
          <w:trHeight w:val="228"/>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5,054,120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4,676,875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360" w:type="dxa"/>
            <w:vAlign w:val="bottom"/>
          </w:tcPr>
          <w:p>
            <w:pPr>
              <w:spacing w:after="0"/>
              <w:rPr>
                <w:sz w:val="20"/>
                <w:szCs w:val="20"/>
                <w:color w:val="auto"/>
              </w:rPr>
            </w:pPr>
            <w:r>
              <w:rPr>
                <w:rFonts w:ascii="Arial" w:cs="Arial" w:eastAsia="Arial" w:hAnsi="Arial"/>
                <w:sz w:val="18"/>
                <w:szCs w:val="18"/>
                <w:color w:val="auto"/>
                <w:w w:val="92"/>
              </w:rPr>
              <w:t>Class A ordinary shares, $0.0001 par value; 13,872,230 and 13,614,368 shares subject to possible redemption at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redemption value at December 31, 2019 and 2018, respectively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138,722,300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136,143,680</w:t>
            </w:r>
          </w:p>
        </w:tc>
        <w:tc>
          <w:tcPr>
            <w:tcW w:w="0" w:type="dxa"/>
            <w:vAlign w:val="bottom"/>
          </w:tcPr>
          <w:p>
            <w:pPr>
              <w:spacing w:after="0"/>
              <w:rPr>
                <w:sz w:val="1"/>
                <w:szCs w:val="1"/>
                <w:color w:val="auto"/>
              </w:rPr>
            </w:pPr>
          </w:p>
        </w:tc>
      </w:tr>
      <w:tr>
        <w:trPr>
          <w:trHeight w:val="108"/>
        </w:trPr>
        <w:tc>
          <w:tcPr>
            <w:tcW w:w="8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A ordinary shares, $0.0001 par value; 479,000,000 shares authorized; 502,770 and 760,632 shares issued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 (excluding 13,872,230 and 13,614,368 shares subject to possible redemption) at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 and 2018,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8360" w:type="dxa"/>
            <w:vAlign w:val="bottom"/>
          </w:tcPr>
          <w:p>
            <w:pPr>
              <w:spacing w:after="0" w:line="201" w:lineRule="exact"/>
              <w:rPr>
                <w:sz w:val="20"/>
                <w:szCs w:val="20"/>
                <w:color w:val="auto"/>
              </w:rPr>
            </w:pPr>
            <w:r>
              <w:rPr>
                <w:rFonts w:ascii="Arial" w:cs="Arial" w:eastAsia="Arial" w:hAnsi="Arial"/>
                <w:sz w:val="18"/>
                <w:szCs w:val="18"/>
                <w:color w:val="auto"/>
                <w:w w:val="99"/>
              </w:rPr>
              <w:t>Class B ordinary shares, $0.0001 par value; 20,000,000 shares authorized; 3,593,750 shares issued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outstanding at December 31, 2019, and 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359</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1,794,372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4,372,966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3,205,222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626,600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148,776,423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145,820,556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6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w w:val="99"/>
              </w:rPr>
              <w:t>For the Period From June 29,</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2018 (inception) Through</w:t>
            </w:r>
          </w:p>
        </w:tc>
        <w:tc>
          <w:tcPr>
            <w:tcW w:w="0" w:type="dxa"/>
            <w:vAlign w:val="bottom"/>
          </w:tcPr>
          <w:p>
            <w:pPr>
              <w:spacing w:after="0"/>
              <w:rPr>
                <w:sz w:val="1"/>
                <w:szCs w:val="1"/>
                <w:color w:val="auto"/>
              </w:rPr>
            </w:pPr>
          </w:p>
        </w:tc>
      </w:tr>
      <w:tr>
        <w:trPr>
          <w:trHeight w:val="171"/>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09"/>
        </w:trPr>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costs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774,607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(774,607)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(111,684)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on Trust Account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3,353,229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738,284</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2,578,622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A ordinary shares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14,375,000</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per share, Class A</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B ordinary shares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3,593,750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3,593,750</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33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Ordinary Shares</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3380" w:type="dxa"/>
            <w:vAlign w:val="bottom"/>
          </w:tcPr>
          <w:p>
            <w:pPr>
              <w:spacing w:after="0"/>
              <w:rPr>
                <w:sz w:val="12"/>
                <w:szCs w:val="12"/>
                <w:color w:val="auto"/>
              </w:rPr>
            </w:pPr>
          </w:p>
        </w:tc>
        <w:tc>
          <w:tcPr>
            <w:tcW w:w="1160" w:type="dxa"/>
            <w:vAlign w:val="bottom"/>
            <w:tcBorders>
              <w:bottom w:val="single" w:sz="8" w:color="auto"/>
            </w:tcBorders>
            <w:gridSpan w:val="2"/>
          </w:tcPr>
          <w:p>
            <w:pPr>
              <w:ind w:left="660"/>
              <w:spacing w:after="0" w:line="142" w:lineRule="exact"/>
              <w:rPr>
                <w:sz w:val="20"/>
                <w:szCs w:val="20"/>
                <w:color w:val="auto"/>
              </w:rPr>
            </w:pPr>
            <w:r>
              <w:rPr>
                <w:rFonts w:ascii="Arial" w:cs="Arial" w:eastAsia="Arial" w:hAnsi="Arial"/>
                <w:sz w:val="14"/>
                <w:szCs w:val="14"/>
                <w:b w:val="1"/>
                <w:bCs w:val="1"/>
                <w:color w:val="auto"/>
                <w:w w:val="93"/>
              </w:rPr>
              <w:t>Class A</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9"/>
              </w:rPr>
              <w:t>Class B</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Additional 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Shareholders’</w:t>
            </w:r>
          </w:p>
        </w:tc>
      </w:tr>
      <w:tr>
        <w:trPr>
          <w:trHeight w:val="142"/>
        </w:trPr>
        <w:tc>
          <w:tcPr>
            <w:tcW w:w="3380" w:type="dxa"/>
            <w:vAlign w:val="bottom"/>
          </w:tcPr>
          <w:p>
            <w:pPr>
              <w:spacing w:after="0"/>
              <w:rPr>
                <w:sz w:val="12"/>
                <w:szCs w:val="12"/>
                <w:color w:val="auto"/>
              </w:rPr>
            </w:pPr>
          </w:p>
        </w:tc>
        <w:tc>
          <w:tcPr>
            <w:tcW w:w="116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2"/>
                <w:szCs w:val="12"/>
                <w:color w:val="auto"/>
              </w:rPr>
            </w:pPr>
          </w:p>
        </w:tc>
        <w:tc>
          <w:tcPr>
            <w:tcW w:w="10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29, 2018 (inception)</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09"/>
        </w:trPr>
        <w:tc>
          <w:tcPr>
            <w:tcW w:w="3380" w:type="dxa"/>
            <w:vAlign w:val="bottom"/>
          </w:tcPr>
          <w:p>
            <w:pPr>
              <w:spacing w:after="0"/>
              <w:rPr>
                <w:sz w:val="20"/>
                <w:szCs w:val="20"/>
                <w:color w:val="auto"/>
              </w:rPr>
            </w:pPr>
            <w:r>
              <w:rPr>
                <w:rFonts w:ascii="Arial" w:cs="Arial" w:eastAsia="Arial" w:hAnsi="Arial"/>
                <w:sz w:val="18"/>
                <w:szCs w:val="18"/>
                <w:color w:val="auto"/>
              </w:rPr>
              <w:t>Issuance of Class B ordinary shares to</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Sponsor</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3,593,750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24,641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Sale of units in initial public offering, gross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14,375,000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1,437</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143,748,563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143,750,000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Offering costs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(9,211,044)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(9,211,044)</w:t>
            </w: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private placement warrants to</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Sponsor in private placement</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5,953,125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5,953,125</w:t>
            </w: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rPr>
              <w:t>Ordinary shares subject to possible</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(13,614,368)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(1,361)</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(136,142,319)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(136,143,680)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626,600</w:t>
            </w:r>
          </w:p>
        </w:tc>
      </w:tr>
      <w:tr>
        <w:trPr>
          <w:trHeight w:val="230"/>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 December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760,632</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359</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4,372,966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626,600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5,000,001</w:t>
            </w:r>
          </w:p>
        </w:tc>
        <w:tc>
          <w:tcPr>
            <w:tcW w:w="120" w:type="dxa"/>
            <w:vAlign w:val="bottom"/>
          </w:tcPr>
          <w:p>
            <w:pPr>
              <w:spacing w:after="0"/>
              <w:rPr>
                <w:sz w:val="20"/>
                <w:szCs w:val="20"/>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Ordinary shares subject to possible</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(257,862)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(2,578,594)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(2,578,620)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2,578,622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2,578,622</w:t>
            </w:r>
          </w:p>
        </w:tc>
      </w:tr>
      <w:tr>
        <w:trPr>
          <w:trHeight w:val="27"/>
        </w:trPr>
        <w:tc>
          <w:tcPr>
            <w:tcW w:w="3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502,770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3,593,750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359</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1,794,372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3,205,222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5,000,003</w:t>
            </w:r>
          </w:p>
        </w:tc>
      </w:tr>
      <w:tr>
        <w:trPr>
          <w:trHeight w:val="20"/>
        </w:trPr>
        <w:tc>
          <w:tcPr>
            <w:tcW w:w="3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54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w w:val="97"/>
              </w:rPr>
              <w:t>For the Period From June 29, 2018</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2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(inception) Through December 31,</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tcPr>
          <w:p>
            <w:pPr>
              <w:jc w:val="right"/>
              <w:ind w:right="8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2,578,622</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626,600</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used in operating</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Income earned on investment held in Trust Account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(3,353,229)</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(738,284)</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Formation and operating costs paid by Sponsor in exchange for</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issuance of Class B ordinary shares</w:t>
            </w: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73,382</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(133,966)</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107,245</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270,000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4"/>
        </w:trPr>
        <w:tc>
          <w:tcPr>
            <w:tcW w:w="584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(323,980)</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Principal deposited in Trust Account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(143,750,000)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(143,750,000)</w:t>
            </w:r>
          </w:p>
        </w:tc>
        <w:tc>
          <w:tcPr>
            <w:tcW w:w="0" w:type="dxa"/>
            <w:vAlign w:val="bottom"/>
          </w:tcPr>
          <w:p>
            <w:pPr>
              <w:spacing w:after="0"/>
              <w:rPr>
                <w:sz w:val="1"/>
                <w:szCs w:val="1"/>
                <w:color w:val="auto"/>
              </w:rPr>
            </w:pPr>
          </w:p>
        </w:tc>
      </w:tr>
      <w:tr>
        <w:trPr>
          <w:trHeight w:val="324"/>
        </w:trPr>
        <w:tc>
          <w:tcPr>
            <w:tcW w:w="58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 payable and advances to related parties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(149,960)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Proceeds from repayment of advances to related parties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Proceeds received from initial public offering, gross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143,750,000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Proceeds received from private placement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5,953,125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(4,368,085)</w:t>
            </w:r>
          </w:p>
        </w:tc>
        <w:tc>
          <w:tcPr>
            <w:tcW w:w="0" w:type="dxa"/>
            <w:vAlign w:val="bottom"/>
          </w:tcPr>
          <w:p>
            <w:pPr>
              <w:spacing w:after="0"/>
              <w:rPr>
                <w:sz w:val="1"/>
                <w:szCs w:val="1"/>
                <w:color w:val="auto"/>
              </w:rPr>
            </w:pPr>
          </w:p>
        </w:tc>
      </w:tr>
      <w:tr>
        <w:trPr>
          <w:trHeight w:val="224"/>
        </w:trPr>
        <w:tc>
          <w:tcPr>
            <w:tcW w:w="5840" w:type="dxa"/>
            <w:vAlign w:val="bottom"/>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145,186,604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(323,980)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1,198,306</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Cash - beginning of the period</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1,198,306</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the period</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874,326</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1,198,306</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Value of Class A ordinary shares subject to possible redemption</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2,578,620</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136,143,680</w:t>
            </w:r>
          </w:p>
        </w:tc>
        <w:tc>
          <w:tcPr>
            <w:tcW w:w="0" w:type="dxa"/>
            <w:vAlign w:val="bottom"/>
          </w:tcPr>
          <w:p>
            <w:pPr>
              <w:spacing w:after="0"/>
              <w:rPr>
                <w:sz w:val="1"/>
                <w:szCs w:val="1"/>
                <w:color w:val="auto"/>
              </w:rPr>
            </w:pPr>
          </w:p>
        </w:tc>
      </w:tr>
      <w:tr>
        <w:trPr>
          <w:trHeight w:val="202"/>
        </w:trPr>
        <w:tc>
          <w:tcPr>
            <w:tcW w:w="5840" w:type="dxa"/>
            <w:vAlign w:val="bottom"/>
          </w:tcPr>
          <w:p>
            <w:pPr>
              <w:ind w:left="360"/>
              <w:spacing w:after="0" w:line="201" w:lineRule="exact"/>
              <w:rPr>
                <w:sz w:val="20"/>
                <w:szCs w:val="20"/>
                <w:color w:val="auto"/>
              </w:rPr>
            </w:pPr>
            <w:r>
              <w:rPr>
                <w:rFonts w:ascii="Arial" w:cs="Arial" w:eastAsia="Arial" w:hAnsi="Arial"/>
                <w:sz w:val="18"/>
                <w:szCs w:val="18"/>
                <w:color w:val="auto"/>
              </w:rPr>
              <w:t>Offering costs paid by Sponsor in exchange for issuance of Class B</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40"/>
              <w:spacing w:after="0"/>
              <w:rPr>
                <w:sz w:val="20"/>
                <w:szCs w:val="20"/>
                <w:color w:val="auto"/>
              </w:rPr>
            </w:pPr>
            <w:r>
              <w:rPr>
                <w:rFonts w:ascii="Arial" w:cs="Arial" w:eastAsia="Arial" w:hAnsi="Arial"/>
                <w:sz w:val="18"/>
                <w:szCs w:val="18"/>
                <w:color w:val="auto"/>
              </w:rPr>
              <w:t>ordinary shares</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22,648</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Deferred underwriting commissions in connection with the initial</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public offering</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4,671,875</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Offering costs paid by Sponsor under note payable</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148,436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included in accounts payable</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Organization and General</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ARYA Sciences Acquisition Corp. (the “Company”) is a blank check company incorporated on June 29, 2018 (inception) as a Cayman Islands exempted company for the purpose of effecting a merger, share exchange, asset acquisition, share purchase, reorganization or similar business combination with one or more businesses (the “Business Combination”). While the Company may pursue an acquisition opportunity in any business, industry, sector or geographical location, it focuses on industries that complement its management team’s background, and in its search for targets for its Business Combination capitalizes on the ability of its management team to identify and acquire a business, focusing on the healthcare or healthcare related industries. In particular, the Company is targeting North American or European companies in the biotech, pharmaceutical, medical device and therapeutics subsectors where its management has extensive investment experience. The Company is an emerging growth company and, as such, the Company is subject to all of the risks associated with emerging growth companies.</w:t>
      </w:r>
    </w:p>
    <w:p>
      <w:pPr>
        <w:spacing w:after="0" w:line="17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of December 31, 2019, the Company had not commenced any operations. All activity for the period from June 29, 2018 (inception) through December 31, 2019 relates to the Company’s formation, the preparation for its initial public offering (the “Initial Public Offering”) described below, and since the Initial Public Offering, the search for a target for a Business Combination. The Company will not generate any operating revenues until after the completion of its Business Combination, at the earliest. The Company generates non-operating income in the form of interest income on cash and investments from the proceeds derived from the Initial Public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and Initial Public Offering</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Company’s sponsor is ARYA Sciences Holdings, a Cayman Islands exempted limited company (the “Sponsor”). The registration statement for the Company’s Initial Public Offering was declared effective on October 4, 2018. On October 10, 2018, the Company consummated the Initial Public Offering, and offered and sold 14,375,000 units (each, a “Unit” and collectively, the “Units”) for $10.00 per Unit, which is discussed in Note 3, generating gross proceeds of $143.75 million, and incurring offering costs of approximately $9.2 million, inclusive of approximately $4.672 million in deferred underwriting commissions (Note 5).</w:t>
      </w:r>
    </w:p>
    <w:p>
      <w:pPr>
        <w:spacing w:after="0" w:line="188"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(the “Private Placement”) of 5,953,125 warrants (each, a “Private Placement Warrant” and collectively, the “Private Placement Warrants”) at a price of $1.00 per Private Placement Warrant, to the Sponsor, generating gross proceeds of approximately $5.95 million (Note 4).</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Account</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Upon the closing of the Initial Public Offering and the Private Placement, $143.75 million ($10.00 per Unit) of the net proceeds of the Initial Public Offering and certain of the proceeds of the Private Placement were placed in a trust account (the “Trust Account”), located in the United States at J.P. Morgan Chase Bank, N.A., with Continental Stock Transfer &amp; Trust Company acting as trustee, and was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assets held in the Trust Account as described below.</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Private Placement, although substantially all of the net proceeds are intended to be applied generally toward consummating a Business Combination. There is no assurance that the Company will be able to complete a Business Combination successfully. The Company must complete one or more Business Combinations having an aggregate fair market value of at least 80% of the assets held in the Trust Account (excluding the deferred underwriting commissions and taxes payable on income earned on the Trust Account) at the time of the agreement to enter into the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Company will provide the holders of its outstanding Class A ordinary shares, par value $0.0001 (the “Class A ordinary shares”), sold in the Initial Public Offering (the “Public Shareholders”) with the opportunity to redeem all or a portion of their Public Shares (as defined in Note 3)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underwriters (as discussed in Note 5). These Public Shares were recorded at a redemption value and classified as temporary equity upon the completion of the Initial Public Offering.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(the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Public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agreed to vote their Founder Shares (as defined in Note 4) and any Public Shares purchased during or after the Initial Public Offering in favor of a Business Combination. In addition, the initial shareholders agreed to waive their redemption rights with respect to their Founder Shares and any Public Shares acquired by them in connection with the completion of a Business Combination.</w:t>
      </w:r>
    </w:p>
    <w:p>
      <w:pPr>
        <w:spacing w:after="0" w:line="182"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is restricted from redeeming its shares with respect to more than an aggregate of 15% or more of the Public Shares, without the prior consent of the Company.</w:t>
      </w:r>
    </w:p>
    <w:p>
      <w:pPr>
        <w:spacing w:after="0" w:line="171"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The Company’s Sponsor, officers and directors (the “initial shareholders”) agreed not to propose an amendment to the amended and restated memorandum and articles of association that would affect the substance or timing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the Company’s obligation to redeem 100% of its Public Shares if the Company does not complete a Business Combination within the Combination Period (as defined below), unless the Company provides the Public Shareholders with the opportunity to redeem their Class A ordinary shares in conjunction with any such amendment.</w:t>
      </w:r>
    </w:p>
    <w:p>
      <w:pPr>
        <w:spacing w:after="0" w:line="18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If the Company is unable to complete a Business Combination within 24 months from the closing of the Initial Public Offering, or October 10, 2020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the Company’s remaining shareholders and the Company’s board of directors, proceed to commence a voluntary liquidation and thereby a formal dissolution of the Company, subject in each case to the Company’s obligations under Cayman Islands law to provide for claims of creditors and the requirements of other applicable law.</w:t>
      </w:r>
    </w:p>
    <w:p>
      <w:pPr>
        <w:spacing w:after="0" w:line="166"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The initial shareholders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the $10.00 per share initially held in the Trust Account (or less than that in certain circumstances). In order to protect the amounts held in the Trust Account, the Sponsor agreed to be liable to the Company if and to the extent any claims by third parties, including any vendor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third parties, including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71"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On January 22, 2020, the Company received a letter (the “Notification Letter”) from the staff of the Listing Qualifications Department of The Nasdaq Stock Market (“NASDAQ”) notifying the Company that it no longer complies with NASDAQ Listing Rule 5620(a) for continued listing due to its failure to hold an annual meeting of shareholders within twelve months of the end of the Company’s fiscal year ended December 31, 2018. NASDAQ has granted an exception of up to 180 calendar days from the fiscal year end, or until June 29, 2020, to regain compliance.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Notification Letter does not impact the Company’s listing on NASDAQ at this time, and the Company Class A ordinary shares, units and warrants have continued to trade on NASDAQ under the symbols “ARYA,” “ARYAU” and “ARYAW,” respectively.</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does not expect that the Notification Letter will affect its ability to consummate an initial Business Combination. The Company intends to file and mail to its shareholders a definitive proxy statement and to hold an annual meeting prior to June 29, 2020 to regain compliance with the NASDAQ listing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 December 31, 2019, the Company has approximately $874,000 in its operating bank account, and working capital of approximately $552,000.</w:t>
      </w:r>
    </w:p>
    <w:p>
      <w:pPr>
        <w:spacing w:after="0" w:line="23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liquidity needs were satisfied through receipt of a $25,000 capital contribution from our Sponsor in exchange for the issuance of the Founder Shares to our Sponsor, approximately $148,000 in note payable to related parties, and the net proceeds of the Private Placement not held in the Trust Account for working capital needs. We repaid the note to the Sponsor in October 2018.</w:t>
      </w:r>
    </w:p>
    <w:p>
      <w:pPr>
        <w:spacing w:after="0" w:line="18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In connection with the Company’s assessment of going concern considerations in accordance with Financial Accounting Standard Board’s Accounting Standards Updated (“ASU”) 2014-15, “Disclosure of Uncertainties about an Entity’s Ability to Continue as a Going Concern”, management has determined that the mandatory liquidation and subsequent dissolution raises substantial doubt about the Company’s ability to continue as a going concern. No adjustments have been made to the carrying amounts of assets or liabilities should the Company be required to liquidate after October 10,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84"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8"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66"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and investments held in Trust Account. Cash is maintained in accounts with financial institutions, which, at times may exceed the Federal depository insurance coverage of $250,000. The Company has not experienced losses on its cash accounts and management believes, based upon the quality of the financial institutions, that the credit risk with regard to these deposits is not significant. The Company’s investments held in Trust Account consists entirely of U.S government securities with an original maturity of 180 days or less.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Marketable Securities Held in Trust Account</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Company’s portfolio of marketable securities is comprised solely of U.S. government securities, within the meaning set forth in Section 2(a)(16) of the Investment Company Act, with a maturity of 180 days or less, classified as trading securities. Trading securities are presented on the balance sheets at fair value at the end of each reporting period. Gains and losses resulting from the change in fair value of these securities is included in gain on marketable securities (net), dividends and interest, held in Trust Account in the accompanying statements of operations. The estimated fair values of marketable securities held in Trust Account are determined using available market information.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2" w:lineRule="exact"/>
        <w:rPr>
          <w:sz w:val="20"/>
          <w:szCs w:val="20"/>
          <w:color w:val="auto"/>
        </w:rPr>
      </w:pPr>
    </w:p>
    <w:p>
      <w:pPr>
        <w:ind w:left="5460" w:right="1660" w:hanging="4912"/>
        <w:spacing w:after="0" w:line="449" w:lineRule="auto"/>
        <w:tabs>
          <w:tab w:leader="none" w:pos="109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 F-11</w:t>
      </w:r>
    </w:p>
    <w:p>
      <w:pPr>
        <w:sectPr>
          <w:pgSz w:w="11900" w:h="16838" w:orient="portrait"/>
          <w:cols w:equalWidth="0" w:num="1">
            <w:col w:w="11080"/>
          </w:cols>
          <w:pgMar w:left="320" w:top="459" w:right="4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080" w:right="160" w:hanging="532"/>
        <w:spacing w:after="0" w:line="342"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20" w:hanging="532"/>
        <w:spacing w:after="0" w:line="263"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As of December 31, 2019, and 2018, the carrying values of cash, accounts payable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December 31, 2019, and 2018, 13,872,230 and 13,614,368 Class A ordinary shares subject to possible redemption at the redemption amount are presented as temporary equity, outside of the shareholders’ equity section of the Company’s balance sheets.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Net income (loss) per share is computed by dividing net income (loss) by the weighted-average number of ordinary shares outstanding during the period. The Company has not considered the effect of warrants sold in the Initial Public Offering and Private Placement to purchase 13,140,625 Class A ordinary shares of the Company in the calculation of diluted income per share, since their inclusion would be anti-dilutive under the treasury stock method.</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Company’s statements of operation include a presentation of income per share for Class A ordinary shares subject to redemption in a manner similar to the two-class method of income per share. Net income per share, basic and diluted for Class A ordinary shares is calculated by dividing the interest income earned on the Trust Account, by the weighted average number of Class A ordinary shares outstanding for the period. Net loss per share, basic and diluted for Class B ordinary shares is calculated by dividing the net income, less income attributable to Public Shares, by the weighted average number of Class B ordinary shares outstanding for the periods.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Company follows the asset and liability method of accounting for income taxes under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Deferred tax assets and liabilities are recognized for the estimated future tax</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8"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FASB 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2019. The Company’s management determined that the Cayman Islands is the Company’s only major tax jurisdiction. The Company recognizes accrued interest and penalties related to unrecognized tax benefits as income tax expense. There were no unrecognized tax benefits and no amounts were accrued for interest and penalties for the year ended December 31, 2019 and 2018. The Company is currently not aware of any issues under review that could result in significant payments, accruals or material deviation from its position.</w:t>
      </w:r>
    </w:p>
    <w:p>
      <w:pPr>
        <w:spacing w:after="0" w:line="19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Company may be subject to potential examination by U.S. federal, U.S. state or foreign taxing authorities in the area of income taxes. These potential examinations may include questioning the timing and amount of deductions, the nexus of income among various tax jurisdictions and compliance with U.S. federal, U.S. state and foreign tax laws. There is currently no taxation imposed on income by the Government of the Cayman Islands. In accordance with Cayman federal income tax regulations, income taxes are not levied on the Company. Consequently, deferred tax assets and income taxes are not reflected in the Company’s financial statements. The Company’s management does not expect that the total amount of unrecognized tax benefits will materially change over the next twelve months.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pronouncements, if currently adopted, would have a material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Initial Public Offering</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On October 10, 2018, the Company sold 14,375,000 Units at a price of $10.00 per Unit in the Initial Public Offering. Each Unit consists of one Class A ordinary share (such Class A ordinary shares included in the Units being offered, the “Public Shares”), and one-half of one redeemable warrant (each, a “Public Warrant”). Each whole Public Warrant entitles the holder to purchase one Class A ordinary share at a price of $11.50 per share, subject to adjustment (see Note 6).</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Shares</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On July 5, 2018, the Sponsor paid $25,000 to cover certain expenses and offering costs on behalf of the Company in consideration of 3,593,750 shares (the “Founder Shares”) of the Company’s Class B ordinary shares, par value $0.0001 per share (the “Class B ordinary shares”). Prior to the consummation of the Initial Public Offering, the Sponsor transferred 30,000 Founder Shares to each of Kevin Conroy, Dr. Todd Wider and Dr. David Hung, the Company’s independent directors. The Founder Shares will automatically convert into Class A ordinary shares at the time of the Company’s initial Business Combination and are subject to certain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9" w:right="49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transfer restrictions, as described in Note 6. The Sponsor had agreed to forfeit up to 468,750 Founder Shares to the extent that the over-allotment option was not exercised in full by the underwriters. On October 10, 2018, the underwriters exercised the over-allotment option in full; thus, these Founder Shares were no longer subject to forfeiture.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initial shareholders agreed, subject to limited exceptions, not to transfer, assign or sell any of their Founder Shares until the earlier to occur of:</w:t>
      </w:r>
    </w:p>
    <w:p>
      <w:pPr>
        <w:spacing w:after="0" w:line="35" w:lineRule="exact"/>
        <w:rPr>
          <w:sz w:val="20"/>
          <w:szCs w:val="20"/>
          <w:color w:val="auto"/>
        </w:rPr>
      </w:pPr>
    </w:p>
    <w:p>
      <w:pPr>
        <w:ind w:left="120" w:hanging="4"/>
        <w:spacing w:after="0" w:line="271" w:lineRule="auto"/>
        <w:tabs>
          <w:tab w:leader="none" w:pos="41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one year after the completion of the initial Business Combination or (B) subsequent to the initial Business Combination, (x) if the last sale price of the Class A ordinary shares equals or exceeds $12.00 per share (as adjusted for share splits, share dividends,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Concurrently with the closing of the Initial Public Offering, the Sponsor purchased 5,953,125 Private Placement Warrants at a price of $1.00 per Private Placement Warrant, generating proceeds of approximately $5.953 million in the Private Placement.</w:t>
      </w:r>
    </w:p>
    <w:p>
      <w:pPr>
        <w:spacing w:after="0" w:line="170"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Each Private Placement Warrant is exercisable for one Class A ordinary share at a price of $11.50 per share. 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5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Related Party Loans</w:t>
      </w:r>
    </w:p>
    <w:p>
      <w:pPr>
        <w:spacing w:after="0" w:line="117" w:lineRule="exact"/>
        <w:rPr>
          <w:sz w:val="20"/>
          <w:szCs w:val="20"/>
          <w:color w:val="auto"/>
        </w:rPr>
      </w:pPr>
    </w:p>
    <w:p>
      <w:pPr>
        <w:ind w:left="120" w:right="440"/>
        <w:spacing w:after="0" w:line="257" w:lineRule="auto"/>
        <w:rPr>
          <w:sz w:val="20"/>
          <w:szCs w:val="20"/>
          <w:color w:val="auto"/>
        </w:rPr>
      </w:pPr>
      <w:r>
        <w:rPr>
          <w:rFonts w:ascii="Arial" w:cs="Arial" w:eastAsia="Arial" w:hAnsi="Arial"/>
          <w:sz w:val="18"/>
          <w:szCs w:val="18"/>
          <w:color w:val="auto"/>
        </w:rPr>
        <w:t>On July 5, 2018, the Sponsor agreed to loan the Company an aggregate of up to $300,000 to cover expenses related to the Initial Public Offering pursuant to a promissory note (the “Note”). This loan was non-interest bearing and payable upon the completion of the Initial Public Offering. The Sponsor paid an aggregate of approximately $148,000 to cover for expenses on the Company’s behalf under the Note. On October 10, 2018, the Company repaid the Note in full and advanced an additional $1,524 to the Sponsor. The Sponsor repaid this advance back to the Company on October 12, 2018.</w:t>
      </w:r>
    </w:p>
    <w:p>
      <w:pPr>
        <w:spacing w:after="0" w:line="188"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is not completed,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As of December 31, 2019, there were no outstanding Working Capital Loans under this arrangement.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Administrative Support Agreement</w:t>
      </w:r>
    </w:p>
    <w:p>
      <w:pPr>
        <w:spacing w:after="0" w:line="11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Commencing on the effective date of the Initial Public Offering in October 2018 through the earlier of the Company’s consummation of a Business Combination and its liquidation, the Company agreed to pay the Sponsor a total of $10,000 per month for office space, utilities and secretarial and administrative support. The Company recognized $120,000 and $29,000 and in expenses in connection with the aforementioned arrangements with the related parties on the Statements of Operations for the year ended December 31, 2019 and for the period from June 29, 2018 (inception) through December 31, 2018, respectively. As of December 31, 2019 and 2018, there were no amounts owed to the Sponsor in connection with such services.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of Ordinary Shares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Sponsor has indicated an interest to purchase up to $25 million of the Company’s ordinary shares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and Shareholder Rights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holders of Founder Shares, Private Placement Warrants and warrants that may be issued upon conversion of Working Capital Loans, if any, will be entitled to registration rights (in the case of the Founder Shares, only after conversion of such shares into Class A ordinary shares) pursuant to a registration and shareholder rights agreement entered into in connection with the consummation of the Initial Public Offering. These holders are entitled to certain demand and “piggyback” registration and shareholder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granted the underwriters a 45-day option from the date of the final prospectus relating to the Initial Public Offering to purchase up to 1,875,000 additional Units to cover over-allotments, if any, at $10.00 per Unit, less underwriting discounts and commissions. The underwriters exercised this option in full on October 10, 2018.</w:t>
      </w:r>
    </w:p>
    <w:p>
      <w:pPr>
        <w:spacing w:after="0" w:line="184"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underwriters were entitled to underwriting discounts of $0.275 per Unit, or approximately $3.953 million in the aggregate, paid upon the closing of the Initial Public Offering. An additional fee of $0.325 per Unit, or approximately $4.672 million in the aggregate, will be payable to the underwriters for deferred underwriting commissions. The deferred underwriting commissions will become payable to the underwriters from the amounts held in the Trust Account solely in the event that the Company completes a Business Combination, subject to the terms of the underwriting agreement.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Shareholders’ Equity</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479,000,000 Class A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Class A ordinary shares are entitled to one vote for each share on each matter on which they are entitled to vote. As of December 31, 2019, and 2018, there were 14,375,000 Class A ordinary shares issued or outstanding, including 13,872,230 and 13,614,368 Class A ordinary shares subject to possible redemption, respectively.</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20,000,000 Class B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ordinary shares and Class B ordinary shares will vote together as a single class on all matters submitted to vote, except as required by law. Holders of Class B ordinary shares are entitled to one vote for each share. As of December 31, 2019, and 2018, there were 3,593,750 Class B ordinary shares outstanding.</w:t>
      </w:r>
    </w:p>
    <w:p>
      <w:pPr>
        <w:spacing w:after="0" w:line="18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Class B ordinary shares will automatically convert into Class A ordinary shares at the time of the Business Combination at a ratio such that the number of Class A ordinary shares issuable upon conversion of all Class B ordinary shares will equal, in the aggregate, on an as-converted basis, 20.0% of the sum of (i) the total number of Class A ordinary shares issued and outstanding upon completion of the Initial Public Offering, plus (ii) the sum of</w:t>
      </w:r>
    </w:p>
    <w:p>
      <w:pPr>
        <w:spacing w:after="0" w:line="2" w:lineRule="exact"/>
        <w:rPr>
          <w:sz w:val="20"/>
          <w:szCs w:val="20"/>
          <w:color w:val="auto"/>
        </w:rPr>
      </w:pPr>
    </w:p>
    <w:p>
      <w:pPr>
        <w:ind w:left="120" w:right="140" w:hanging="4"/>
        <w:spacing w:after="0" w:line="253" w:lineRule="auto"/>
        <w:tabs>
          <w:tab w:leader="none" w:pos="36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total number of Class A ordinary shares or equity-linked securities exercisable for or convertible into Class A ordinary shares issued or deemed issued in connection with the Business Combination (excluding any shares or equity-linked securities issued, or to be issued, to any seller in the Business Combination or any warrants issued to the Sponsor upon conversion of Working Capital Loans), minus (b) the number of Public Shares redeemed by Public Shareholders in connection with the Business Combination.</w:t>
      </w:r>
    </w:p>
    <w:p>
      <w:pPr>
        <w:spacing w:after="0" w:line="19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1,000,000 preference shares with a par value of $0.0001 per share, and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December 31, 2019 and 2018, there were no preference shares issued or outstanding.</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Public Warrants will be issued upon separation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and only whole Public Warrants will trade. The Public Warrants will become exercisable on the later of (a) 30 days after the completion of a Business Combination or (b) twelve months from the closing of the Initial Public Offering; provided in each case that the Company has an effective registration statement under the Securities Act covering the Class A ordinary shares issuable upon exercise of the Public Warrants and a current prospectus relating to them is available (or the Company permits holders to exercise their Public Warrants on a cashless basis and such cashless exercise is exempt from registration under the Securities Act). The Company agreed that as soon as practicable, but in no event later than 20 business days, after the closing of a Business Combination, the Company will use its best efforts to file with the SEC a registration statement for the registration, under the Securities Act, of the Class A ordinary shares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Class A ordinary shares issuable upon exercise of the Public Warrants is not effective by the sixtieth (60th) day after the closing of the initial Business Combination, warrantholders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Private Placement Warrants are identical to the Public Warrants included in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may call the Public Warrants for redemption:</w:t>
      </w:r>
    </w:p>
    <w:p>
      <w:pPr>
        <w:spacing w:after="0" w:line="131" w:lineRule="exact"/>
        <w:rPr>
          <w:sz w:val="20"/>
          <w:szCs w:val="20"/>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5"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if, and only if, the last reported closing price of the ordinary shares equals or exceeds $18.00 per share for any 20 trading days within a 30-trading day period ending on the third trading day prior to the date on which the Company sends the notice of redemption to the warrantholders.</w:t>
      </w:r>
    </w:p>
    <w:p>
      <w:pPr>
        <w:spacing w:after="0" w:line="146"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exercise price and number of Class A ordinary shares issuable upon exercise of the warrants may be adjusted in certain circumstances including in the event of a share dividend, or recapitalization, reorganization, merger or consolidation. However, the warrants will not be adjusted for issuance of Class A ordinary shares at a price below its exercise price. Additionally, in no event will the Company be required to net cash settle the warrant shares.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Fair Value Measurements</w:t>
      </w:r>
    </w:p>
    <w:p>
      <w:pPr>
        <w:spacing w:after="0" w:line="121"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as of December 31, 2019, and 2018 and indicates the fair value hierarchy of the valuation techniques that the Company utilized to determine such fair value.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2019</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7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Prices</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440" w:type="dxa"/>
            <w:vAlign w:val="bottom"/>
            <w:gridSpan w:val="2"/>
          </w:tcPr>
          <w:p>
            <w:pPr>
              <w:jc w:val="center"/>
              <w:ind w:left="62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20" w:type="dxa"/>
            <w:vAlign w:val="bottom"/>
            <w:gridSpan w:val="3"/>
          </w:tcPr>
          <w:p>
            <w:pPr>
              <w:jc w:val="center"/>
              <w:ind w:left="56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74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7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72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70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Investments held in Trust Account</w:t>
            </w:r>
          </w:p>
        </w:tc>
        <w:tc>
          <w:tcPr>
            <w:tcW w:w="17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$147,841,513</w:t>
            </w:r>
          </w:p>
        </w:tc>
        <w:tc>
          <w:tcPr>
            <w:tcW w:w="7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December 31, 2018</w:t>
            </w: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7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0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Prices</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440" w:type="dxa"/>
            <w:vAlign w:val="bottom"/>
            <w:gridSpan w:val="2"/>
          </w:tcPr>
          <w:p>
            <w:pPr>
              <w:jc w:val="center"/>
              <w:ind w:left="62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20" w:type="dxa"/>
            <w:vAlign w:val="bottom"/>
            <w:gridSpan w:val="3"/>
          </w:tcPr>
          <w:p>
            <w:pPr>
              <w:jc w:val="center"/>
              <w:ind w:left="56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74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7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72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70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Investments held in Trust Account</w:t>
            </w:r>
          </w:p>
        </w:tc>
        <w:tc>
          <w:tcPr>
            <w:tcW w:w="17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$144,488,284</w:t>
            </w:r>
          </w:p>
        </w:tc>
        <w:tc>
          <w:tcPr>
            <w:tcW w:w="7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740" w:type="dxa"/>
            <w:vAlign w:val="bottom"/>
            <w:gridSpan w:val="2"/>
          </w:tcPr>
          <w:p>
            <w:pPr>
              <w:ind w:left="1000"/>
              <w:spacing w:after="0"/>
              <w:rPr>
                <w:sz w:val="20"/>
                <w:szCs w:val="20"/>
                <w:color w:val="auto"/>
              </w:rPr>
            </w:pPr>
            <w:r>
              <w:rPr>
                <w:rFonts w:ascii="Arial" w:cs="Arial" w:eastAsia="Arial" w:hAnsi="Arial"/>
                <w:sz w:val="18"/>
                <w:szCs w:val="18"/>
                <w:color w:val="auto"/>
              </w:rPr>
              <w:t>F-17</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of the hierarchy for the year ended December 31, 2019 and for the period from June 29, 2018 (inception) through December 31, 2018. Level 1 instruments include investments U.S. Treasury securities with an original maturity of 180 days or less.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Subsequent Events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evaluated subsequent events and transactions that occurred up to the date financial statements were available to be issued. Based upon this review, the Company determined that there have been no events that have occurred that would require adjustments to the disclosures in the financial statements, except as disclosed in Note 1.</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7080" w:type="dxa"/>
            <w:vAlign w:val="bottom"/>
          </w:tcPr>
          <w:p>
            <w:pPr>
              <w:jc w:val="center"/>
              <w:ind w:left="1970"/>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(Unaudited)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0" w:type="dxa"/>
            <w:vAlign w:val="bottom"/>
          </w:tcPr>
          <w:p>
            <w:pPr>
              <w:spacing w:after="0"/>
              <w:rPr>
                <w:sz w:val="24"/>
                <w:szCs w:val="24"/>
                <w:color w:val="auto"/>
              </w:rPr>
            </w:pPr>
          </w:p>
        </w:tc>
        <w:tc>
          <w:tcPr>
            <w:tcW w:w="708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ARYA SCIENCES ACQUISITION CORP.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7080" w:type="dxa"/>
            <w:vAlign w:val="bottom"/>
          </w:tcPr>
          <w:p>
            <w:pPr>
              <w:jc w:val="center"/>
              <w:ind w:left="1950"/>
              <w:spacing w:after="0"/>
              <w:rPr>
                <w:sz w:val="20"/>
                <w:szCs w:val="20"/>
                <w:color w:val="auto"/>
              </w:rPr>
            </w:pPr>
            <w:r>
              <w:rPr>
                <w:rFonts w:ascii="Arial" w:cs="Arial" w:eastAsia="Arial" w:hAnsi="Arial"/>
                <w:sz w:val="18"/>
                <w:szCs w:val="18"/>
                <w:b w:val="1"/>
                <w:bCs w:val="1"/>
                <w:color w:val="auto"/>
                <w:w w:val="98"/>
              </w:rPr>
              <w:t>CONDENSED BALANCE SHEETS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March 31, 2020</w:t>
            </w:r>
          </w:p>
        </w:tc>
        <w:tc>
          <w:tcPr>
            <w:tcW w:w="180" w:type="dxa"/>
            <w:vAlign w:val="bottom"/>
          </w:tcPr>
          <w:p>
            <w:pPr>
              <w:spacing w:after="0"/>
              <w:rPr>
                <w:sz w:val="24"/>
                <w:szCs w:val="24"/>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(Unaudited)</w:t>
            </w:r>
          </w:p>
        </w:tc>
        <w:tc>
          <w:tcPr>
            <w:tcW w:w="2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70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701,650</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874,326</w:t>
            </w:r>
          </w:p>
        </w:tc>
        <w:tc>
          <w:tcPr>
            <w:tcW w:w="0" w:type="dxa"/>
            <w:vAlign w:val="bottom"/>
          </w:tcPr>
          <w:p>
            <w:pPr>
              <w:spacing w:after="0"/>
              <w:rPr>
                <w:sz w:val="1"/>
                <w:szCs w:val="1"/>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82,969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60,584</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934,910</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148,698,960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147,841,513</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Total Assets</w:t>
            </w:r>
          </w:p>
        </w:tc>
        <w:tc>
          <w:tcPr>
            <w:tcW w:w="70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149,483,579</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148,776,423</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194,406</w:t>
            </w:r>
          </w:p>
        </w:tc>
        <w:tc>
          <w:tcPr>
            <w:tcW w:w="220" w:type="dxa"/>
            <w:vAlign w:val="bottom"/>
          </w:tcPr>
          <w:p>
            <w:pPr>
              <w:spacing w:after="0"/>
              <w:rPr>
                <w:sz w:val="18"/>
                <w:szCs w:val="18"/>
                <w:color w:val="auto"/>
              </w:rPr>
            </w:pPr>
          </w:p>
        </w:tc>
        <w:tc>
          <w:tcPr>
            <w:tcW w:w="40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107,245</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4,164,847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4,359,253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382,245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4,671,875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4,671,875</w:t>
            </w:r>
          </w:p>
        </w:tc>
        <w:tc>
          <w:tcPr>
            <w:tcW w:w="0" w:type="dxa"/>
            <w:vAlign w:val="bottom"/>
          </w:tcPr>
          <w:p>
            <w:pPr>
              <w:spacing w:after="0"/>
              <w:rPr>
                <w:sz w:val="1"/>
                <w:szCs w:val="1"/>
                <w:color w:val="auto"/>
              </w:rPr>
            </w:pPr>
          </w:p>
        </w:tc>
      </w:tr>
      <w:tr>
        <w:trPr>
          <w:trHeight w:val="228"/>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9,031,128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5,054,120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0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020" w:type="dxa"/>
            <w:vAlign w:val="bottom"/>
            <w:gridSpan w:val="2"/>
          </w:tcPr>
          <w:p>
            <w:pPr>
              <w:spacing w:after="0"/>
              <w:rPr>
                <w:sz w:val="20"/>
                <w:szCs w:val="20"/>
                <w:color w:val="auto"/>
              </w:rPr>
            </w:pPr>
            <w:r>
              <w:rPr>
                <w:rFonts w:ascii="Arial" w:cs="Arial" w:eastAsia="Arial" w:hAnsi="Arial"/>
                <w:sz w:val="18"/>
                <w:szCs w:val="18"/>
                <w:color w:val="auto"/>
              </w:rPr>
              <w:t>Class A ordinary shares, $0.0001 par value; 13,545,245 and 13,872,230 shares subject to possible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redemption at redemption value at March 31, 2020 and December 31, 2019, respectively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135,452,450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138,722,300</w:t>
            </w:r>
          </w:p>
        </w:tc>
        <w:tc>
          <w:tcPr>
            <w:tcW w:w="0" w:type="dxa"/>
            <w:vAlign w:val="bottom"/>
          </w:tcPr>
          <w:p>
            <w:pPr>
              <w:spacing w:after="0"/>
              <w:rPr>
                <w:sz w:val="1"/>
                <w:szCs w:val="1"/>
                <w:color w:val="auto"/>
              </w:rPr>
            </w:pPr>
          </w:p>
        </w:tc>
      </w:tr>
      <w:tr>
        <w:trPr>
          <w:trHeight w:val="108"/>
        </w:trPr>
        <w:tc>
          <w:tcPr>
            <w:tcW w:w="80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80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8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Class A ordinary shares, $0.0001 par value; 479,000,000 shares authorized; 829,755 and 502,770 shares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issued and outstanding (excluding 13,545,245 and 13,872,230 shares subject to possible redemption) at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31, 2020 and December 31, 2019,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10"/>
        </w:trPr>
        <w:tc>
          <w:tcPr>
            <w:tcW w:w="8020" w:type="dxa"/>
            <w:vAlign w:val="bottom"/>
            <w:gridSpan w:val="2"/>
          </w:tcPr>
          <w:p>
            <w:pPr>
              <w:spacing w:after="0"/>
              <w:rPr>
                <w:sz w:val="20"/>
                <w:szCs w:val="20"/>
                <w:color w:val="auto"/>
              </w:rPr>
            </w:pPr>
            <w:r>
              <w:rPr>
                <w:rFonts w:ascii="Arial" w:cs="Arial" w:eastAsia="Arial" w:hAnsi="Arial"/>
                <w:sz w:val="18"/>
                <w:szCs w:val="18"/>
                <w:color w:val="auto"/>
                <w:w w:val="95"/>
              </w:rPr>
              <w:t>Class B ordinary shares, $0.0001 par value; 20,000,000 shares authorized; 3,593,750 shares issued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outstanding at March 31, 2020 and December 31, 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108"/>
        </w:trPr>
        <w:tc>
          <w:tcPr>
            <w:tcW w:w="80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5,064,189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1,794,372</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(Accumulated deficit) Retained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(64,630)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3,205,222</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5,000,003</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149,483,579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148,776,423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For the Three Months Ended March 31,</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costs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4,127,299</w:t>
            </w:r>
          </w:p>
        </w:tc>
        <w:tc>
          <w:tcPr>
            <w:tcW w:w="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(4,127,299)</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on Trust Account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857,447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872,335</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(3,269,852</w:t>
            </w:r>
          </w:p>
        </w:tc>
        <w:tc>
          <w:tcPr>
            <w:tcW w:w="720" w:type="dxa"/>
            <w:vAlign w:val="bottom"/>
          </w:tcPr>
          <w:p>
            <w:pPr>
              <w:jc w:val="right"/>
              <w:ind w:right="5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A ordinary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14,375,000</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14,375,000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per share, Class A</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7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B ordinary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3,593,750</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3,593,750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7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CHANGES IN SHAREHOLDERS’ EQUITY</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w w:val="96"/>
              </w:rPr>
              <w:t>For the Three Months Ended March 31, 2020</w:t>
            </w: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Ordinary Shares</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1080" w:type="dxa"/>
            <w:vAlign w:val="bottom"/>
            <w:tcBorders>
              <w:bottom w:val="single" w:sz="8" w:color="auto"/>
            </w:tcBorders>
            <w:gridSpan w:val="4"/>
          </w:tcPr>
          <w:p>
            <w:pPr>
              <w:ind w:left="500"/>
              <w:spacing w:after="0" w:line="142" w:lineRule="exact"/>
              <w:rPr>
                <w:sz w:val="20"/>
                <w:szCs w:val="20"/>
                <w:color w:val="auto"/>
              </w:rPr>
            </w:pPr>
            <w:r>
              <w:rPr>
                <w:rFonts w:ascii="Arial" w:cs="Arial" w:eastAsia="Arial" w:hAnsi="Arial"/>
                <w:sz w:val="14"/>
                <w:szCs w:val="14"/>
                <w:b w:val="1"/>
                <w:bCs w:val="1"/>
                <w:color w:val="auto"/>
              </w:rPr>
              <w:t>Class A</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9"/>
              </w:rPr>
              <w:t>Class B</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Additional Paid-In</w:t>
            </w: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Shareholders’</w:t>
            </w:r>
          </w:p>
        </w:tc>
      </w:tr>
      <w:tr>
        <w:trPr>
          <w:trHeight w:val="142"/>
        </w:trPr>
        <w:tc>
          <w:tcPr>
            <w:tcW w:w="3580" w:type="dxa"/>
            <w:vAlign w:val="bottom"/>
          </w:tcPr>
          <w:p>
            <w:pPr>
              <w:spacing w:after="0"/>
              <w:rPr>
                <w:sz w:val="12"/>
                <w:szCs w:val="12"/>
                <w:color w:val="auto"/>
              </w:rPr>
            </w:pPr>
          </w:p>
        </w:tc>
        <w:tc>
          <w:tcPr>
            <w:tcW w:w="96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2"/>
                <w:szCs w:val="12"/>
                <w:color w:val="auto"/>
              </w:rPr>
            </w:pPr>
          </w:p>
        </w:tc>
        <w:tc>
          <w:tcPr>
            <w:tcW w:w="10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502,770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79"/>
              </w:rPr>
              <w:t>359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1,794,372</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3,205,222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$ 5,000,003</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w w:val="94"/>
              </w:rPr>
              <w:t>Ordinary shares subject to possible redemption</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326,985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3,269,817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3,269,850</w:t>
            </w:r>
          </w:p>
        </w:tc>
        <w:tc>
          <w:tcPr>
            <w:tcW w:w="120" w:type="dxa"/>
            <w:vAlign w:val="bottom"/>
          </w:tcPr>
          <w:p>
            <w:pPr>
              <w:spacing w:after="0"/>
              <w:rPr>
                <w:sz w:val="19"/>
                <w:szCs w:val="19"/>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(3,269,852)</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(3,269,852)</w:t>
            </w:r>
          </w:p>
        </w:tc>
      </w:tr>
      <w:tr>
        <w:trPr>
          <w:trHeight w:val="223"/>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 March 31, 2020 (unaudited)</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829,755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359</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5,064,189</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$ 5,000,001</w:t>
            </w:r>
          </w:p>
        </w:tc>
        <w:tc>
          <w:tcPr>
            <w:tcW w:w="1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5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ind w:left="560"/>
              <w:spacing w:after="0"/>
              <w:rPr>
                <w:sz w:val="20"/>
                <w:szCs w:val="20"/>
                <w:color w:val="auto"/>
              </w:rPr>
            </w:pPr>
            <w:r>
              <w:rPr>
                <w:rFonts w:ascii="Arial" w:cs="Arial" w:eastAsia="Arial" w:hAnsi="Arial"/>
                <w:sz w:val="14"/>
                <w:szCs w:val="14"/>
                <w:b w:val="1"/>
                <w:bCs w:val="1"/>
                <w:color w:val="auto"/>
                <w:w w:val="96"/>
              </w:rPr>
              <w:t>For the three months ended March 31, 2019</w:t>
            </w: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5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Ordinary Shares</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1080" w:type="dxa"/>
            <w:vAlign w:val="bottom"/>
            <w:tcBorders>
              <w:bottom w:val="single" w:sz="8" w:color="auto"/>
            </w:tcBorders>
            <w:gridSpan w:val="4"/>
          </w:tcPr>
          <w:p>
            <w:pPr>
              <w:ind w:left="500"/>
              <w:spacing w:after="0" w:line="142" w:lineRule="exact"/>
              <w:rPr>
                <w:sz w:val="20"/>
                <w:szCs w:val="20"/>
                <w:color w:val="auto"/>
              </w:rPr>
            </w:pPr>
            <w:r>
              <w:rPr>
                <w:rFonts w:ascii="Arial" w:cs="Arial" w:eastAsia="Arial" w:hAnsi="Arial"/>
                <w:sz w:val="14"/>
                <w:szCs w:val="14"/>
                <w:b w:val="1"/>
                <w:bCs w:val="1"/>
                <w:color w:val="auto"/>
              </w:rPr>
              <w:t>Class A</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9"/>
              </w:rPr>
              <w:t>Class B</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Additional Paid-In</w:t>
            </w: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Shareholders’</w:t>
            </w:r>
          </w:p>
        </w:tc>
      </w:tr>
      <w:tr>
        <w:trPr>
          <w:trHeight w:val="142"/>
        </w:trPr>
        <w:tc>
          <w:tcPr>
            <w:tcW w:w="3580" w:type="dxa"/>
            <w:vAlign w:val="bottom"/>
          </w:tcPr>
          <w:p>
            <w:pPr>
              <w:spacing w:after="0"/>
              <w:rPr>
                <w:sz w:val="12"/>
                <w:szCs w:val="12"/>
                <w:color w:val="auto"/>
              </w:rPr>
            </w:pPr>
          </w:p>
        </w:tc>
        <w:tc>
          <w:tcPr>
            <w:tcW w:w="96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2"/>
                <w:szCs w:val="12"/>
                <w:color w:val="auto"/>
              </w:rPr>
            </w:pPr>
          </w:p>
        </w:tc>
        <w:tc>
          <w:tcPr>
            <w:tcW w:w="10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2018</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760,632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79"/>
              </w:rPr>
              <w:t>359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4,372,966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626,600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$ 5,000,001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w w:val="94"/>
              </w:rPr>
              <w:t>Ordinary shares subject to possible redemption</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(71,876)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(718,753)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(718,760)</w:t>
            </w:r>
          </w:p>
        </w:tc>
        <w:tc>
          <w:tcPr>
            <w:tcW w:w="120" w:type="dxa"/>
            <w:vAlign w:val="bottom"/>
          </w:tcPr>
          <w:p>
            <w:pPr>
              <w:spacing w:after="0"/>
              <w:rPr>
                <w:sz w:val="19"/>
                <w:szCs w:val="19"/>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718,765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718,765</w:t>
            </w:r>
          </w:p>
        </w:tc>
      </w:tr>
      <w:tr>
        <w:trPr>
          <w:trHeight w:val="223"/>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 March 31, 2019 (unaudited)</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688,756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359</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3,654,213</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1,345,365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$ 5,000,006</w:t>
            </w:r>
          </w:p>
        </w:tc>
        <w:tc>
          <w:tcPr>
            <w:tcW w:w="1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29"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For the Three Months Ended</w:t>
      </w:r>
    </w:p>
    <w:p>
      <w:pPr>
        <w:jc w:val="center"/>
        <w:ind w:left="85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86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(3,269,852)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718,765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Income earned on investment held in Trust Account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(857,447)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(872,335)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(22,385)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(16,877)</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3,889,847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38,011</w:t>
            </w: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(172,676)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(122,436)</w:t>
            </w:r>
          </w:p>
        </w:tc>
      </w:tr>
      <w:tr>
        <w:trPr>
          <w:trHeight w:val="324"/>
        </w:trPr>
        <w:tc>
          <w:tcPr>
            <w:tcW w:w="868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(172,676)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(122,436)</w:t>
            </w:r>
          </w:p>
        </w:tc>
      </w:tr>
      <w:tr>
        <w:trPr>
          <w:trHeight w:val="108"/>
        </w:trPr>
        <w:tc>
          <w:tcPr>
            <w:tcW w:w="8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874,326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1,198,306</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Cash - end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701,650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1,075,870</w:t>
            </w:r>
          </w:p>
        </w:tc>
        <w:tc>
          <w:tcPr>
            <w:tcW w:w="14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8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(3,269,850)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718,760</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Organization and General</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ARYA Sciences Acquisition Corp. (the “Company”) is a blank check company incorporated on June 29, 2018 (inception) as a Cayman Islands exempted company for the purpose of effecting a merger, share exchange, asset acquisition, share purchase, reorganization or similar business combination with one or more businesses (the “Business Combination”). While the Company may pursue an acquisition opportunity in any business, industry, sector or geographical location, it focuses on industries that complement its management team’s background, and in its search for targets for its Business Combination capitalizes on the ability of its management team to identify and acquire a business, focusing on the healthcare or healthcare related industries. In particular, the Company is targeting North American or European companies in the biotech, pharmaceutical, medical device and therapeutics subsectors where its management has extensive investment experience. The Company is an emerging growth company and, as such, the Company is subject to all of the risks associated with emerging growth companies.</w:t>
      </w:r>
    </w:p>
    <w:p>
      <w:pPr>
        <w:spacing w:after="0" w:line="178"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As of March 31, 2020, the Company had not commenced any operations. All activity for the period from June 29, 2018 (inception) through March 31, 2020 relates to the Company’s formation, the preparation for its initial public offering (the “Initial Public Offering”) described below, and since the Initial Public Offering, the search for a target for a Business Combination. The Company will not generate any operating revenues until after the completion of its Business Combination, at the earliest. The Company generates non-operating income in the form of interest income on cash and investments from the proceeds derived from the Initial Public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and Initial Public Offering</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Company’s sponsor is ARYA Sciences Holdings, a Cayman Islands exempted limited company (the “Sponsor”). The registration statement for the Company’s Initial Public Offering was declared effective on October 4, 2018. On October 10, 2018, the Company consummated the Initial Public Offering, and offered and sold 14,375,000 units (each, a “Unit” and collectively, the “Units”) for $10.00 per Unit, which is discussed in Note 3, generating gross proceeds of $143.75 million, and incurring offering costs of approximately $9.2 million, inclusive of approximately $4.672 million in deferred underwriting commissions (Note 5).</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(the “Private Placement”) of 5,953,125 warrants (each, a “Private Placement Warrant” and collectively, the “Private Placement Warrants”) at a price of $1.00 per Private Placement Warrant, to the Sponsor, generating gross proceeds of approximately $5.95 million (Note 4).</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Account</w:t>
      </w:r>
    </w:p>
    <w:p>
      <w:pPr>
        <w:spacing w:after="0" w:line="117"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Upon the closing of the Initial Public Offering and the Private Placement, $143.75 million ($10.00 per Unit) of the net proceeds of the Initial Public Offering and certain of the proceeds of the Private Placement were placed in a trust account (the “Trust Account”), located in the United States at J.P. Morgan Chase Bank, N.A., with Continental Stock Transfer &amp; Trust Company acting as trustee, and was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paragraphs (d)(2), (d)(3) and (d)(4) of Rule 2a-7 of the Investment Company Act, as determined by the Company, until the earlier of:</w:t>
      </w:r>
    </w:p>
    <w:p>
      <w:pPr>
        <w:spacing w:after="0" w:line="4" w:lineRule="exact"/>
        <w:rPr>
          <w:sz w:val="20"/>
          <w:szCs w:val="20"/>
          <w:color w:val="auto"/>
        </w:rPr>
      </w:pPr>
    </w:p>
    <w:p>
      <w:pPr>
        <w:ind w:left="5460" w:right="1800" w:hanging="5344"/>
        <w:spacing w:after="0" w:line="433" w:lineRule="auto"/>
        <w:tabs>
          <w:tab w:leader="none" w:pos="33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completion of a Business Combination and (ii) the distribution of the assets held in the Trust Account as described below. F-23</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Private Placement, although substantially all of the net proceeds are intended to be applied generally toward consummating a Business Combination. There is no assurance that the Company will be able to complete a Business Combination successfully. The Company must complete one or more Business Combinations having an aggregate fair market value of at least 80% of the assets held in the Trust Account (excluding the deferred underwriting commissions and taxes payable on income earned on the Trust Account) at the time of the agreement to enter into the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Company will provide the holders of its outstanding Class A ordinary shares, par value $0.0001 (the “Class A ordinary shares”), sold in the Initial Public Offering (the “Public Shareholders”) with the opportunity to redeem all or a portion of their Public Shares (as defined in Note 3)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underwriters (as discussed in Note 5). These Public Shares were recorded at a redemption value and classified as temporary equity upon the completion of the Initial Public Offering.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(the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Public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agreed to vote their Founder Shares (as defined in Note 4) and any Public Shares purchased during or after the Initial Public Offering in favor of a Business Combination. In addition, the initial shareholders agreed to waive their redemption rights with respect to their Founder Shares and any Public Shares acquired by them in connection with the completion of a Business Combination.</w:t>
      </w:r>
    </w:p>
    <w:p>
      <w:pPr>
        <w:spacing w:after="0" w:line="18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is restricted from redeeming its shares with respect to more than an aggregate of 15% or more of the Public Shares, without the prior consent of the Company.</w:t>
      </w:r>
    </w:p>
    <w:p>
      <w:pPr>
        <w:spacing w:after="0" w:line="17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Company’s Sponsor, officers and directors (the “initial shareholders”) agreed not to propose an amendment to the amended and restated memorandum and articles of association that would affect the substance or timing of the Company’s obligation to redeem 100% of its Public Shares if the Company does not complete 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Business Combination within the Combination Period (as defined below), unless the Company provides the Public Shareholders with the opportunity to redeem their Class A ordinary shares in conjunction with any such amendment.</w:t>
      </w:r>
    </w:p>
    <w:p>
      <w:pPr>
        <w:spacing w:after="0" w:line="17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the Company is unable to complete a Business Combination within 24 months from the closing of the Initial Public Offering, or October 10, 2020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the Company’s remaining shareholders and the Company’s board of directors, proceed to commence a voluntary liquidation and thereby a formal dissolution of the Company, subject in each case to the Company’s obligations under Cayman Islands law to provide for claims of creditors and the requirements of other applicable law.</w:t>
      </w:r>
    </w:p>
    <w:p>
      <w:pPr>
        <w:spacing w:after="0" w:line="194"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initial shareholders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the $10.00 per share initially held in the Trust Account (or less than that in certain circumstances). In order to protect the amounts held in the Trust Account, the Sponsor agreed to be liable to the Company if and to the extent any claims by third parties, including any vendor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third parties, including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NASDAQ Notification Letter</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January 2, 2020, the Company received a letter (the “Notification Letter”) from the staff of the Listing Qualifications Department of The Nasdaq Stock Market (“NASDAQ”) notifying the Company that it no longer complies with NASDAQ Listing Rule 5620(a) for continued listing due to its failure to hold an annual meeting of</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9" w:right="49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shareholders within twelve months of the end of the Company’s fiscal year ended December 31, 2019. NASDAQ has granted an exception of up to 180 calendar days from the fiscal year end, or until June 29, 2020, to regain compliance.</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Notification Letter does not impact the Company’s listing on NASDAQ at this time, and the Company Class A ordinary shares, units and warrants have continued to trade on NASDAQ under the symbols “ARYA,” “ARYAU” and “ARYAW,” respectively.</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does not expect that the Notification Letter will affect its ability to consummate an initial Business Combination. The Company intends to file and mail to its shareholders a definitive proxy statement and to hold an annual meeting prior to June 29, 2020 to regain compliance with the NASDAQ listing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Immatics Business Combination</w:t>
      </w:r>
    </w:p>
    <w:p>
      <w:pPr>
        <w:spacing w:after="0" w:line="117"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On March 17, 2020, the Company entered into a business combination agreement (as it may be amended, supplemented or otherwise modified from time to time, the “Business Combination Agreement”), by and among the Company, Immatics B.V., a Netherlands private limited liability company (“TopCo”), Immatics Biotechnologies GmbH, a German limited liability company (“Immatics”), Immatics Merger Sub 1, a Cayman Islands exempted company (“ARYA Merger Sub”), and Immatics Merger Sub 2, a Cayman Islands exempted company (“IB Merger Sub”). The Business Combination Agreement and the transactions contemplated thereby were approved by the boards of directors of each of the Company and Immatics.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Business Combination Agreement provides for, among other things, the following transactions on the closing date (collectively, the “Immatics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Combination”):</w:t>
      </w:r>
    </w:p>
    <w:p>
      <w:pPr>
        <w:spacing w:after="0" w:line="116" w:lineRule="exact"/>
        <w:rPr>
          <w:sz w:val="20"/>
          <w:szCs w:val="20"/>
          <w:color w:val="auto"/>
        </w:rPr>
      </w:pPr>
    </w:p>
    <w:p>
      <w:pPr>
        <w:ind w:left="1080" w:right="120" w:hanging="532"/>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shareholders of Immatics that have agreed to participate in the transaction will exchange (the “Exchange”) their interests in Immatics for ordinary shares in the share capital of TopCo (the “TopCo Ordinary Shares”);</w:t>
      </w:r>
    </w:p>
    <w:p>
      <w:pPr>
        <w:spacing w:after="0" w:line="197" w:lineRule="exact"/>
        <w:rPr>
          <w:rFonts w:ascii="Arial" w:cs="Arial" w:eastAsia="Arial" w:hAnsi="Arial"/>
          <w:sz w:val="18"/>
          <w:szCs w:val="18"/>
          <w:color w:val="auto"/>
        </w:rPr>
      </w:pPr>
    </w:p>
    <w:p>
      <w:pPr>
        <w:ind w:left="1080" w:right="660" w:hanging="532"/>
        <w:spacing w:after="0" w:line="308" w:lineRule="auto"/>
        <w:tabs>
          <w:tab w:leader="none" w:pos="10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Immediately after the Exchange, the legal form of TopCo shall be changed from a private company with limited liability (</w:t>
      </w:r>
      <w:r>
        <w:rPr>
          <w:rFonts w:ascii="Arial" w:cs="Arial" w:eastAsia="Arial" w:hAnsi="Arial"/>
          <w:sz w:val="17"/>
          <w:szCs w:val="17"/>
          <w:i w:val="1"/>
          <w:iCs w:val="1"/>
          <w:color w:val="auto"/>
        </w:rPr>
        <w:t>besloten</w:t>
      </w:r>
      <w:r>
        <w:rPr>
          <w:rFonts w:ascii="Arial" w:cs="Arial" w:eastAsia="Arial" w:hAnsi="Arial"/>
          <w:sz w:val="17"/>
          <w:szCs w:val="17"/>
          <w:color w:val="auto"/>
        </w:rPr>
        <w:t xml:space="preserve"> </w:t>
      </w:r>
      <w:r>
        <w:rPr>
          <w:rFonts w:ascii="Arial" w:cs="Arial" w:eastAsia="Arial" w:hAnsi="Arial"/>
          <w:sz w:val="17"/>
          <w:szCs w:val="17"/>
          <w:i w:val="1"/>
          <w:iCs w:val="1"/>
          <w:color w:val="auto"/>
        </w:rPr>
        <w:t>vennootschap met beperkte aansprakelijkheid</w:t>
      </w:r>
      <w:r>
        <w:rPr>
          <w:rFonts w:ascii="Arial" w:cs="Arial" w:eastAsia="Arial" w:hAnsi="Arial"/>
          <w:sz w:val="17"/>
          <w:szCs w:val="17"/>
          <w:color w:val="auto"/>
        </w:rPr>
        <w:t>) to a public limited liability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080" w:right="260" w:hanging="532"/>
        <w:spacing w:after="0" w:line="308" w:lineRule="auto"/>
        <w:tabs>
          <w:tab w:leader="none" w:pos="10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ARYA Merger Sub will merge with and into the Company (the “First Merger”), with the Company as the surviving company (the “First Surviving Company”) in the merger and, after giving effect to such merger, becoming a wholly owned subsidiary of TopCo;</w:t>
      </w:r>
    </w:p>
    <w:p>
      <w:pPr>
        <w:spacing w:after="0" w:line="51" w:lineRule="exact"/>
        <w:rPr>
          <w:rFonts w:ascii="Arial" w:cs="Arial" w:eastAsia="Arial" w:hAnsi="Arial"/>
          <w:sz w:val="17"/>
          <w:szCs w:val="17"/>
          <w:color w:val="auto"/>
        </w:rPr>
      </w:pPr>
    </w:p>
    <w:p>
      <w:pPr>
        <w:ind w:left="1080" w:right="80" w:hanging="532"/>
        <w:spacing w:after="0" w:line="263"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connection with the First Merger, each issued and outstanding ordinary share of the Company will be converted into one ordinary share of the First Surviving Company, and immediately thereafter, each resulting ordinary shares of the First Surviving Company will be automatically exchanged for one TopCo Ordinary Share;</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outstanding warrant to purchase a Class A ordinary share of the Company will, by its terms, convert into a warrant to purchase one Topco Ordinary Share, on the same contractual terms, other than the warrants held by the Sponsor which shall be forfeited pursuant to the Sponsor Letter Agreement (as defined below); and</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On the first business day following the closing date of the Immatics Business Combination, the First Surviving Company will merge with and into IB Merger Sub, with IB Merger Sub as the surviving company in the merger, and each issued and outstanding First Surviving Company share will be automatically converted into one ordinary share of IB Merger Sub.</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 Consideration</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accordance with the terms and subject to the conditions of the Business Combination Agreement, the consideration to be received by the shareholders of Immatics in connection with the transaction contemplated under the Business Combination Agreement shall be an aggregate number of TopCo Ordinary Shares equal to (a) $350,000,000 (subject to downward adjustments for certain changes in control costs as set forth in the Business Combination Agreement and assuming that all shareholders of Immatics have agreed to participate in the transaction), divided by (b) $10.00. In addition, the holders of Immatics stock appreciation rights may also be entitled to receive a portion of the transaction consideration otherwise payable to Immatics shareholders pursuant to the preceding sentence.</w:t>
      </w:r>
    </w:p>
    <w:p>
      <w:pPr>
        <w:spacing w:after="0" w:line="17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Each shareholder of the Company will receive one TopCo Ordinary Share per ordinary share of the Company, as set forth above. Cash held in the Trust Account net of redemptions and the proceeds of the PIPE Investment (as defined below), less the transaction costs of the Immatics Business Combination, will be received by TopCo and used for general corporate purposes after the Immatics Business Combination.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 Letter Agreement</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Concurrent with the execution of the Business Combination Agreement, the Sponsor, the Company, TopCo and the independent directors of the Company entered into a Sponsor Letter Agreement (the “Sponsor Letter Agreement”), pursuant to which (a) each of the Sponsor and the independent directors of the Company agreed to vote in favor of the Business Combination Agreement and the transactions contemplated hereby, (b) the Sponsor agreed to forfeit the Private Placement Warrants and (c) the Sponsor and the independent directors of the Company have agreed to waive any adjustment to the conversion ratio set forth in the Company’s amended and restated memorandum and articles of association or any other anti-dilution or similar protection with respect to the Class B ordinary shares held by them.</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PIPE Investment</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Concurrently with the execution of the Business Combination Agreement, the Company and TopCo entered into Subscription Agreements with certain investors (collectively, the “Private Placement Investors”) pursuant to which, among other things, such investors agreed to subscribe for and purchase and TopCo agreed to issue and sell to such investors, 10,415,000 TopCo Ordinary Shares (the “Private Placement Shares”), for an aggregate of $104,150,000 (the “PIPE Investment”) in proceeds. The closing of the PIPE Investment is contingent upon, among other things, the substantially concurrent consummation of the Immatics Business Combination and related transactions.</w:t>
      </w:r>
    </w:p>
    <w:p>
      <w:pPr>
        <w:spacing w:after="0" w:line="176"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In connection with the PIPE Investment, TopCo will grant the Private Placement Investors certain customary registration rights. The Private Placement Shares have not been registered under the Securities Act, in reliance upon the exemption provided in Section 4(a)(2) of the Securities Act and/or Regulation D or Regulation S promulgated thereunder without any form of general solicitation or general advertising.</w:t>
      </w:r>
    </w:p>
    <w:p>
      <w:pPr>
        <w:spacing w:after="0" w:line="165"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 consummation of the transactions contemplated by the Business Combination Agreement is subject to customary conditions of the respective parties, and conditions customary to special purpose acquisition companies, including the approval of the Company’s shareholders.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At March 31, 2020, the Company has approximately $702,000 in its operating bank account, and working capital deficit of approximately $3.6 million.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liquidity needs were satisfied through receipt of a $25,000 capital contribution from our Sponsor in exchange for the issuance of the Founder Shares to our Sponsor, approximately $148,000 in note payable to related parties, and the net proceeds of the Private Placement not held in the Trust Account for working capital needs. We repaid the note to the Sponsor in October 2018.</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unaudited condensed financial statements. The unaudited condensed financial statements do not include any adjustments that might result from the outcome of this uncertainty.</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connection with the Company’s assessment of going concern considerations in accordance with Financial Accounting Standard Board’s Accounting Standards Updated (“ASU”) 2014-15, “Disclosure of Uncertainties about an Entity’s Ability to Continue as a Going Concern”, management has determined that the working capital deficit, the mandatory liquidation and subsequent dissolution if the Company is unable to consummate a business combination raises substantial doubt about the Company’s ability to continue as a going concern. No adjustments have been made to the carrying amounts of assets or liabilities should the Company be required to liquidate after October 10, 2020.</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Operating results for the three months ended March 31, 2020 are not necessarily indicative of the results that may be expected through December 31, 2020.</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accompanying unaudited condensed financial statements should be read in conjunction with the audited financial statements and notes thereto included in the annual report on Form 10-K/A and Form 10-K and filed by the Company with the SEC on April 17, 2020 and March 6, 2020,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The preparation of the unaudited condensed financial statements in conformity with U.S. GAAP requires the Company’s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periods.</w:t>
      </w:r>
    </w:p>
    <w:p>
      <w:pPr>
        <w:spacing w:after="0" w:line="16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Accordingly, the actual results could differ from those estimates.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w:t>
      </w:r>
    </w:p>
    <w:p>
      <w:pPr>
        <w:spacing w:after="0" w:line="1" w:lineRule="exact"/>
        <w:rPr>
          <w:sz w:val="20"/>
          <w:szCs w:val="20"/>
          <w:color w:val="auto"/>
        </w:rPr>
      </w:pPr>
    </w:p>
    <w:p>
      <w:pPr>
        <w:jc w:val="both"/>
        <w:ind w:left="120" w:right="100"/>
        <w:spacing w:after="0" w:line="302" w:lineRule="auto"/>
        <w:rPr>
          <w:sz w:val="20"/>
          <w:szCs w:val="20"/>
          <w:color w:val="auto"/>
        </w:rPr>
      </w:pPr>
      <w:r>
        <w:rPr>
          <w:rFonts w:ascii="Arial" w:cs="Arial" w:eastAsia="Arial" w:hAnsi="Arial"/>
          <w:sz w:val="16"/>
          <w:szCs w:val="16"/>
          <w:color w:val="auto"/>
        </w:rPr>
        <w:t>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5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and investments held in Trust Account. Cash is maintained in accounts with financial institutions, which, at times may exceed the Federal depository insurance coverage of $250,000. The Company has not experienced losses on its cash accounts and management believes, based upon the quality of the financial institutions, that the credit risk with regard to these deposits is not significant. The Company’s investments held in Trust Account consists entirely of U.S government securities with an original maturity of 180 days or less.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Marketable Securities Held in Trust Account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portfolio of marketable securities is comprised solely of U.S. government securities, within the meaning set forth in Section 2(a)</w:t>
      </w:r>
    </w:p>
    <w:p>
      <w:pPr>
        <w:spacing w:after="0" w:line="46" w:lineRule="exact"/>
        <w:rPr>
          <w:sz w:val="20"/>
          <w:szCs w:val="20"/>
          <w:color w:val="auto"/>
        </w:rPr>
      </w:pPr>
    </w:p>
    <w:p>
      <w:pPr>
        <w:ind w:left="120" w:right="140" w:hanging="4"/>
        <w:spacing w:after="0" w:line="295" w:lineRule="auto"/>
        <w:tabs>
          <w:tab w:leader="none" w:pos="46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of the Investment Company Act, with a maturity of 180 days or less, classified as trading securities. Trading securities are presented on the condensed balance sheets at fair value at the end of each reporting period. Gains and losses resulting from the change in fair value of these securities is included in gain on marketable securities (net), dividends and interest, held in Trust Account in the accompanying unaudited condensed statements of operations. The estimated fair values of marketable securities held in Trust Account are determined using available market information.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to unadjusted quoted prices in active markets for identical assets or liabilities (Level 1 measurements) and the lowest priority to unobservable inputs (Level 3 measurements). These tiers include:</w:t>
      </w:r>
    </w:p>
    <w:p>
      <w:pPr>
        <w:spacing w:after="0" w:line="76" w:lineRule="exact"/>
        <w:rPr>
          <w:sz w:val="20"/>
          <w:szCs w:val="20"/>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373" w:lineRule="exact"/>
        <w:rPr>
          <w:rFonts w:ascii="Arial" w:cs="Arial" w:eastAsia="Arial" w:hAnsi="Arial"/>
          <w:sz w:val="18"/>
          <w:szCs w:val="18"/>
          <w:color w:val="auto"/>
        </w:rPr>
      </w:pPr>
    </w:p>
    <w:p>
      <w:pPr>
        <w:ind w:left="1080" w:right="140" w:hanging="532"/>
        <w:spacing w:after="0" w:line="342" w:lineRule="auto"/>
        <w:tabs>
          <w:tab w:leader="none" w:pos="10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00" w:hanging="532"/>
        <w:spacing w:after="0" w:line="263"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of March 31, 2020 and December 31, 2019, the carrying values of cash, accounts payable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March 31, 2020 and December 31, 2019, 13,545,245 and 13,872,230 Class A ordinary shares subject to possible redemption at the redemption amount are presented as temporary equity, outside of the shareholders’ equity section of the Company’s condensed balance sheets,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Net income (loss) per share is computed by dividing net income (loss) by the weighted-average number of ordinary shares outstanding during the period. The Company has not considered the effect of warrants sold in the Initial Public Offering and Private Placement to purchase 13,140,625 Class A ordinary shares of the Company in the calculation of diluted income per share, since their inclusion would be anti-dilutive under the treasury stock method.</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Company’s unaudited condensed statements of operation include a presentation of income per share for Class A ordinary shares subject to redemption in a manner similar to the two-class method of income per share. Net income per share, basic and diluted for Class A ordinary shares is calculated by dividing the interest income earned on the Trust Account, of approximately $857,000 by the weighted average number of Class A ordinary shares outstanding for the period. Net loss per share, basic and diluted for Class B ordinary shares is calculated by dividing the net loss, less income attributable to Public Shares, by the weighted average number of Class B ordinary shares outstanding for the periods.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FASB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FASB 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March 31, 2020 and December 31, 2019. The Company’s management determined that the Cayman Islands is the Company’s only major tax jurisdiction. The Company recognizes accrued interest and penalties related to unrecognized tax benefits as income tax expense. There were no unrecognized tax benefits and no amounts were accrued for interest and penalties for the three months ended March 31, 2020 and 2019. The Company is currently not aware of any issues under review that could result in significant payments, accruals or material deviation from its position.</w:t>
      </w:r>
    </w:p>
    <w:p>
      <w:pPr>
        <w:spacing w:after="0" w:line="17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Company may be subject to potential examination by U.S. federal, U.S. state or foreign taxing authorities in the area of income taxes. These potential examinations may include questioning the timing and amount of deductions, the nexus of income among various tax jurisdictions and compliance with U.S. federal, U.S. state and foreign tax laws. There is currently no taxation imposed on income by the Government of the Cayman Islands. In accordance with Cayman federal income tax regulations, income taxes are not levied on the Company. Consequently, deferred tax assets and income taxes are not reflected in the Company’s unaudited condensed financial statements. The Company’s management does not expect that the total amount of unrecognized tax benefits will materially change over the next twelve months.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pronouncements, if currently adopted, would have a material effect on the Company’s unaudited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Initial Public Offering</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October 10, 2018, the Company sold 14,375,000 Units at a price of $10.00 per Unit in the Initial Public Offering. Each Unit consists of one Class A ordinary share (such Class A ordinary shares included in the Units being offered, the “Public Shares”), and one-half of one redeemable warrant (each, a “Public Warrant”). Each whole Public Warrant entitles the holder to purchase one Class A ordinary share at a price of $11.50 per share, subject to adjustment (see Note 6).</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Shares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July 5, 2018, the Sponsor paid $25,000 to cover certain expenses and offering costs on behalf of the Company in consideration of 3,593,750 shares (the “Founder Shares”) of the Company’s Class B ordinary shares, par value $0.0001 per share (the “Class B ordinary shares”). Prior to the consummation of the Initial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Public Offering, the Sponsor transferred 30,000 Founder Shares to each of Kevin Conroy, Dr. Todd Wider and Dr. David Hung, the Company’s independent directors. The Founder Shares will automatically convert into Class A ordinary shares at the time of the Company’s initial Business Combination and are subject to certain transfer restrictions, as described in Note 6. The Sponsor had agreed to forfeit up to 468,750 Founder Shares to the extent that the over-allotment option was not exercised in full by the underwriters. On October 10, 2018, the underwriters exercised the over-allotment option in full; thus, these Founder Shares were no longer subject to forfeiture.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initial shareholders agreed, subject to limited exceptions, not to transfer, assign or sell any of their Founder Shares until the earlier to occur of:</w:t>
      </w:r>
    </w:p>
    <w:p>
      <w:pPr>
        <w:spacing w:after="0" w:line="46" w:lineRule="exact"/>
        <w:rPr>
          <w:sz w:val="20"/>
          <w:szCs w:val="20"/>
          <w:color w:val="auto"/>
        </w:rPr>
      </w:pPr>
    </w:p>
    <w:p>
      <w:pPr>
        <w:ind w:left="120" w:hanging="4"/>
        <w:spacing w:after="0" w:line="271" w:lineRule="auto"/>
        <w:tabs>
          <w:tab w:leader="none" w:pos="41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one year after the completion of the initial Business Combination or (B) subsequent to the initial Business Combination, (x) if the last sale price of the Class A ordinary shares equals or exceeds $12.00 per share (as adjusted for share splits, share dividends,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Concurrently with the closing of the Initial Public Offering, the Sponsor purchased 5,953,125 Private Placement Warrants at a price of $1.00 per Private Placement Warrant, generating proceeds of approximately $5.953 million in the Private Placement.</w:t>
      </w:r>
    </w:p>
    <w:p>
      <w:pPr>
        <w:spacing w:after="0" w:line="170"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Each Private Placement Warrant is exercisable for one Class A ordinary share at a price of $11.50 per share. 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5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Related Party Loans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On July 5, 2018, the Sponsor agreed to loan the Company an aggregate of up to $300,000 to cover expenses related to the Initial Public Offering pursuant to a promissory note (the “Note”). This loan was non-interest bearing and payable upon the completion of the Initial Public Offering. The Sponsor paid an aggregate of approximately $148,000 to cover for expenses on the Company’s behalf under the Note. On October 10, 2018, the Company repaid the Note in full and advanced an additional $1,524 to the Sponsor. The Sponsor repaid this advance back to the Company on October 12, 2018.</w:t>
      </w:r>
    </w:p>
    <w:p>
      <w:pPr>
        <w:spacing w:after="0" w:line="18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is not completed, the Company may use a portion of</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To date, there were no outstanding Working Capital Loans under this arrangement.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Administrative Support Agreement</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Commencing on the effective date of the Initial Public Offering in October 2018 through the earlier of the Company’s consummation of a Business Combination and its liquidation, the Company agreed to pay the Sponsor a total of $10,000 per month for office space, utilities and secretarial and administrative support. The Company recognized $30,000 in expenses in connection with the aforementioned arrangements with the related parties on the unaudited condensed statements of operations for each of the three months ended March 31, 2020 and 2019. As of March 31, 2020 and December 31, 2019, the Company owed $30,000 and $0 to the Sponsor in connection with such services, respectively, as recorded in accounts payable in the accompanying unaudited condensed Balance Sheets.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of Ordinary Shares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Sponsor has indicated an interest to purchase up to $25 million of the Company’s ordinary shares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and Shareholder Rights</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holders of Founder Shares, Private Placement Warrants and warrants that may be issued upon conversion of Working Capital Loans, if any, will be entitled to registration rights (in the case of the Founder Shares, only after conversion of such shares into Class A ordinary shares) pursuant to a registration and shareholder rights agreement entered into in connection with the consummation of the Initial Public Offering. These holders are entitled to certain demand and “piggyback” registration and shareholder rights. However, the registration and shareholder rights agreement provides that the Company will not permit any registration statement filed under the Securities Act to become effective until the termination of the</w:t>
      </w:r>
    </w:p>
    <w:p>
      <w:pPr>
        <w:spacing w:after="0" w:line="2"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applicable lock-up period for the securities to be registered. The Company will bear the expenses incurred in connection with the filing of any such registration statements.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granted the underwriters a 45-day option from the date of the final prospectus relating to the Initial Public Offering to purchase up to 1,875,000 additional Units to cover over-allotments, if any, at $10.00 per Unit, less underwriting discounts and commissions. The underwriters exercised this option in full on October 10, 2018.</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9" w:right="4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underwriters were entitled to underwriting discounts of $0.275 per Unit, or approximately $3.953 million in the aggregate, paid upon the closing of the Initial Public Offering. An additional fee of $0.325 per Unit, or approximately $4.672 million in the aggregate, will be payable to the underwriters for deferred underwriting commissions. The deferred underwriting commissions will become payable to the underwriters from the amounts held in the Trust Account solely in the event that the Company completes a Business Combination, subject to the terms of the underwriting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Shareholders’ Equity</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479,000,000 Class A ordinary shares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Company’s Class A ordinary shares are entitled to one vote for each share on each matter on which they are entitled to vote. As of March 31, 2020 and December 31, 2019, there were 14,375,000 Class A ordinary shares issued or outstanding, including 13,545,245 and 13,872,230 Class A ordinary shares subject to possible redemption, respectively.</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20,000,000 Class B ordinary shares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ordinary shares and Class B ordinary shares will vote together as a single class on all matters submitted to vote, except as required by law. Holders of Class B ordinary shares are entitled to one vote for each share. As of March 31, 2020 and December 31, 2019, there were 3,593,750 Class B ordinary shares outstanding.</w:t>
      </w:r>
    </w:p>
    <w:p>
      <w:pPr>
        <w:spacing w:after="0" w:line="187"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The Class B ordinary shares will automatically convert into Class A ordinary shares at the time of the Business Combination at a ratio such that the number of Class A ordinary shares issuable upon conversion of all Class B ordinary shares will equal, in the aggregate, on an as-converted basis,</w:t>
      </w:r>
    </w:p>
    <w:p>
      <w:pPr>
        <w:ind w:left="120" w:right="40"/>
        <w:spacing w:after="0" w:line="253" w:lineRule="auto"/>
        <w:rPr>
          <w:sz w:val="20"/>
          <w:szCs w:val="20"/>
          <w:color w:val="auto"/>
        </w:rPr>
      </w:pPr>
      <w:r>
        <w:rPr>
          <w:rFonts w:ascii="Arial" w:cs="Arial" w:eastAsia="Arial" w:hAnsi="Arial"/>
          <w:sz w:val="18"/>
          <w:szCs w:val="18"/>
          <w:color w:val="auto"/>
        </w:rPr>
        <w:t>20.0% of the sum of (i) the total number of Class A ordinary shares issued and outstanding upon completion of the Initial Public Offering, plus (ii) the sum of (a) the total number of Class A ordinary shares or equity-linked securities exercisable for or convertible into Class A ordinary shares issued or deemed issued in connection with the Business Combination (excluding any shares or equity-linked securities issued, or to be issued, to any seller in the Business Combination or any warrants issued to the Sponsor upon conversion of Working Capital Loans), minus (b) the number of Public Shares redeemed by Public Shareholders in connection with the Business Combination.</w:t>
      </w:r>
    </w:p>
    <w:p>
      <w:pPr>
        <w:spacing w:after="0" w:line="19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1,000,000 preference shares with a par value of $0.0001 per share, and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March 31, 2020 and December 31, 2019, there were no preference shares issued or outstanding.</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 Public Warrants may only be exercised for a whole number of shares. No fractional Public Warrants will be issued upon separation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Units and only whole Public Warrants will trade. The Public Warrants will become exercisable on the later of (a) 30 days after the completion of a Business Combination or (b) twelve months from the closing of the Initial Public Offering; provided in each case that the Company has an effective registration statement under the Securities Act covering the Class A ordinary shares issuable upon exercise of the Public Warrants and a current prospectus relating to them is available (or the Company permits holders to exercise their Public Warrants on a cashless basis and such cashless exercise is exempt from registration under the Securities Act). The Company agreed that as soon as practicable, but in no event later than 20 business days, after the closing of a Business Combination, the Company will use its best efforts to file with the SEC a registration statement for the registration, under the Securities Act, of the Class A ordinary shares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 registration statement covering the Class A ordinary shares issuable upon exercise of the Public Warrants is not effective by the sixtieth (60th) day after the closing of the initial Business Combination, warrantholders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Private Placement Warrants are identical to the Public Warrants included in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call the Public Warrants for redemption:</w:t>
      </w:r>
    </w:p>
    <w:p>
      <w:pPr>
        <w:spacing w:after="0" w:line="131" w:lineRule="exact"/>
        <w:rPr>
          <w:sz w:val="20"/>
          <w:szCs w:val="20"/>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30" w:lineRule="exact"/>
        <w:rPr>
          <w:rFonts w:ascii="Arial" w:cs="Arial" w:eastAsia="Arial" w:hAnsi="Arial"/>
          <w:sz w:val="18"/>
          <w:szCs w:val="18"/>
          <w:color w:val="auto"/>
        </w:rPr>
      </w:pPr>
    </w:p>
    <w:p>
      <w:pPr>
        <w:jc w:val="both"/>
        <w:ind w:left="1080" w:right="460" w:hanging="532"/>
        <w:spacing w:after="0" w:line="263"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and only if, the last reported closing price of the ordinary shares equals or exceeds $18.00 per share for any 20 trading days within a 30-trading day period ending on the third trading day prior to the date on which the Company sends the notice of redemption to the warrantholders.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The exercise price and number of Class A ordinary shares issuable upon exercise of the warrants may be adjusted in certain circumstances including in the event of a share dividend, or recapitalization, reorganization, merger or consolidation. However, the warrants will not be adjusted for issuance of Class A ordinary shares at a price below its exercise price. Additionally, in no event will the Company be required to net cash settle the warrant shares.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Fair Value Measurements</w:t>
      </w:r>
    </w:p>
    <w:p>
      <w:pPr>
        <w:spacing w:after="0" w:line="12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following table presents information about the Company’s assets that are measured at fair value on a recurring basis as of March 31, 2020 and December 31, 2019 and indicates the fair value hierarchy of the valuation techniques that the Company utilized to determine such fair value.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March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8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7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520" w:type="dxa"/>
            <w:vAlign w:val="bottom"/>
            <w:gridSpan w:val="2"/>
          </w:tcPr>
          <w:p>
            <w:pPr>
              <w:jc w:val="center"/>
              <w:ind w:left="70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700" w:type="dxa"/>
            <w:vAlign w:val="bottom"/>
            <w:gridSpan w:val="3"/>
          </w:tcPr>
          <w:p>
            <w:pPr>
              <w:jc w:val="center"/>
              <w:ind w:left="64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04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7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80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78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Investments held in Trust Account</w:t>
            </w:r>
          </w:p>
        </w:tc>
        <w:tc>
          <w:tcPr>
            <w:tcW w:w="1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$148,698,960</w:t>
            </w:r>
          </w:p>
        </w:tc>
        <w:tc>
          <w:tcPr>
            <w:tcW w:w="8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December 31, 2019</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8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7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520" w:type="dxa"/>
            <w:vAlign w:val="bottom"/>
            <w:gridSpan w:val="2"/>
          </w:tcPr>
          <w:p>
            <w:pPr>
              <w:jc w:val="center"/>
              <w:ind w:left="70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700" w:type="dxa"/>
            <w:vAlign w:val="bottom"/>
            <w:gridSpan w:val="3"/>
          </w:tcPr>
          <w:p>
            <w:pPr>
              <w:jc w:val="center"/>
              <w:ind w:left="64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04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7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80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78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Investments held in Trust Account</w:t>
            </w:r>
          </w:p>
        </w:tc>
        <w:tc>
          <w:tcPr>
            <w:tcW w:w="1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$147,841,513</w:t>
            </w:r>
          </w:p>
        </w:tc>
        <w:tc>
          <w:tcPr>
            <w:tcW w:w="8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of the hierarchy for the three months ended March 31, 2020 and 2019. Level 1 instruments include investments U.S. Treasury securities with an original maturity of 180 days or less.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Subsequent Events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up to the date unaudited condensed financial statements were available to be issued. Based upon this review, the Company determined that there have been no events that have occurred that would require adjustments to the disclosures in the unaudited condensed financial statements.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00"/>
          </w:cols>
          <w:pgMar w:left="320" w:top="459" w:right="5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Management Board of Immatics Biotechnologies GmbH</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have audited the accompanying consolidated statement of financial position of Immatics Biotechnologies GmbH and its subsidiary (the “Company”) as of December 31, 2019 and 2018, and the related consolidated statements of loss, comprehensive loss, changes in shareholders’ deficit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International Financial Reporting Standards as issued by the International Accounting Standards Board.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discussed in Note 3 to the consolidated financial statements, the Company changed the manner in which it accounts for leases in 2019.</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Munich, Germany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15,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PricewaterhouseCoopers GmbH</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Wirtschaftsprüfungsgesellschaft</w:t>
      </w:r>
    </w:p>
    <w:p>
      <w:pPr>
        <w:sectPr>
          <w:pgSz w:w="11900" w:h="16838" w:orient="portrait"/>
          <w:cols w:equalWidth="0" w:num="1">
            <w:col w:w="11120"/>
          </w:cols>
          <w:pgMar w:left="320" w:top="459" w:right="459" w:bottom="1440" w:gutter="0" w:footer="0" w:header="0"/>
        </w:sect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Dietmar Eglauer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Wirtschaftsprüfer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/s/ ppa. Andreas Schuster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103" w:lineRule="exact"/>
        <w:rPr>
          <w:sz w:val="20"/>
          <w:szCs w:val="20"/>
          <w:color w:val="auto"/>
        </w:rPr>
      </w:pPr>
    </w:p>
    <w:p>
      <w:pPr>
        <w:sectPr>
          <w:pgSz w:w="11900" w:h="16838" w:orient="portrait"/>
          <w:cols w:equalWidth="0" w:num="2">
            <w:col w:w="4140" w:space="720"/>
            <w:col w:w="62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(German Public 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(German Public Auditor)</w:t>
      </w:r>
    </w:p>
    <w:p>
      <w:pPr>
        <w:spacing w:after="0" w:line="200" w:lineRule="exact"/>
        <w:rPr>
          <w:sz w:val="20"/>
          <w:szCs w:val="20"/>
          <w:color w:val="auto"/>
        </w:rPr>
      </w:pPr>
    </w:p>
    <w:p>
      <w:pPr>
        <w:sectPr>
          <w:pgSz w:w="11900" w:h="16838" w:orient="portrait"/>
          <w:cols w:equalWidth="0" w:num="2">
            <w:col w:w="4140" w:space="720"/>
            <w:col w:w="6260"/>
          </w:cols>
          <w:pgMar w:left="320" w:top="459" w:right="45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120"/>
          </w:cols>
          <w:pgMar w:left="320" w:top="459" w:right="459" w:bottom="1440" w:gutter="0" w:footer="0" w:header="0"/>
          <w:type w:val="continuous"/>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2"/>
              </w:rPr>
              <w:t>Notes</w:t>
            </w:r>
          </w:p>
        </w:tc>
        <w:tc>
          <w:tcPr>
            <w:tcW w:w="17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Borders>
              <w:top w:val="single" w:sz="8" w:color="auto"/>
            </w:tcBorders>
            <w:gridSpan w:val="3"/>
          </w:tcPr>
          <w:p>
            <w:pPr>
              <w:jc w:val="right"/>
              <w:ind w:right="71"/>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103,353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39,367</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957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19,690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15,528</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124,000</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55,288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4,720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Right-of-use assets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3,287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10,277</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134,277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61,318</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Provisions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59,465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21,590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1,288</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69,296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26,838</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101,909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43,431</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1,823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105,816</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43,651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190,945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190,793</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(233,194)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(201,623)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reserves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(deficit) equity attributable to shareholders of the parent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(41,855)</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(40,835)</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134,277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61,318</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7"/>
              </w:rPr>
              <w:t>Notes</w:t>
            </w:r>
          </w:p>
        </w:tc>
        <w:tc>
          <w:tcPr>
            <w:tcW w:w="2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36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(Euros 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18,449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(40,091)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(33,971)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(11,756)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income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385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(33,013)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(34,409)</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Financial income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790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(32,487)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Taxes on income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(32,487)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Attributable to:</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Equityholders of the parent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(31,571)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(31,444)</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(916)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(32,487)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(27.13)</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1,163,625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1,163,625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8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2"/>
              </w:rPr>
              <w:t>Notes</w:t>
            </w:r>
          </w:p>
        </w:tc>
        <w:tc>
          <w:tcPr>
            <w:tcW w:w="23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8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240" w:type="dxa"/>
            <w:vAlign w:val="bottom"/>
            <w:tcBorders>
              <w:top w:val="single" w:sz="8" w:color="auto"/>
            </w:tcBorders>
            <w:gridSpan w:val="3"/>
          </w:tcPr>
          <w:p>
            <w:pPr>
              <w:jc w:val="right"/>
              <w:ind w:right="393"/>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(32,487)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Items that may be reclassified subsequently to profit or loss, net of tax Currency translation differences</w:t>
            </w: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foreign operations</w:t>
            </w: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(32,516)</w:t>
            </w:r>
          </w:p>
        </w:tc>
        <w:tc>
          <w:tcPr>
            <w:tcW w:w="5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Equityholders of the parent</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(31,600)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(31,131)</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(32,516)</w:t>
            </w:r>
          </w:p>
        </w:tc>
        <w:tc>
          <w:tcPr>
            <w:tcW w:w="5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20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90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9020" w:type="dxa"/>
            <w:vAlign w:val="bottom"/>
          </w:tcPr>
          <w:p>
            <w:pPr>
              <w:spacing w:after="0"/>
              <w:rPr>
                <w:sz w:val="12"/>
                <w:szCs w:val="12"/>
                <w:color w:val="auto"/>
              </w:rPr>
            </w:pPr>
          </w:p>
        </w:tc>
        <w:tc>
          <w:tcPr>
            <w:tcW w:w="1880" w:type="dxa"/>
            <w:vAlign w:val="bottom"/>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(32,487)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(32,355)</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for:</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Interest income</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(790)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(507)</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3,858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2,176</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Equity settled share-based payment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MD Anderson compensation expense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1,360</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non-current liabilities resulting from share appreciation rights</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1,864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receivable</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Increase in other assets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(4,419)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(7,493)</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payable and other current liabilities</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98,940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43,732</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Interest received</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790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30"/>
        </w:trPr>
        <w:tc>
          <w:tcPr>
            <w:tcW w:w="902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68,045</w:t>
            </w:r>
          </w:p>
        </w:tc>
        <w:tc>
          <w:tcPr>
            <w:tcW w:w="4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7,583</w:t>
            </w:r>
          </w:p>
        </w:tc>
        <w:tc>
          <w:tcPr>
            <w:tcW w:w="12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Payments for property, plant and equipment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(2,143)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intangible assets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Proceeds from disposal of property, plant and equipment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r>
      <w:tr>
        <w:trPr>
          <w:trHeight w:val="27"/>
        </w:trPr>
        <w:tc>
          <w:tcPr>
            <w:tcW w:w="9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(2,137)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(413)</w:t>
            </w: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 to equityholders of the parent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23,648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Payments for leases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(1,862)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(1,862)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23,648</w:t>
            </w: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64,046</w:t>
            </w:r>
          </w:p>
        </w:tc>
        <w:tc>
          <w:tcPr>
            <w:tcW w:w="4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30,818</w:t>
            </w:r>
          </w:p>
        </w:tc>
        <w:tc>
          <w:tcPr>
            <w:tcW w:w="12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39,367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8,415</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r>
      <w:tr>
        <w:trPr>
          <w:trHeight w:val="27"/>
        </w:trPr>
        <w:tc>
          <w:tcPr>
            <w:tcW w:w="9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103,353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39,367</w:t>
            </w:r>
          </w:p>
        </w:tc>
      </w:tr>
      <w:tr>
        <w:trPr>
          <w:trHeight w:val="20"/>
        </w:trPr>
        <w:tc>
          <w:tcPr>
            <w:tcW w:w="9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Changes in Shareholders Deficit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Total (deficit)</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equity</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share-</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7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w:t>
            </w: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Non-controlling</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holders’</w:t>
            </w:r>
          </w:p>
        </w:tc>
        <w:tc>
          <w:tcPr>
            <w:tcW w:w="0" w:type="dxa"/>
            <w:vAlign w:val="bottom"/>
          </w:tcPr>
          <w:p>
            <w:pPr>
              <w:spacing w:after="0"/>
              <w:rPr>
                <w:sz w:val="1"/>
                <w:szCs w:val="1"/>
                <w:color w:val="auto"/>
              </w:rPr>
            </w:pPr>
          </w:p>
        </w:tc>
      </w:tr>
      <w:tr>
        <w:trPr>
          <w:trHeight w:val="148"/>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72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shareholders</w:t>
            </w:r>
          </w:p>
        </w:tc>
        <w:tc>
          <w:tcPr>
            <w:tcW w:w="1200" w:type="dxa"/>
            <w:vAlign w:val="bottom"/>
            <w:gridSpan w:val="2"/>
            <w:vMerge w:val="continue"/>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71"/>
        </w:trPr>
        <w:tc>
          <w:tcPr>
            <w:tcW w:w="4220" w:type="dxa"/>
            <w:vAlign w:val="bottom"/>
            <w:vMerge w:val="continue"/>
          </w:tcPr>
          <w:p>
            <w:pPr>
              <w:spacing w:after="0"/>
              <w:rPr>
                <w:sz w:val="14"/>
                <w:szCs w:val="14"/>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premium</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reserves</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of the parent</w:t>
            </w: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167,027</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(168,547)</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(1,054)</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(1,410)</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Adjustment on adoption of IFRS 15</w:t>
            </w: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(1,632)</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(1,632)</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2018, adjusted</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167,027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(170,179)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(1,054)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(3,042)</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(2,255)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313</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313</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(31,444)</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(31,444)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(32,355)</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b w:val="1"/>
                <w:bCs w:val="1"/>
                <w:color w:val="auto"/>
              </w:rPr>
              <w:t>Comprehensive loss for the year</w:t>
            </w:r>
          </w:p>
        </w:tc>
        <w:tc>
          <w:tcPr>
            <w:tcW w:w="460" w:type="dxa"/>
            <w:vAlign w:val="bottom"/>
            <w:tcBorders>
              <w:top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(31,444)</w:t>
            </w:r>
          </w:p>
        </w:tc>
        <w:tc>
          <w:tcPr>
            <w:tcW w:w="320" w:type="dxa"/>
            <w:vAlign w:val="bottom"/>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w w:val="79"/>
              </w:rPr>
              <w:t>313</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(31,131)</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Equity-settled tandem awards</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118</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Issuance of ordinary shares</w:t>
            </w:r>
          </w:p>
        </w:tc>
        <w:tc>
          <w:tcPr>
            <w:tcW w:w="7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23,648</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23,648</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23,648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MD Anderson compensation expense</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190,793</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(201,623)</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(741)</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(10,407)</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1,236</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(31,571)</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(31,571)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(916)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(32,487)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w:t>
            </w: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99"/>
              </w:rPr>
              <w:t>—</w:t>
            </w:r>
          </w:p>
        </w:tc>
        <w:tc>
          <w:tcPr>
            <w:tcW w:w="2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(31,571)</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(31,600)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(916)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(32,516)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Equity-settled tandem awards</w:t>
            </w:r>
          </w:p>
        </w:tc>
        <w:tc>
          <w:tcPr>
            <w:tcW w:w="7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152</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MD Anderson compensation expense</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190,945</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(233,194)</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(41,855)</w:t>
            </w:r>
          </w:p>
        </w:tc>
        <w:tc>
          <w:tcPr>
            <w:tcW w:w="3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1,020</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31" w:lineRule="exact"/>
        <w:rPr>
          <w:sz w:val="20"/>
          <w:szCs w:val="20"/>
          <w:color w:val="auto"/>
        </w:rPr>
      </w:pPr>
    </w:p>
    <w:p>
      <w:pPr>
        <w:ind w:left="540" w:hanging="424"/>
        <w:spacing w:after="0"/>
        <w:tabs>
          <w:tab w:leader="none" w:pos="5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Group information</w:t>
      </w:r>
    </w:p>
    <w:p>
      <w:pPr>
        <w:spacing w:after="0" w:line="121" w:lineRule="exact"/>
        <w:rPr>
          <w:sz w:val="20"/>
          <w:szCs w:val="20"/>
          <w:color w:val="auto"/>
        </w:rPr>
      </w:pPr>
    </w:p>
    <w:p>
      <w:pPr>
        <w:jc w:val="both"/>
        <w:ind w:left="120" w:right="420"/>
        <w:spacing w:after="0" w:line="279" w:lineRule="auto"/>
        <w:rPr>
          <w:sz w:val="20"/>
          <w:szCs w:val="20"/>
          <w:color w:val="auto"/>
        </w:rPr>
      </w:pPr>
      <w:r>
        <w:rPr>
          <w:rFonts w:ascii="Arial" w:cs="Arial" w:eastAsia="Arial" w:hAnsi="Arial"/>
          <w:sz w:val="17"/>
          <w:szCs w:val="17"/>
          <w:color w:val="auto"/>
        </w:rPr>
        <w:t>Immatics Biotechnologies GmbH (“the Company”), together with its U.S. subsidiary, Immatics US Inc., (together, “Immatics” or “the Group”) is a biotechnology Group that is primarily engaged in the research and development of T cell redirecting immunotherapies for the treatment of cancer. Immatics Biotechnologies GmbH is located at Paul-Ehrlich Str. 15 in 72076 Tübingen, Germany and was founded in September 2000 as a German limited liability company. It is registered with the commercial register at Stuttgart local court under HRB no. 382151.</w:t>
      </w:r>
    </w:p>
    <w:p>
      <w:pPr>
        <w:spacing w:after="0" w:line="17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These consolidated financial statements of the Group for the year ended December 31, 2019 were authorized for issue by the Management Board on April 15, 2020.</w:t>
      </w:r>
    </w:p>
    <w:p>
      <w:pPr>
        <w:spacing w:after="0" w:line="315"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consolidated financial statements of the Group have been prepared in accordance with International Financial Reporting Standards (“IFRS”) as issued by the International Accounting Standards Board (“IASB”), taking into account the recommendations of the International Financial Reporting Interpretations Committee (“IFRIC”). The consolidated financial statements are presented in Euro. Amounts are stated in thousands of Euros, unless otherwise indicated.</w:t>
      </w:r>
    </w:p>
    <w:p>
      <w:pPr>
        <w:spacing w:after="0" w:line="18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Company controls an entity when it is exposed to, or has the right to, variable returns from its involvement with the entity and has the ability to affect those returns through its power over the entity. A subsidiary is consolidated from the date on which control commences until the date on which control ceases. The consolidated financial statements include the accounts and results of Immatics Biotechnologies GmbH and its subsidiary Immatics US Inc. Immatics US Inc., located in Houston, Texas, is controlled by the Company, which holds a 96.04% interest.</w:t>
      </w:r>
    </w:p>
    <w:p>
      <w:pPr>
        <w:spacing w:after="0" w:line="17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Group has a non-controlling interest, representing approximately 3.96% of the Group’s Immatics US, Inc. subsidiary as of December 31, 2019 (2018: 3.96%). See note 18 for further details.</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Going concern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Since inception, the Group’s activities have consisted primarily of raising capital and performing research and development activities to advance its technologies. The Group is still in the development phase and has not yet marketed any products commercially. Immatics’ ongoing success depends on the successful development and regulatory approval of its products and its ability to finance operations. The Group will seek additional funding in order to reach its development and commercialization objectives.</w:t>
      </w:r>
    </w:p>
    <w:p>
      <w:pPr>
        <w:spacing w:after="0" w:line="18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Group plans to seek funds either through an initial public offering or further private equity financings, debt financings, collaboration agreements and marketing, distribution or licensing arrangements. The Group may not be able to obtain financing or enter into collaboration or other arrangements on acceptable terms. If the Group is unable to obtain funding, it could be forced to delay, reduce or eliminate some or all of its research and development programs, product portfolio expansion or commercialization efforts, which could adversely affect its business prospects.</w:t>
      </w:r>
    </w:p>
    <w:p>
      <w:pPr>
        <w:spacing w:after="0" w:line="15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However, Immatics’ cash and cash equivalents will be sufficient to fund operating expenses and capital expenditure requirements for at least twelve months from the issuance date.</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accompanying consolidated financial statements have been prepared on a going concern basis. This contemplates that Immatics will continue in operation for the foreseeable future and will be able to realize its assets and discharge its liabilities in the normal course of operations. The consolidated financial statements do not reflect any adjustments relating to the recoverability and classification of assets or the amounts and classification of liabilities that would be necessary, was the Group unable to continue as a going concern.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820" w:hanging="4"/>
        <w:spacing w:after="0" w:line="385" w:lineRule="auto"/>
        <w:tabs>
          <w:tab w:leader="none" w:pos="552"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new and revised international financial reporting standards 3.1 Application of new standards</w:t>
      </w:r>
    </w:p>
    <w:p>
      <w:pPr>
        <w:spacing w:after="0" w:line="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accounting policies adopted in the preparation of the consolidated financial statements are consistent with those followed in the preparation of the Group’s annual consolidated financial statements for the year ended December 31, 2018, except for the adoption of new standards and interpretations effective as of January 1, 2019. The Group has not early adopted any standard, interpretation or amendment that has been issued but is not yet effective.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standards and interpretations applied for the first time:</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Standard/interpretation</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 date</w:t>
            </w:r>
          </w:p>
        </w:tc>
      </w:tr>
      <w:tr>
        <w:trPr>
          <w:trHeight w:val="203"/>
        </w:trPr>
        <w:tc>
          <w:tcPr>
            <w:tcW w:w="1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IFRS 16 Leases</w:t>
            </w:r>
          </w:p>
        </w:tc>
        <w:tc>
          <w:tcPr>
            <w:tcW w:w="43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January 1, 2019</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w w:val="95"/>
              </w:rPr>
              <w:t>Amendments to IFRS 9: Prepayment Features with Negative Compensation</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Amendments to IAS 28: Long-term Interests in Associates and Joint</w:t>
            </w:r>
          </w:p>
        </w:tc>
        <w:tc>
          <w:tcPr>
            <w:tcW w:w="1660" w:type="dxa"/>
            <w:vAlign w:val="bottom"/>
            <w:shd w:val="clear" w:color="auto" w:fill="CCEEFF"/>
          </w:tcPr>
          <w:p>
            <w:pPr>
              <w:spacing w:after="0"/>
              <w:rPr>
                <w:sz w:val="17"/>
                <w:szCs w:val="17"/>
                <w:color w:val="auto"/>
              </w:rPr>
            </w:pPr>
          </w:p>
        </w:tc>
      </w:tr>
      <w:tr>
        <w:trPr>
          <w:trHeight w:val="23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1, 2019</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Annual Improvements to IFRS Standards 2015-2017 Cycle</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Amendments to IAS 19: Plan Amendment, Curtailment or Settlement</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1, 2019</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IFRIC 23: Uncertainty over Income Tax Treatments</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Except for IFRS 16 as outlined below, the other amendments had no effect on the consolidated financial statements of the Group.</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IFRS 16 Leases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Group adopted IFRS 16 (“Leases”) effective January 1, 2019. In this context, the exception granted by IFRS 16 C5 b) in conjunction with IFRS 16 C7 – C13 is applied for the transition, meaning the Group has applied IFRS 16 using the modified retrospective approach, under which the cumulative effect of initial application is recognized in accumulated deficit as of January 1, 2019. Accordingly, any comparative information presented for 2018 has not been restated.</w:t>
      </w:r>
    </w:p>
    <w:p>
      <w:pPr>
        <w:spacing w:after="0" w:line="18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new standard specifies how to recognize, measure, present and disclose lease agreements. The standard provides a single lessee accounting model, requiring lessees to recognize right-of-use assets, representing the lessee’s rights to use the underlying assets, and lease liabilities representing the lessee’s obligations to make lease payments. Lessor accounting under IFRS 16 is similar with the previous guidance under IAS 17.</w:t>
      </w:r>
    </w:p>
    <w:p>
      <w:pPr>
        <w:spacing w:after="0" w:line="14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Under the previous standard (IAS 17), Immatics determined at contract inception whether an arrangement was or contained a lease under IFRIC 4 (“Determining Whether an Arrangement contains a Lease”). Under IFRS 16, Immatics now assesses whether a contract is or contains a lease based on the new definition of a lease. This definition states that a contract is or contains a lease if the contract conveys a right to control the use of an identified asset for a period of time in exchange for consideration.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Transition</w:t>
      </w:r>
    </w:p>
    <w:p>
      <w:pPr>
        <w:spacing w:after="0" w:line="121"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Upon transition to IFRS 16, Immatics elected to apply the practical expedient to grandfather the assessment of which transactions are leases. It applied IFRS 16 only to contracts that were previously identified as leases. Contracts that were previously not identified as leases were not reassessed.</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80"/>
          </w:cols>
          <w:pgMar w:left="320" w:top="459" w:right="49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a lessee, Immatics previously classified leases as operating or finance leases based on its assessment of whether the lease transferred substantially all of the risks and rewards of ownership. Under IFRS 16, Immatics recognizes right-of-use assets and lease liabilities for all leases with lease terms greater than 12 months and with a value of the leased asset of more than €5 thousand.</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At transition, for leases classified as operating leases under IAS 17, lease liabilities were measured at the present value of the remaining lease payments, discounted by the Group’s incremental borrowing rates for similar assets as of January 1, 2019. The weighted average incremental borrowing rates applied to the lease liabilities on January 1, 2019 were 2.68% for Immatics GmbH and 5.74% for Immatics US Inc. Right-of-use assets are measured at an amount equal to the lease liability, adjusted by the amount of any prepaid or accrued lease payments.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applying IFRS 16 for the first time, the Group applied the following practical expedients permitted by the standard:</w:t>
      </w:r>
    </w:p>
    <w:p>
      <w:pPr>
        <w:spacing w:after="0" w:line="131" w:lineRule="exact"/>
        <w:rPr>
          <w:sz w:val="20"/>
          <w:szCs w:val="20"/>
          <w:color w:val="auto"/>
        </w:rPr>
      </w:pPr>
    </w:p>
    <w:p>
      <w:pPr>
        <w:ind w:left="1080" w:hanging="532"/>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applying a single discount rate to a portfolio of leases with reasonably similar characteristics;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accounting for operating leases with a remaining lease term of less than 12 months as of January 1, 2019 as short-term leases;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excluding initial direct costs for the measurement of the right-of-use asset at the date of initial application.</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Immatics presents right-of-use assets in a separate line item on the consolidated statement of financial position under non-current assets. Lease liabilities are shown as separate line items on the consolidated statement of financial position and classified as either current or non-current liabilities, depending on the maturity date of the underlying lease payments.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table below reconciles the Group’s operating lease commitments as of December 31, 2018 to the lease liability recognized as of the transition date.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Measurements of lease liabilities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(Euros in</w:t>
            </w:r>
          </w:p>
        </w:tc>
      </w:tr>
      <w:tr>
        <w:trPr>
          <w:trHeight w:val="171"/>
        </w:trPr>
        <w:tc>
          <w:tcPr>
            <w:tcW w:w="67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thousands)</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 as of December 31, 2018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4,783</w:t>
            </w:r>
          </w:p>
        </w:tc>
      </w:tr>
      <w:tr>
        <w:trPr>
          <w:trHeight w:val="202"/>
        </w:trPr>
        <w:tc>
          <w:tcPr>
            <w:tcW w:w="6700" w:type="dxa"/>
            <w:vAlign w:val="bottom"/>
          </w:tcPr>
          <w:p>
            <w:pPr>
              <w:spacing w:after="0" w:line="201" w:lineRule="exact"/>
              <w:rPr>
                <w:sz w:val="20"/>
                <w:szCs w:val="20"/>
                <w:color w:val="auto"/>
              </w:rPr>
            </w:pPr>
            <w:r>
              <w:rPr>
                <w:rFonts w:ascii="Arial" w:cs="Arial" w:eastAsia="Arial" w:hAnsi="Arial"/>
                <w:sz w:val="18"/>
                <w:szCs w:val="18"/>
                <w:color w:val="auto"/>
              </w:rPr>
              <w:t>Less: Discounted using the lessee’s incremental borrowing rate of at the date of</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initial application</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Add: finance lease liabilities recognized as of December 31, 2018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Lease liability recognized as of January 1, 2019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Of which 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Current lease liabilities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1,801</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lease liabilities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Adjustments recognized in the balance sheet on January 1, 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adoption of IFRS 16 resulted in the following impact to the statement of financial position as of January 1, 2019:</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600" w:type="dxa"/>
            <w:vAlign w:val="bottom"/>
          </w:tcPr>
          <w:p>
            <w:pPr>
              <w:jc w:val="right"/>
              <w:ind w:right="76"/>
              <w:spacing w:after="0"/>
              <w:rPr>
                <w:sz w:val="20"/>
                <w:szCs w:val="20"/>
                <w:color w:val="auto"/>
              </w:rPr>
            </w:pPr>
            <w:r>
              <w:rPr>
                <w:rFonts w:ascii="Arial" w:cs="Arial" w:eastAsia="Arial" w:hAnsi="Arial"/>
                <w:sz w:val="14"/>
                <w:szCs w:val="14"/>
                <w:b w:val="1"/>
                <w:bCs w:val="1"/>
                <w:color w:val="auto"/>
              </w:rPr>
              <w:t>(Euros in</w:t>
            </w:r>
          </w:p>
        </w:tc>
      </w:tr>
      <w:tr>
        <w:trPr>
          <w:trHeight w:val="171"/>
        </w:trPr>
        <w:tc>
          <w:tcPr>
            <w:tcW w:w="2880" w:type="dxa"/>
            <w:vAlign w:val="bottom"/>
          </w:tcPr>
          <w:p>
            <w:pPr>
              <w:spacing w:after="0"/>
              <w:rPr>
                <w:sz w:val="14"/>
                <w:szCs w:val="14"/>
                <w:color w:val="auto"/>
              </w:rPr>
            </w:pPr>
          </w:p>
        </w:tc>
        <w:tc>
          <w:tcPr>
            <w:tcW w:w="4600" w:type="dxa"/>
            <w:vAlign w:val="bottom"/>
          </w:tcPr>
          <w:p>
            <w:pPr>
              <w:jc w:val="right"/>
              <w:ind w:right="16"/>
              <w:spacing w:after="0"/>
              <w:rPr>
                <w:sz w:val="20"/>
                <w:szCs w:val="20"/>
                <w:color w:val="auto"/>
              </w:rPr>
            </w:pPr>
            <w:r>
              <w:rPr>
                <w:rFonts w:ascii="Arial" w:cs="Arial" w:eastAsia="Arial" w:hAnsi="Arial"/>
                <w:sz w:val="14"/>
                <w:szCs w:val="14"/>
                <w:b w:val="1"/>
                <w:bCs w:val="1"/>
                <w:color w:val="auto"/>
              </w:rPr>
              <w:t>thousands)</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Right-of-use assets</w:t>
            </w:r>
          </w:p>
        </w:tc>
        <w:tc>
          <w:tcPr>
            <w:tcW w:w="4600" w:type="dxa"/>
            <w:vAlign w:val="bottom"/>
          </w:tcPr>
          <w:p>
            <w:pPr>
              <w:jc w:val="right"/>
              <w:ind w:right="16"/>
              <w:spacing w:after="0"/>
              <w:rPr>
                <w:sz w:val="20"/>
                <w:szCs w:val="20"/>
                <w:color w:val="auto"/>
              </w:rPr>
            </w:pPr>
            <w:r>
              <w:rPr>
                <w:rFonts w:ascii="Arial" w:cs="Arial" w:eastAsia="Arial" w:hAnsi="Arial"/>
                <w:sz w:val="18"/>
                <w:szCs w:val="18"/>
                <w:color w:val="auto"/>
              </w:rPr>
              <w:t>4,927</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4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4,486</w:t>
            </w:r>
          </w:p>
        </w:tc>
      </w:tr>
      <w:tr>
        <w:trPr>
          <w:trHeight w:val="365"/>
        </w:trPr>
        <w:tc>
          <w:tcPr>
            <w:tcW w:w="2880" w:type="dxa"/>
            <w:vAlign w:val="bottom"/>
          </w:tcPr>
          <w:p>
            <w:pPr>
              <w:spacing w:after="0"/>
              <w:rPr>
                <w:sz w:val="24"/>
                <w:szCs w:val="24"/>
                <w:color w:val="auto"/>
              </w:rPr>
            </w:pPr>
          </w:p>
        </w:tc>
        <w:tc>
          <w:tcPr>
            <w:tcW w:w="4600" w:type="dxa"/>
            <w:vAlign w:val="bottom"/>
          </w:tcPr>
          <w:p>
            <w:pPr>
              <w:jc w:val="right"/>
              <w:ind w:right="3476"/>
              <w:spacing w:after="0"/>
              <w:rPr>
                <w:sz w:val="20"/>
                <w:szCs w:val="20"/>
                <w:color w:val="auto"/>
              </w:rPr>
            </w:pPr>
            <w:r>
              <w:rPr>
                <w:rFonts w:ascii="Arial" w:cs="Arial" w:eastAsia="Arial" w:hAnsi="Arial"/>
                <w:sz w:val="18"/>
                <w:szCs w:val="18"/>
                <w:color w:val="auto"/>
              </w:rPr>
              <w:t>F-45</w:t>
            </w:r>
          </w:p>
        </w:tc>
      </w:tr>
    </w:tbl>
    <w:p>
      <w:pPr>
        <w:sectPr>
          <w:pgSz w:w="11900" w:h="16838" w:orient="portrait"/>
          <w:cols w:equalWidth="0" w:num="1">
            <w:col w:w="11100"/>
          </w:cols>
          <w:pgMar w:left="320" w:top="459" w:right="4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Assessment of potential impact of future standards, amendments to existing standards and interpretations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standards and interpretations have been issued by the IASB but were not yet mandatory for the year ended December 31, 2019:</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Material effect expected</w:t>
            </w: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4"/>
              </w:rPr>
              <w:t>Standard/interpretation</w:t>
            </w:r>
          </w:p>
        </w:tc>
        <w:tc>
          <w:tcPr>
            <w:tcW w:w="3240" w:type="dxa"/>
            <w:vAlign w:val="bottom"/>
            <w:vMerge w:val="restart"/>
          </w:tcPr>
          <w:p>
            <w:pPr>
              <w:spacing w:after="0"/>
              <w:rPr>
                <w:sz w:val="12"/>
                <w:szCs w:val="12"/>
                <w:color w:val="auto"/>
              </w:rPr>
            </w:pPr>
          </w:p>
        </w:tc>
        <w:tc>
          <w:tcPr>
            <w:tcW w:w="2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Effective date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on Immatics financial</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statements</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IFRS 17 Insurance contracts</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January 1, 2021</w:t>
            </w:r>
          </w:p>
        </w:tc>
        <w:tc>
          <w:tcPr>
            <w:tcW w:w="9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Amendments to IAS 1, IAS 8: Definition of</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Material</w:t>
            </w: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Amendments to IFRS 3: Definition of a Business</w:t>
            </w: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Amendments to IFRS 9, IAS 39, IFRS 7: Interest</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Rate Benchmark Reform</w:t>
            </w: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Amendments to IAS 1: Classification of Liabilities</w:t>
            </w: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Current or Noncurrent</w:t>
            </w: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Amendments to IFRS 10, IAS 28: Sale or</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contribution of assets between an investor and 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associate or joint venture</w:t>
            </w: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rPr>
              <w:t>n/a</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Amendments to References to the Conceptual</w:t>
            </w: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Framework in IFRS Standards</w:t>
            </w: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40" w:hanging="424"/>
        <w:spacing w:after="0"/>
        <w:tabs>
          <w:tab w:leader="none" w:pos="5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applied by the Group for the annual reporting period ending December 31, 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are the significant accounting policies applied by the Group in preparing its consolidated financial statements:</w:t>
      </w:r>
    </w:p>
    <w:p>
      <w:pPr>
        <w:spacing w:after="0" w:line="37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Group manages its operations as a single segment for the purposes of assessing performance and making operating decisions. The Group’s focus is on the research and development of T cell redirecting immunotherapies for the treatment of cancer. The Chief Executive Officer is the chief operating decision maker who regularly reviews the consolidated operating results and makes decisions about the allocation of the Group’s resources.</w:t>
      </w:r>
    </w:p>
    <w:p>
      <w:pPr>
        <w:spacing w:after="0" w:line="293"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Cash and cash equivalents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Cash and cash equivalents in the statement of financial position comprise of cash held at banks (including money market funds) and short-term deposits with an original maturity of three months or less.</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Financial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recognition and measurement</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Financial assets within the scope of IFRS 9 include cash and cash equivalents, loans, short-term deposits and receivables. Immatics determines the classification of its financial assets at initial recognition. All financial assets are recognized initially at fair value plus transaction costs. Purchases and sales of financial assets are recognized on their trade date on which the Group commits to purchase or sell the asset. The subsequent measurement of financial assets depends on their classification as described below.</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40"/>
          </w:cols>
          <w:pgMar w:left="320" w:top="459" w:right="5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Short-term deposits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Immatics has short-term deposits with original maturities between three and nine months which are classified as other current assets. Short-term deposits with an original maturity of three months or less are classified as cash and cash equivalents. Under IFRS 9 short-term deposits are classified within financial assets at fair value.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Group has receivables from collaboration agreements. A receivable must be capitalized at the point in time at which the Group has become a contractual partner and a claim to cash and cash equivalents has arisen. In subsequent reporting periods, a receivable is measured at amortized cost using the effective interest method. Since the receivables are short-term receivables without a fixed interest rate, these receivables are capitalized at the original invoice or contract amount. Receivable balances are classified as current assets, because all of the Group’s receivables have an expected maturity of less than 12 months.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and other finance income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Financial instruments include money market funds and short-term deposits measured at fair value. Interest income is recorded using the effective interest rate (EIR). EIR is the rate that discounts the estimated future cash payments or receipts over the expected life of the financial instrument or a shorter period, where appropriate, to the net carrying amount of the financial asset or liability.</w:t>
      </w:r>
    </w:p>
    <w:p>
      <w:pPr>
        <w:spacing w:after="0" w:line="32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Property, plant and equipment</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Property, plant and equipment is stated at cost, net of accumulated depreciation and accumulated impairment losses, if any. All repair and maintenance costs are recognized as expense when incurred. Depreciation is calculated on a straight-line basis over the estimated useful lives of the assets. The estimated useful lives are generally within the following ranges: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Category</w:t>
            </w:r>
          </w:p>
        </w:tc>
        <w:tc>
          <w:tcPr>
            <w:tcW w:w="56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Computer equipment</w:t>
            </w:r>
          </w:p>
        </w:tc>
        <w:tc>
          <w:tcPr>
            <w:tcW w:w="1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3 – 5 years</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 – 14 years</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 6 years</w:t>
            </w:r>
          </w:p>
        </w:tc>
      </w:tr>
    </w:tbl>
    <w:p>
      <w:pPr>
        <w:spacing w:after="0" w:line="34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color w:val="auto"/>
        </w:rPr>
        <w:t>Intangible assets</w:t>
      </w:r>
    </w:p>
    <w:p>
      <w:pPr>
        <w:spacing w:after="0" w:line="121"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Acquired intangible assets are initially recognized at cost. Following initial recognition, intangible assets are carried at cost less accumulated amortization and accumulated impairment losses, if any. Intangible assets with finite lives are amortized over their useful economic lives and assessed for impairment whenever there is an indication that the intangible asset may be impaired. The amortization period and the amortization method for an intangible asset with a finite useful life is reviewed at least at the end of each reporting period. Immatics does not have any internally developed intangible assets or intangible assets with indefinite useful lives.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is calculated on a straight-line basis over the estimated useful lives of the assets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Category</w:t>
            </w:r>
          </w:p>
        </w:tc>
        <w:tc>
          <w:tcPr>
            <w:tcW w:w="56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Licenses</w:t>
            </w:r>
          </w:p>
        </w:tc>
        <w:tc>
          <w:tcPr>
            <w:tcW w:w="1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5 – 20 years</w:t>
            </w: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 – 5 years</w:t>
            </w:r>
          </w:p>
        </w:tc>
      </w:tr>
    </w:tbl>
    <w:p>
      <w:pPr>
        <w:spacing w:after="0" w:line="33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b w:val="1"/>
          <w:bCs w:val="1"/>
          <w:color w:val="auto"/>
        </w:rPr>
        <w:t>Research and development</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Research expenses are defined as costs incurred for current or planned investigations undertaken with the prospect of gaining new scientific or technical knowledge and understanding. All Research costs are expensed as incurred.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An intangible asset arising from development expenditure on an individual project is recognized only when the Group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and the ability to measure reliably the expenditure during the development. The Group did not recognize any intangible assets from development expenditures in 2019 or 2018 due to the existing uncertainties in connection with its development activities. Research and development expenses include the following types of costs:</w:t>
      </w:r>
    </w:p>
    <w:p>
      <w:pPr>
        <w:spacing w:after="0" w:line="67" w:lineRule="exact"/>
        <w:rPr>
          <w:sz w:val="20"/>
          <w:szCs w:val="20"/>
          <w:color w:val="auto"/>
        </w:rPr>
      </w:pPr>
    </w:p>
    <w:p>
      <w:pPr>
        <w:ind w:left="1080" w:right="660" w:hanging="532"/>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for personnel engaged in research and development functions;</w:t>
      </w:r>
    </w:p>
    <w:p>
      <w:pPr>
        <w:spacing w:after="0" w:line="75" w:lineRule="exact"/>
        <w:rPr>
          <w:rFonts w:ascii="Arial" w:cs="Arial" w:eastAsia="Arial" w:hAnsi="Arial"/>
          <w:sz w:val="18"/>
          <w:szCs w:val="18"/>
          <w:color w:val="auto"/>
        </w:rPr>
      </w:pPr>
    </w:p>
    <w:p>
      <w:pPr>
        <w:ind w:left="1080" w:right="180" w:hanging="532"/>
        <w:spacing w:after="0" w:line="342"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expenses incurred in connection with the preclinical development of our programs and clinical trials of our product candidates, including under agreements with third parties, such as consultants, contractors, academic institutions and contract research organizations;</w:t>
      </w:r>
    </w:p>
    <w:p>
      <w:pPr>
        <w:spacing w:after="0" w:line="29" w:lineRule="exact"/>
        <w:rPr>
          <w:rFonts w:ascii="Arial" w:cs="Arial" w:eastAsia="Arial" w:hAnsi="Arial"/>
          <w:sz w:val="16"/>
          <w:szCs w:val="16"/>
          <w:color w:val="auto"/>
        </w:rPr>
      </w:pPr>
    </w:p>
    <w:p>
      <w:pPr>
        <w:ind w:left="1080" w:right="200" w:hanging="532"/>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cost of manufacturing product candidates for use in clinical trials, including under agreements with third parties, such as, consultants and contractors;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laboratory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leased facility costs, equipment depreciation and other expenses, which include direct and allocated expenses;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intellectual property costs incurred in connection with filing and prosecuting patent applications as well as third-party license fees.</w:t>
      </w:r>
    </w:p>
    <w:p>
      <w:pPr>
        <w:spacing w:after="0" w:line="38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Financial liabilities Initial recognition and measurement</w:t>
      </w:r>
    </w:p>
    <w:p>
      <w:pPr>
        <w:spacing w:after="0" w:line="121"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Financial liabilities within the scope of IFRS 9 are classified as financial liabilities at fair value through profit or loss or at amortized cost, as appropriate. The Group determines the classification of its financial liabilities at initial recognition.</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All financial liabilities are recognized initially at fair value and, in the case of loans and borrowings, carried at amortized cost. This includes directly attributable transaction costs. Immatics only recognized accounts payable as other financial liabilities at amortized costs. The Group has not designated any financial liabilities upon initial recognition as fair value through profit or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does not engage in hedging transactions.</w:t>
      </w:r>
    </w:p>
    <w:p>
      <w:pPr>
        <w:spacing w:after="0" w:line="37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b w:val="1"/>
          <w:bCs w:val="1"/>
          <w:color w:val="auto"/>
        </w:rPr>
        <w:t>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Application of IAS 17 (“Leases”) until December 31, 2018</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Prior to 2019, the Group applied IAS 17 when accounting for leases. As a lessee under IAS 17, leases for which substantially all the risks and rewards of ownership transferred to the Group were classified as finance leases. Finance leases were capitalized at the lease’s inception at the fair value of the leased property or, if lower, the present value of the minimum lease payments. The corresponding rental obligations, net of finance charges, were included in other current liabilities and other non-current liabilities. Each lease payment was allocated between the liability and finance cost. The finance cost was charged as an expense over the lease period so as to produce a constant periodic rate of interest on the remaining balance of the liability for each period. The assets associated with the finance leases are depreciated over the shorter of the asset’s useful life or the lease term if there is no reasonable certainty that the Group will obtain ownership at the end of the lease term. Leases in which a significant portion of the risks and rewards of ownership were not transferred to the Group as lessee were classified as operating leases. Payments made under operating leases (net of any incentives received from the lessor) were charged as an expense on a straight-line basis over the period of the lease.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Application of IFRS 16 (“Leases”) effective January 1, 2019</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Group adopted IFRS 16 (“Leases”) effective January 1, 2019. The Group leases various offices, equipment and vehicles. Rental contracts are typically made for fixed periods of two to seven years but may have extension options as described in below. Contracts may contain both lease and non-lease components. The Group has elected not to separate lease and non-lease components and instead accounts for these as a single lease component. Lease terms are negotiated on an individual basis. The lease agreements do not impose any covenants other than the security interests in the leased assets that are held by the lessor. Leased assets may not be used as security for borrowing purposes. Prior to adopting IFRS 16, leases were classified as either finance leases or operating leases. Under IFRS 16, leases are now recognized as a right-of-use asset with a corresponding liability on the date at which the leased asset is available for use by the Group.</w:t>
      </w:r>
    </w:p>
    <w:p>
      <w:pPr>
        <w:spacing w:after="0" w:line="17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Assets and liabilities arising from a lease are initially measured on a present value basis. Lease liabilities include the net present value of the following lease payments:</w:t>
      </w:r>
    </w:p>
    <w:p>
      <w:pPr>
        <w:spacing w:after="0" w:line="76" w:lineRule="exact"/>
        <w:rPr>
          <w:sz w:val="20"/>
          <w:szCs w:val="20"/>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fixed payments (including in-substance fixed payments), less any lease incentives received;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amounts expected to be payable by the Group under residual value guarantees;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exercise price of a purchase option if the Group is reasonably certain to exercise that option;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payments of penalties for terminating the lease, if the lease term reflects the Group exercising that option.</w:t>
      </w:r>
    </w:p>
    <w:p>
      <w:pPr>
        <w:spacing w:after="0" w:line="225"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Lease payments to be made under reasonably certain extension options are also included in the measurement of the liability. The lease payments are discounted using the interest rate implicit in the lease. If that rate cannot be readily determined, which is generally the case for the Group’s leases, the lessee’s incremental borrowing rate is used. The incremental borrowing rate is the rate that the individual lessee would have to pay to borrow the funds necessary to obtain an asset of similar value to the right-of-use asset in a similar economic environment with similar terms, security and conditions.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determine the incremental borrowing rate, the Group:</w:t>
      </w:r>
    </w:p>
    <w:p>
      <w:pPr>
        <w:spacing w:after="0" w:line="131" w:lineRule="exact"/>
        <w:rPr>
          <w:sz w:val="20"/>
          <w:szCs w:val="20"/>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uses a build-up approach that starts with a risk-free interest rate adjusted for credit risk for leases held by Immatics,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makes adjustments specific to the lease, including lease term, country, currency and security.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Right-of-use assets are measured at cost comprising the following:</w:t>
      </w:r>
    </w:p>
    <w:p>
      <w:pPr>
        <w:spacing w:after="0" w:line="131" w:lineRule="exact"/>
        <w:rPr>
          <w:sz w:val="20"/>
          <w:szCs w:val="20"/>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amount of the initial measurement of lease liability,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lease payments made at or before the commencement date less any lease incentives received,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initial direct costs,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restoration costs.</w:t>
      </w:r>
    </w:p>
    <w:p>
      <w:pPr>
        <w:spacing w:after="0" w:line="225" w:lineRule="exact"/>
        <w:rPr>
          <w:sz w:val="20"/>
          <w:szCs w:val="20"/>
          <w:color w:val="auto"/>
        </w:rPr>
      </w:pPr>
    </w:p>
    <w:p>
      <w:pPr>
        <w:ind w:left="120" w:right="760"/>
        <w:spacing w:after="0" w:line="308" w:lineRule="auto"/>
        <w:rPr>
          <w:sz w:val="20"/>
          <w:szCs w:val="20"/>
          <w:color w:val="auto"/>
        </w:rPr>
      </w:pPr>
      <w:r>
        <w:rPr>
          <w:rFonts w:ascii="Arial" w:cs="Arial" w:eastAsia="Arial" w:hAnsi="Arial"/>
          <w:sz w:val="17"/>
          <w:szCs w:val="17"/>
          <w:color w:val="auto"/>
        </w:rPr>
        <w:t>Right-of-use assets are generally depreciated over the shorter of the asset’s useful life or the lease term on a straight-line basis. If the Group is reasonably certain to exercise a purchase option, the right-of-use asset is depreciated over the underlying asset’s useful life.</w:t>
      </w:r>
    </w:p>
    <w:p>
      <w:pPr>
        <w:spacing w:after="0" w:line="146"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Payments associated with short-term leases of equipment and vehicles and all leases of low-value assets are recognized on a straight-line basis as an expense. Short-term leases are leases with a lease term of 12 months or less. Low-value assets have a value of less than €5 thousand.</w:t>
      </w:r>
    </w:p>
    <w:p>
      <w:pPr>
        <w:spacing w:after="0" w:line="12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Extension and termination options are included in a number of property and equipment leases across the Group. These are used to maximize operational flexibility in terms of managing the assets used in the Group’s operations. The extension and termination options held are exercisable only by the Group and not by the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80"/>
          </w:cols>
          <w:pgMar w:left="320" w:top="459" w:right="49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respective lessor. For relevant leases which include an extension option, Immatics performed an assessment as of January 1, 2019 to determine whether option extensions are reasonably certain.</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Revenue from collaboration agreements</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Group earns revenue through collaboration agreements with third-party pharmaceutical and biotechnology companies. As of December 31, 2019, the Group had four collaboration agreements in place with Amgen Inc., Thousand Oaks/CA/USA (“Amgen”), Genmab A/S, Copenhagen/Denmark (“Genmab”), Celgene Switzerland LLC (“BMS”) and GlaxoSmithKline Intellectual Property Development Limited (“GSK”). Each of the Group’s four collaboration agreements are in the preclinical stage.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determine the recognition of revenue from arrangements that fall within the scope of IFRS 15, the Group performs the following five steps:</w:t>
      </w:r>
    </w:p>
    <w:p>
      <w:pPr>
        <w:spacing w:after="0" w:line="142" w:lineRule="exact"/>
        <w:rPr>
          <w:sz w:val="20"/>
          <w:szCs w:val="20"/>
          <w:color w:val="auto"/>
        </w:rPr>
      </w:pPr>
    </w:p>
    <w:p>
      <w:pPr>
        <w:ind w:left="540" w:hanging="424"/>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recognize revenue when (or as) the Group satisfies a performance obligation.</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Under the terms of these agreements, Immatics agrees to collaborate in the development, manufacture, and commercialization of cancer immunotherapy treatments for specified targets identified through the use of Immatics XPRESIDENT technology.</w:t>
      </w:r>
    </w:p>
    <w:p>
      <w:pPr>
        <w:spacing w:after="0" w:line="170"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As part of the collaboration arrangements, Immatics grants exclusive licensing rights for the development and commercialization of future product candidates developed for targets defined in the collaboration agreements. Additionally, Immatics agrees to perform certain research activities under the collaboration agreements, including screening of highly specific molecules for reactivity with the specified targets and off-targets using Immatics’ proprietary technology and know-how, participation on steering committees, and preparation of data packages. The research activities are the predominant item in each of the Group’s collaboration agreements.</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Group performs an analysis to identify the performance obligations under the contract, including licenses and rights to future intellectual property developed under the contract and research activities. As these agreements comprise several promises, it must be assessed whether these promises are capable of being distinct and distinct within the context of the contract. Up-front licensing payments and reimbursement for research and development expenses are initially deferred on our statement of financial position and subsequently recognized as costs are incurred using a cost-to-cost method. Milestone payments are generally included in the transaction price at the amount stipulated in the respective agreement and recognized to the extent that it is highly probable that a significant reversal in the amount of cumulative revenue recognized will not occur. To date, no milestone has been included in the transaction price.</w:t>
      </w:r>
    </w:p>
    <w:p>
      <w:pPr>
        <w:spacing w:after="0" w:line="195" w:lineRule="exact"/>
        <w:rPr>
          <w:sz w:val="20"/>
          <w:szCs w:val="20"/>
          <w:color w:val="auto"/>
        </w:rPr>
      </w:pPr>
    </w:p>
    <w:p>
      <w:pPr>
        <w:ind w:left="120" w:right="400"/>
        <w:spacing w:after="0" w:line="296" w:lineRule="auto"/>
        <w:rPr>
          <w:sz w:val="20"/>
          <w:szCs w:val="20"/>
          <w:color w:val="auto"/>
        </w:rPr>
      </w:pPr>
      <w:r>
        <w:rPr>
          <w:rFonts w:ascii="Arial" w:cs="Arial" w:eastAsia="Arial" w:hAnsi="Arial"/>
          <w:sz w:val="16"/>
          <w:szCs w:val="16"/>
          <w:color w:val="auto"/>
        </w:rPr>
        <w:t>As stated above, the licenses contributed under the collaboration agreements currently in place do not represent distinct performance obligations, because the Group’s collaboration partners would likely be unable to derive significant benefits from their access to these targets without Immatics’ research activities. Identification of a viable product candidate that will bind to the targets specified in the agreements requires use of the Group’s XPRESIDENT technology and database of target and off-target data. These agreements include a non-refundable upfront payment, payments for research and development activities in certain circumstances, and payments based upon the achievement of defined milestones.</w:t>
      </w:r>
    </w:p>
    <w:p>
      <w:pPr>
        <w:spacing w:after="0" w:line="16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Under IFRS 15, the Group applies significant judgement when evaluating whether the obligations under these agreements represent one or more combined performance obligations, the allocation of the transaction price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identified performance obligations, and the determination of whether milestone payments should be included in the transaction price.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Upfront payment</w:t>
      </w:r>
    </w:p>
    <w:p>
      <w:pPr>
        <w:spacing w:after="0" w:line="117"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Each of the Group’s collaboration agreements included a non-refundable upfront payment, meant to subsidize research activities. The Group recorded these payments as deferred revenue, which it allocated to the combined performance obligations for each agreement. Such amounts are recognized as revenue over the performance period of the research activities on a cost-to-cost basis.</w:t>
      </w:r>
    </w:p>
    <w:p>
      <w:pPr>
        <w:spacing w:after="0" w:line="18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The cost-to-cost basis using direct costs and directly attributable personal costs was considered the best measure of progress in which control of the combined performance obligations transfers to the Group’s collaboration partners, due to the nature of the work being performed.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Reimbursement for services</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Under the collaboration agreement with Genmab, the Group receives reimbursement for employee research and development costs. These employee costs are presented as research and development expenses, while reimbursements of those costs, which is based on an FTE rate defined in the contract, are presented as revenue and not deducted from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and Commercial Milestones</w:t>
      </w:r>
    </w:p>
    <w:p>
      <w:pPr>
        <w:spacing w:after="0" w:line="117"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The collaboration agreements include contingent payments related to development and commercial milestone events. These milestone payments represent variable consideration that are not initially recognized within the transaction price, due to the scientific uncertainties and the required commitment from the collaboration partners to develop and commercialize a product candidate. The Group assesses the probability of significant reversals for any amounts that become likely to be realized prior to recognizing the variable consideration associated with these payments within the transaction price.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Sales-based milestones and royalty payments</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collaboration agreements also include sales-based royalty payments upon successful commercialization of a licensed product. In accordance with IFRS 15.B63, the Group recognizes revenue from sales-based milestone and royalty payments at the later of (i) the occurrence of the subsequent sale; or</w:t>
      </w:r>
    </w:p>
    <w:p>
      <w:pPr>
        <w:jc w:val="both"/>
        <w:ind w:left="120" w:right="140" w:hanging="4"/>
        <w:spacing w:after="0" w:line="255" w:lineRule="auto"/>
        <w:tabs>
          <w:tab w:leader="none" w:pos="3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performance obligation to which some or all of the sales-based milestone or royalty payments has been allocated has been satisfied. The Group anticipates recognizing these milestones and royalty payments if and when subsequent sales are generated from a licensed product by the collaboration partner.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to fulfill contracts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Group incurs costs for personnel, supplies and other costs related to its laboratory operations as well as fees from third parties and license expenses in connection with its research and development obligations under the collaboration and licensing agreement. These costs are recognized as research and development expenses over the period in which services are performed.</w:t>
      </w:r>
    </w:p>
    <w:p>
      <w:pPr>
        <w:spacing w:after="0" w:line="32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color w:val="auto"/>
        </w:rPr>
        <w:t>Other income</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Group primarily earns other income from government research grants. Government grants are recognized as income when there is reasonable assurance that the grant will be received and all required conditions have been complied with. Grants from governmental agencies for the support of specific research and development projects are recorded as other income to the extent the related expenses have been incurred. Grant agreements include a budget that specifies the amount and nature of expenses allowed during the entire grant term.</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Expenses incurred under the grants are calculated according to agreed-upon terms on a quarterly basis, filed with the governmental agencies, and recorded as income. The governmental agencies make payments to the Group based on these calculations of expenses incurred under the grants. If these estimated calculations change, the Group will then adjust grant revenue in the subsequent period. The Group believes that its calculations are based on the agreed-upon terms as stated in the grant agreements. The governmental agencies generally have the right to audit the Group’s calculations. If the governmental agencies disagree with the Group’s calculations the amount of grant revenue recognized could change.</w:t>
      </w:r>
    </w:p>
    <w:p>
      <w:pPr>
        <w:spacing w:after="0" w:line="30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Foreign currency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and balances in Germany and in the USA</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consolidated financial statements are presented in Euro, which is the Group’s functional and presentation currency. Assets and liabilities of foreign operations are translated into Euros at the rate of exchange prevailing at the reporting date. The statements of loss is translated at average exchange rates. The currency translation differences are recognized in other comprehensive income.</w:t>
      </w:r>
    </w:p>
    <w:p>
      <w:pPr>
        <w:spacing w:after="0" w:line="184"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color w:val="auto"/>
        </w:rPr>
        <w:t>Transactions in foreign currencies are initially recorded by the Group’s entities at their respective functional currency spot rates at the date the transaction first qualifies for recognition. The Group used the following exchange rates to convert the financial statements of its U.S. subsidiary:</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3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rPr>
              <w:t>2019</w:t>
            </w:r>
          </w:p>
        </w:tc>
        <w:tc>
          <w:tcPr>
            <w:tcW w:w="5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r>
      <w:tr>
        <w:trPr>
          <w:trHeight w:val="142"/>
        </w:trPr>
        <w:tc>
          <w:tcPr>
            <w:tcW w:w="3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w w:val="86"/>
              </w:rPr>
              <w:t>Year-end rate</w:t>
            </w:r>
          </w:p>
        </w:tc>
        <w:tc>
          <w:tcPr>
            <w:tcW w:w="1220" w:type="dxa"/>
            <w:vAlign w:val="bottom"/>
          </w:tcPr>
          <w:p>
            <w:pPr>
              <w:jc w:val="right"/>
              <w:spacing w:after="0" w:line="142" w:lineRule="exact"/>
              <w:rPr>
                <w:sz w:val="20"/>
                <w:szCs w:val="20"/>
                <w:color w:val="auto"/>
              </w:rPr>
            </w:pPr>
            <w:r>
              <w:rPr>
                <w:rFonts w:ascii="Arial" w:cs="Arial" w:eastAsia="Arial" w:hAnsi="Arial"/>
                <w:sz w:val="14"/>
                <w:szCs w:val="14"/>
                <w:color w:val="auto"/>
              </w:rPr>
              <w:t>Average rate</w:t>
            </w:r>
          </w:p>
        </w:tc>
        <w:tc>
          <w:tcPr>
            <w:tcW w:w="5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w w:val="86"/>
              </w:rPr>
              <w:t>Year-end rate</w:t>
            </w:r>
          </w:p>
        </w:tc>
        <w:tc>
          <w:tcPr>
            <w:tcW w:w="1220" w:type="dxa"/>
            <w:vAlign w:val="bottom"/>
          </w:tcPr>
          <w:p>
            <w:pPr>
              <w:jc w:val="right"/>
              <w:spacing w:after="0" w:line="142" w:lineRule="exact"/>
              <w:rPr>
                <w:sz w:val="20"/>
                <w:szCs w:val="20"/>
                <w:color w:val="auto"/>
              </w:rPr>
            </w:pPr>
            <w:r>
              <w:rPr>
                <w:rFonts w:ascii="Arial" w:cs="Arial" w:eastAsia="Arial" w:hAnsi="Arial"/>
                <w:sz w:val="14"/>
                <w:szCs w:val="14"/>
                <w:color w:val="auto"/>
              </w:rPr>
              <w:t>Average rate</w:t>
            </w:r>
          </w:p>
        </w:tc>
        <w:tc>
          <w:tcPr>
            <w:tcW w:w="4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Euros per U.S. Dollar</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0.8902</w:t>
            </w: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0.8932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0.8738</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0.8468</w:t>
            </w:r>
          </w:p>
        </w:tc>
      </w:tr>
    </w:tbl>
    <w:p>
      <w:pPr>
        <w:spacing w:after="0" w:line="34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Fair value of financial instruments</w:t>
      </w:r>
    </w:p>
    <w:p>
      <w:pPr>
        <w:spacing w:after="0" w:line="162"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89" w:lineRule="exact"/>
        <w:rPr>
          <w:sz w:val="20"/>
          <w:szCs w:val="20"/>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 that is accessible by the Group.</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fair value of an asset or a liability is measured using the assumptions that market participants would use when pricing the asset or liability, assuming that market participants act in their economic best interest. The Group uses valuation techniques that are appropriate in the circumstances and for which sufficient data are available to measure fair value, maximizing the use of relevant observable inputs and minimizing the use of unobservable inputs. All assets and liabilities for which fair value is measured or disclosed in the consolidated financial statements are categorized within the fair value hierarchy, described as follows, based on the lowest level input that is significant to the fair value measurement as a whole:</w:t>
      </w:r>
    </w:p>
    <w:p>
      <w:pPr>
        <w:spacing w:after="0" w:line="67" w:lineRule="exact"/>
        <w:rPr>
          <w:sz w:val="20"/>
          <w:szCs w:val="20"/>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Level 1 — Quoted (unadjusted) market prices in active markets for identical assets or liabilities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Level 2 — Valuation techniques for which the lowest level input that is significant to the fair value measurement is directly or indirectly observable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Level 3 — Valuation techniques for which the lowest level input that is significant to the fair value measurement is unobservable</w:t>
      </w:r>
    </w:p>
    <w:p>
      <w:pPr>
        <w:spacing w:after="0" w:line="23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For assets and liabilities that are recognized in the consolidated financial statements at fair value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5"/>
          <w:szCs w:val="15"/>
          <w:b w:val="1"/>
          <w:bCs w:val="1"/>
          <w:color w:val="auto"/>
        </w:rPr>
        <w:t>Provisions</w:t>
      </w:r>
    </w:p>
    <w:p>
      <w:pPr>
        <w:spacing w:after="0" w:line="121"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Where the Group expects some or all of a provision to be reimbursed, for example under an insurance contract, the reimbursement is recognized as a separate asset but only when the reimbursement is virtually certain.</w:t>
      </w:r>
    </w:p>
    <w:p>
      <w:pPr>
        <w:spacing w:after="0" w:line="18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If the effect of the time value of money is material, provisions are discounted using a current pre-tax rate that reflects, when appropriate, the risks specific to the liability.</w:t>
      </w:r>
    </w:p>
    <w:p>
      <w:pPr>
        <w:spacing w:after="0" w:line="31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6"/>
          <w:szCs w:val="16"/>
          <w:b w:val="1"/>
          <w:bCs w:val="1"/>
          <w:color w:val="auto"/>
        </w:rPr>
        <w:t>Income Tax</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Deferred income tax results from temporary differences between the carrying amount of an asset or a liability and its tax base. Deferred income tax is provided in full using the liability method on temporary differences. In accordance with IAS 12 (“Income Taxes”), the deferred tax assets and liabilities reflect all temporary valuation and accounting differences between financial statements prepared for tax purposes and IFRS financial statements. Tax losses carried forward are taken into account in deferred tax assets calculation. The Group offsets tax assets and liabilities if and only if it has a legally enforceable right to set off current tax assets and current tax liabilities and the deferred tax assets and deferred tax liabilities relate to income taxes levied by the same tax authority.</w:t>
      </w:r>
    </w:p>
    <w:p>
      <w:pPr>
        <w:spacing w:after="0" w:line="337" w:lineRule="exact"/>
        <w:rPr>
          <w:sz w:val="20"/>
          <w:szCs w:val="20"/>
          <w:color w:val="auto"/>
        </w:rPr>
      </w:pPr>
    </w:p>
    <w:p>
      <w:pPr>
        <w:ind w:left="540" w:hanging="424"/>
        <w:spacing w:after="0"/>
        <w:tabs>
          <w:tab w:leader="none" w:pos="54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judgements, estimates and assumptions</w:t>
      </w:r>
    </w:p>
    <w:p>
      <w:pPr>
        <w:spacing w:after="0" w:line="12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preparation of the Group’s consolidated financial statements requires management to make judgements, estimates and assumptions that affect the reported amounts of revenue, expenses, assets and liabilities, income taxes and the accompanying disclosures. Uncertainty about these assumptions and estimates could result in outcomes that require a material adjustment to the carrying amount of the asset or liability affected in future periods.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Estimates — Taxes</w:t>
      </w:r>
    </w:p>
    <w:p>
      <w:pPr>
        <w:spacing w:after="0" w:line="11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Uncertainties exist with respect to the interpretation of complex tax regulations, changes in tax laws, and the amount and timing of future taxable income. Given the wide range and complexity of existing contractual agreements, differences arising between the actual results and the assumptions made, or future changes to such assumptions, could necessitate future adjustments to tax income and expense already recorded. Deferred tax assets are recognized for unused tax losses to the extent that it is probable that taxable profit will be available against which the losses can be utilized. Significant management judgement is required to determine the amount of deferred tax assets that can be recognized, based upon the likely timing and the level of future taxable profits together with future tax planning strategies.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recognition from collaboration agreements</w:t>
      </w:r>
    </w:p>
    <w:p>
      <w:pPr>
        <w:spacing w:after="0" w:line="117"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As the collaboration agreements comprise several promises, it must be assessed whether these promises are capable of being distinct within the context of the contract. For the four collaboration agreements the Group assessed that these promises are not capable of being distinct within the context of the contract which results in accounting for all goods and services promised as a single performance obligation with a single measure of progress. The performance obligation is accounted for as a performance obligation satisfied over time using a cost-to-cost method as the customer simultaneously receives and consumes the benefits from Immatics’ performance. Up-front licensing payments are initially deferred on our statement of financial position and subsequently recognized as revenue over time as costs are incurred. Milestone payments are generally included in the transaction price at the amount stipulated in the respective agreement and recognized as revenue to the extent that it is highly probable that a significant reversal in the amount of cumulative revenue recognized will not occur. To date, no milestone has been included in the transaction price.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Immatics provides development and manufacturing services to customers and recognizes revenue over time using an input-based method to measure progress toward complete satisfaction of the service because the customer simultaneously receives and consumes the benefits provided. Forecast values are used for the calculation of expected future revenue for the remaining term of the contract. These costs estimated as part of the budgeting process must be reviewed and approved before the Group can use them for recognition purposes.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payments</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Determining the fair value of share-based payment transactions requires the most appropriate valuation for the specific program, which depends on the underlying terms and conditions. This estimate also requires the determination of the most appropriate inputs to the valuation model, including the fair value of the share option.</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Due to the lack of quoted market prices, the management determined the value of share-based awards with the assistance of a third party valuation specialist using certain assumptions, such as share price volatility, the determination of an appropriate risk-free interest rate, expected dividends and the probability of reaching certain exercisability criteria.</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vested SARs under the 2010 Plan can only be exercised in an event that more than 50% of the shareholdings in the Company will be acquired by a third person (“Change of control”) and the vested SARs of the 2016 Plan may only be exercised upon the occurrence of a change in control or expiration of the applicable lock-up period following completion of an initial public offering (“IPO”).</w:t>
      </w:r>
    </w:p>
    <w:p>
      <w:pPr>
        <w:spacing w:after="0" w:line="18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fair values of these awards were discounted based on the probability of the awards becoming exercisable. It is necessary to look at different scenarios under which the award would be expected to be realized. Therefore, it was necessary to estimate the probability of each such scenario. The present value of the probability-weighted fair value under all scenarios represents the value of the awards. The difficulty in applying this method is the estimation of the different possible outcomes and the probabilities associated with such outcomes. Management’s assessment is updated at each valuation date.</w:t>
      </w:r>
    </w:p>
    <w:p>
      <w:pPr>
        <w:spacing w:after="0" w:line="332" w:lineRule="exact"/>
        <w:rPr>
          <w:sz w:val="20"/>
          <w:szCs w:val="20"/>
          <w:color w:val="auto"/>
        </w:rPr>
      </w:pPr>
    </w:p>
    <w:p>
      <w:pPr>
        <w:ind w:left="540" w:hanging="424"/>
        <w:spacing w:after="0"/>
        <w:tabs>
          <w:tab w:leader="none" w:pos="54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48"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6350</wp:posOffset>
            </wp:positionV>
            <wp:extent cx="120840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8000"/>
        <w:spacing w:after="0"/>
        <w:tabs>
          <w:tab w:leader="none" w:pos="93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-3175</wp:posOffset>
            </wp:positionV>
            <wp:extent cx="120840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8160"/>
        <w:spacing w:after="0" w:line="232" w:lineRule="auto"/>
        <w:rPr>
          <w:sz w:val="20"/>
          <w:szCs w:val="20"/>
          <w:color w:val="auto"/>
        </w:rPr>
      </w:pPr>
      <w:r>
        <w:rPr>
          <w:rFonts w:ascii="Arial" w:cs="Arial" w:eastAsia="Arial" w:hAnsi="Arial"/>
          <w:sz w:val="14"/>
          <w:szCs w:val="14"/>
          <w:b w:val="1"/>
          <w:bCs w:val="1"/>
          <w:color w:val="auto"/>
        </w:rPr>
        <w:t>(Euros in thousands)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collaboration agreements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957</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Accounts receivable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w:t>
            </w:r>
          </w:p>
        </w:tc>
        <w:tc>
          <w:tcPr>
            <w:tcW w:w="4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and 2018, no receivables were considered impaired.</w:t>
      </w:r>
    </w:p>
    <w:p>
      <w:pPr>
        <w:spacing w:after="0" w:line="370" w:lineRule="exact"/>
        <w:rPr>
          <w:sz w:val="20"/>
          <w:szCs w:val="20"/>
          <w:color w:val="auto"/>
        </w:rPr>
      </w:pPr>
    </w:p>
    <w:p>
      <w:pPr>
        <w:ind w:left="120" w:right="7700" w:hanging="4"/>
        <w:spacing w:after="0" w:line="407" w:lineRule="auto"/>
        <w:tabs>
          <w:tab w:leader="none" w:pos="552"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and non-current assets Other current assets</w:t>
      </w:r>
    </w:p>
    <w:p>
      <w:pPr>
        <w:spacing w:after="0" w:line="7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9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9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00" w:type="dxa"/>
            <w:vAlign w:val="bottom"/>
            <w:gridSpan w:val="3"/>
          </w:tcPr>
          <w:p>
            <w:pPr>
              <w:jc w:val="right"/>
              <w:ind w:right="133"/>
              <w:spacing w:after="0" w:line="142" w:lineRule="exact"/>
              <w:rPr>
                <w:sz w:val="20"/>
                <w:szCs w:val="20"/>
                <w:color w:val="auto"/>
              </w:rPr>
            </w:pPr>
            <w:r>
              <w:rPr>
                <w:rFonts w:ascii="Arial" w:cs="Arial" w:eastAsia="Arial" w:hAnsi="Arial"/>
                <w:sz w:val="14"/>
                <w:szCs w:val="14"/>
                <w:b w:val="1"/>
                <w:bCs w:val="1"/>
                <w:color w:val="auto"/>
              </w:rPr>
              <w:t>(Euros in thousands)</w:t>
            </w:r>
          </w:p>
        </w:tc>
        <w:tc>
          <w:tcPr>
            <w:tcW w:w="60" w:type="dxa"/>
            <w:vAlign w:val="bottom"/>
          </w:tcPr>
          <w:p>
            <w:pPr>
              <w:spacing w:after="0"/>
              <w:rPr>
                <w:sz w:val="12"/>
                <w:szCs w:val="12"/>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4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Prepaid expenses</w:t>
            </w:r>
          </w:p>
        </w:tc>
        <w:tc>
          <w:tcPr>
            <w:tcW w:w="4700" w:type="dxa"/>
            <w:vAlign w:val="bottom"/>
            <w:gridSpan w:val="3"/>
          </w:tcPr>
          <w:p>
            <w:pPr>
              <w:jc w:val="right"/>
              <w:ind w:right="480"/>
              <w:spacing w:after="0"/>
              <w:rPr>
                <w:sz w:val="20"/>
                <w:szCs w:val="20"/>
                <w:color w:val="auto"/>
              </w:rPr>
            </w:pPr>
            <w:r>
              <w:rPr>
                <w:rFonts w:ascii="Arial" w:cs="Arial" w:eastAsia="Arial" w:hAnsi="Arial"/>
                <w:sz w:val="18"/>
                <w:szCs w:val="18"/>
                <w:color w:val="auto"/>
              </w:rPr>
              <w:t>1,284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4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16,023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13,101</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Value added tax receivable</w:t>
            </w:r>
          </w:p>
        </w:tc>
        <w:tc>
          <w:tcPr>
            <w:tcW w:w="4700" w:type="dxa"/>
            <w:vAlign w:val="bottom"/>
            <w:gridSpan w:val="3"/>
          </w:tcPr>
          <w:p>
            <w:pPr>
              <w:jc w:val="right"/>
              <w:ind w:right="480"/>
              <w:spacing w:after="0"/>
              <w:rPr>
                <w:sz w:val="20"/>
                <w:szCs w:val="20"/>
                <w:color w:val="auto"/>
              </w:rPr>
            </w:pPr>
            <w:r>
              <w:rPr>
                <w:rFonts w:ascii="Arial" w:cs="Arial" w:eastAsia="Arial" w:hAnsi="Arial"/>
                <w:sz w:val="18"/>
                <w:szCs w:val="18"/>
                <w:color w:val="auto"/>
              </w:rPr>
              <w:t>768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617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w:t>
            </w:r>
          </w:p>
        </w:tc>
      </w:tr>
      <w:tr>
        <w:trPr>
          <w:trHeight w:val="223"/>
        </w:trPr>
        <w:tc>
          <w:tcPr>
            <w:tcW w:w="2980" w:type="dxa"/>
            <w:vAlign w:val="bottom"/>
          </w:tcPr>
          <w:p>
            <w:pPr>
              <w:spacing w:after="0"/>
              <w:rPr>
                <w:sz w:val="20"/>
                <w:szCs w:val="20"/>
                <w:color w:val="auto"/>
              </w:rPr>
            </w:pPr>
            <w:r>
              <w:rPr>
                <w:rFonts w:ascii="Arial" w:cs="Arial" w:eastAsia="Arial" w:hAnsi="Arial"/>
                <w:sz w:val="18"/>
                <w:szCs w:val="18"/>
                <w:b w:val="1"/>
                <w:bCs w:val="1"/>
                <w:color w:val="auto"/>
              </w:rPr>
              <w:t>Other current assets</w:t>
            </w:r>
          </w:p>
        </w:tc>
        <w:tc>
          <w:tcPr>
            <w:tcW w:w="36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19,690</w:t>
            </w: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15,528</w:t>
            </w:r>
          </w:p>
        </w:tc>
        <w:tc>
          <w:tcPr>
            <w:tcW w:w="60" w:type="dxa"/>
            <w:vAlign w:val="bottom"/>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980" w:type="dxa"/>
            <w:vAlign w:val="bottom"/>
          </w:tcPr>
          <w:p>
            <w:pPr>
              <w:spacing w:after="0"/>
              <w:rPr>
                <w:sz w:val="24"/>
                <w:szCs w:val="24"/>
                <w:color w:val="auto"/>
              </w:rPr>
            </w:pPr>
          </w:p>
        </w:tc>
        <w:tc>
          <w:tcPr>
            <w:tcW w:w="4700" w:type="dxa"/>
            <w:vAlign w:val="bottom"/>
            <w:gridSpan w:val="3"/>
          </w:tcPr>
          <w:p>
            <w:pPr>
              <w:jc w:val="right"/>
              <w:ind w:right="3320"/>
              <w:spacing w:after="0"/>
              <w:rPr>
                <w:sz w:val="20"/>
                <w:szCs w:val="20"/>
                <w:color w:val="auto"/>
              </w:rPr>
            </w:pPr>
            <w:r>
              <w:rPr>
                <w:rFonts w:ascii="Arial" w:cs="Arial" w:eastAsia="Arial" w:hAnsi="Arial"/>
                <w:sz w:val="18"/>
                <w:szCs w:val="18"/>
                <w:color w:val="auto"/>
              </w:rPr>
              <w:t>F-54</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Group recognizes receivables for government grants when it is reasonably assured that the grant will be received, and all contractual conditions have been complied with. As of December 31, 2019, and 2018, no receivables were considered impaired.</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Prepaid expenses include €622 thousand fees paid for the successful arrangement of the BMS and Genmab collaboration agreements as of December 31, 2019 (December 31, 2018: €181 thousand).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Short-term deposits have original maturity dates between three and nine months.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non-current assets</w:t>
      </w:r>
    </w:p>
    <w:p>
      <w:pPr>
        <w:spacing w:after="0" w:line="248"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6350</wp:posOffset>
            </wp:positionV>
            <wp:extent cx="113157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8120"/>
        <w:spacing w:after="0"/>
        <w:tabs>
          <w:tab w:leader="none" w:pos="93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-3175</wp:posOffset>
            </wp:positionV>
            <wp:extent cx="11315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8220"/>
        <w:spacing w:after="0" w:line="232" w:lineRule="auto"/>
        <w:rPr>
          <w:sz w:val="20"/>
          <w:szCs w:val="20"/>
          <w:color w:val="auto"/>
        </w:rPr>
      </w:pPr>
      <w:r>
        <w:rPr>
          <w:rFonts w:ascii="Arial" w:cs="Arial" w:eastAsia="Arial" w:hAnsi="Arial"/>
          <w:sz w:val="14"/>
          <w:szCs w:val="14"/>
          <w:b w:val="1"/>
          <w:bCs w:val="1"/>
          <w:color w:val="auto"/>
        </w:rPr>
        <w:t>(Euros in thousands)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937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1,262</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984</w:t>
            </w:r>
          </w:p>
        </w:tc>
      </w:tr>
      <w:tr>
        <w:trPr>
          <w:trHeight w:val="20"/>
        </w:trPr>
        <w:tc>
          <w:tcPr>
            <w:tcW w:w="6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Prepaid expenses entirely consist of €937 thousand fees paid for the successful arrangement of the BMS and Genmab collaboration agreements as of December 31, 2019 (December 31, 2018: €665 thousand).</w:t>
      </w:r>
    </w:p>
    <w:p>
      <w:pPr>
        <w:spacing w:after="0" w:line="315" w:lineRule="exact"/>
        <w:rPr>
          <w:sz w:val="20"/>
          <w:szCs w:val="20"/>
          <w:color w:val="auto"/>
        </w:rPr>
      </w:pPr>
    </w:p>
    <w:p>
      <w:pPr>
        <w:ind w:left="540" w:hanging="424"/>
        <w:spacing w:after="0"/>
        <w:tabs>
          <w:tab w:leader="none" w:pos="54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to property, plant and equipment during 2019 and 2018 consisted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2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Laboratory</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Computer</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Office</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2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equipment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equipment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equipment</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as of January 1, 2018</w:t>
            </w:r>
          </w:p>
        </w:tc>
        <w:tc>
          <w:tcPr>
            <w:tcW w:w="2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10,849</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2,299</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1,417</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14,565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Additions</w:t>
            </w:r>
          </w:p>
        </w:tc>
        <w:tc>
          <w:tcPr>
            <w:tcW w:w="3180" w:type="dxa"/>
            <w:vAlign w:val="bottom"/>
            <w:gridSpan w:val="3"/>
          </w:tcPr>
          <w:p>
            <w:pPr>
              <w:jc w:val="right"/>
              <w:ind w:right="320"/>
              <w:spacing w:after="0"/>
              <w:rPr>
                <w:sz w:val="20"/>
                <w:szCs w:val="20"/>
                <w:color w:val="auto"/>
              </w:rPr>
            </w:pPr>
            <w:r>
              <w:rPr>
                <w:rFonts w:ascii="Arial" w:cs="Arial" w:eastAsia="Arial" w:hAnsi="Arial"/>
                <w:sz w:val="18"/>
                <w:szCs w:val="18"/>
                <w:color w:val="auto"/>
              </w:rPr>
              <w:t>348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3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Currency translation differences</w:t>
            </w:r>
          </w:p>
        </w:tc>
        <w:tc>
          <w:tcPr>
            <w:tcW w:w="2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as of December 31, 2018</w:t>
            </w:r>
          </w:p>
        </w:tc>
        <w:tc>
          <w:tcPr>
            <w:tcW w:w="2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11,222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2,439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Accumulated depreciation as of January 1, 2018</w:t>
            </w:r>
          </w:p>
        </w:tc>
        <w:tc>
          <w:tcPr>
            <w:tcW w:w="31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6,665</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1,580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842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1,661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Disposals</w:t>
            </w:r>
          </w:p>
        </w:tc>
        <w:tc>
          <w:tcPr>
            <w:tcW w:w="3180" w:type="dxa"/>
            <w:vAlign w:val="bottom"/>
            <w:gridSpan w:val="3"/>
          </w:tcPr>
          <w:p>
            <w:pPr>
              <w:jc w:val="right"/>
              <w:ind w:right="260"/>
              <w:spacing w:after="0"/>
              <w:rPr>
                <w:sz w:val="20"/>
                <w:szCs w:val="20"/>
                <w:color w:val="auto"/>
              </w:rPr>
            </w:pPr>
            <w:r>
              <w:rPr>
                <w:rFonts w:ascii="Arial" w:cs="Arial" w:eastAsia="Arial" w:hAnsi="Arial"/>
                <w:sz w:val="18"/>
                <w:szCs w:val="18"/>
                <w:color w:val="auto"/>
              </w:rPr>
              <w:t>(94)</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w w:val="99"/>
              </w:rPr>
              <w:t>Accumulated depreciation as of December 31, 2018</w:t>
            </w:r>
          </w:p>
        </w:tc>
        <w:tc>
          <w:tcPr>
            <w:tcW w:w="2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8,279</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1,793</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1,037</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as of December 31, 2018</w:t>
            </w:r>
          </w:p>
        </w:tc>
        <w:tc>
          <w:tcPr>
            <w:tcW w:w="2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2,943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646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4,007</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Cost as of January 1, 2019</w:t>
            </w:r>
          </w:p>
        </w:tc>
        <w:tc>
          <w:tcPr>
            <w:tcW w:w="214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11,222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2,439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1,455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Impact of IFRS 16 adoption</w:t>
            </w:r>
          </w:p>
        </w:tc>
        <w:tc>
          <w:tcPr>
            <w:tcW w:w="3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(441)</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Cost as of January 1, 2019, adjusted</w:t>
            </w:r>
          </w:p>
        </w:tc>
        <w:tc>
          <w:tcPr>
            <w:tcW w:w="31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10,781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2,439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1,455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2,204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Disposals</w:t>
            </w:r>
          </w:p>
        </w:tc>
        <w:tc>
          <w:tcPr>
            <w:tcW w:w="3180" w:type="dxa"/>
            <w:vAlign w:val="bottom"/>
            <w:gridSpan w:val="3"/>
          </w:tcPr>
          <w:p>
            <w:pPr>
              <w:jc w:val="right"/>
              <w:ind w:right="260"/>
              <w:spacing w:after="0"/>
              <w:rPr>
                <w:sz w:val="20"/>
                <w:szCs w:val="20"/>
                <w:color w:val="auto"/>
              </w:rPr>
            </w:pPr>
            <w:r>
              <w:rPr>
                <w:rFonts w:ascii="Arial" w:cs="Arial" w:eastAsia="Arial" w:hAnsi="Arial"/>
                <w:sz w:val="18"/>
                <w:szCs w:val="18"/>
                <w:color w:val="auto"/>
              </w:rPr>
              <w:t>(314)</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Cost as of December 31, 2019</w:t>
            </w:r>
          </w:p>
        </w:tc>
        <w:tc>
          <w:tcPr>
            <w:tcW w:w="21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12,723</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2,956</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1,753</w:t>
            </w: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 as of January 1, 2019</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8,279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1,793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1,037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Additions</w:t>
            </w:r>
          </w:p>
        </w:tc>
        <w:tc>
          <w:tcPr>
            <w:tcW w:w="3180" w:type="dxa"/>
            <w:vAlign w:val="bottom"/>
            <w:gridSpan w:val="3"/>
          </w:tcPr>
          <w:p>
            <w:pPr>
              <w:jc w:val="right"/>
              <w:ind w:right="320"/>
              <w:spacing w:after="0"/>
              <w:rPr>
                <w:sz w:val="20"/>
                <w:szCs w:val="20"/>
                <w:color w:val="auto"/>
              </w:rPr>
            </w:pPr>
            <w:r>
              <w:rPr>
                <w:rFonts w:ascii="Arial" w:cs="Arial" w:eastAsia="Arial" w:hAnsi="Arial"/>
                <w:sz w:val="18"/>
                <w:szCs w:val="18"/>
                <w:color w:val="auto"/>
              </w:rPr>
              <w:t>1,219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256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322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3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Currency translation differences</w:t>
            </w:r>
          </w:p>
        </w:tc>
        <w:tc>
          <w:tcPr>
            <w:tcW w:w="2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Accumulated depreciation as of December 31, 2019</w:t>
            </w:r>
          </w:p>
        </w:tc>
        <w:tc>
          <w:tcPr>
            <w:tcW w:w="2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9,303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2,050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1,359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12,712</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Net book value at December 31, 2019</w:t>
            </w:r>
          </w:p>
        </w:tc>
        <w:tc>
          <w:tcPr>
            <w:tcW w:w="2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3,420</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906</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w w:val="79"/>
              </w:rPr>
              <w:t>394</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180" w:type="dxa"/>
            <w:vAlign w:val="bottom"/>
            <w:gridSpan w:val="3"/>
          </w:tcPr>
          <w:p>
            <w:pPr>
              <w:jc w:val="right"/>
              <w:ind w:right="2340"/>
              <w:spacing w:after="0"/>
              <w:rPr>
                <w:sz w:val="20"/>
                <w:szCs w:val="20"/>
                <w:color w:val="auto"/>
              </w:rPr>
            </w:pPr>
            <w:r>
              <w:rPr>
                <w:rFonts w:ascii="Arial" w:cs="Arial" w:eastAsia="Arial" w:hAnsi="Arial"/>
                <w:sz w:val="18"/>
                <w:szCs w:val="18"/>
                <w:color w:val="auto"/>
              </w:rPr>
              <w:t>F-55</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is included in the following line items of the consolidated statement of loss: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9"/>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gridSpan w:val="7"/>
          </w:tcPr>
          <w:p>
            <w:pPr>
              <w:jc w:val="right"/>
              <w:ind w:right="440"/>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1,315</w:t>
            </w:r>
          </w:p>
        </w:tc>
        <w:tc>
          <w:tcPr>
            <w:tcW w:w="132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1,757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gridSpan w:val="3"/>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1,797</w:t>
            </w:r>
          </w:p>
        </w:tc>
        <w:tc>
          <w:tcPr>
            <w:tcW w:w="132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2,058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676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Intangible assets</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80" w:type="dxa"/>
            <w:vAlign w:val="bottom"/>
            <w:vMerge w:val="continue"/>
          </w:tcPr>
          <w:p>
            <w:pPr>
              <w:spacing w:after="0"/>
              <w:rPr>
                <w:sz w:val="24"/>
                <w:szCs w:val="24"/>
                <w:color w:val="auto"/>
              </w:rPr>
            </w:pPr>
          </w:p>
        </w:tc>
        <w:tc>
          <w:tcPr>
            <w:tcW w:w="67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40" w:type="dxa"/>
            <w:vAlign w:val="bottom"/>
            <w:gridSpan w:val="4"/>
          </w:tcPr>
          <w:p>
            <w:pPr>
              <w:spacing w:after="0"/>
              <w:rPr>
                <w:sz w:val="20"/>
                <w:szCs w:val="20"/>
                <w:color w:val="auto"/>
              </w:rPr>
            </w:pPr>
            <w:r>
              <w:rPr>
                <w:rFonts w:ascii="Arial" w:cs="Arial" w:eastAsia="Arial" w:hAnsi="Arial"/>
                <w:sz w:val="18"/>
                <w:szCs w:val="18"/>
                <w:color w:val="auto"/>
              </w:rPr>
              <w:t>Changes to intangible assets during 2019 and 2018 consisted of the following:</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676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(Euros in thousands)</w:t>
            </w:r>
          </w:p>
        </w:tc>
        <w:tc>
          <w:tcPr>
            <w:tcW w:w="132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0"/>
              </w:rPr>
              <w:t>Patents and</w:t>
            </w:r>
          </w:p>
        </w:tc>
        <w:tc>
          <w:tcPr>
            <w:tcW w:w="13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4"/>
              </w:rPr>
              <w:t>Software</w:t>
            </w: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6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3"/>
              </w:rPr>
              <w:t>licenses</w:t>
            </w:r>
          </w:p>
        </w:tc>
        <w:tc>
          <w:tcPr>
            <w:tcW w:w="120" w:type="dxa"/>
            <w:vAlign w:val="bottom"/>
          </w:tcPr>
          <w:p>
            <w:pPr>
              <w:spacing w:after="0"/>
              <w:rPr>
                <w:sz w:val="14"/>
                <w:szCs w:val="14"/>
                <w:color w:val="auto"/>
              </w:rPr>
            </w:pPr>
          </w:p>
        </w:tc>
        <w:tc>
          <w:tcPr>
            <w:tcW w:w="12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3"/>
              </w:rPr>
              <w:t>licenses</w:t>
            </w: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as of January 1, 2018</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1,156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760" w:type="dxa"/>
            <w:vAlign w:val="bottom"/>
            <w:gridSpan w:val="3"/>
          </w:tcPr>
          <w:p>
            <w:pPr>
              <w:ind w:left="600"/>
              <w:spacing w:after="0"/>
              <w:rPr>
                <w:sz w:val="20"/>
                <w:szCs w:val="20"/>
                <w:color w:val="auto"/>
              </w:rPr>
            </w:pPr>
            <w:r>
              <w:rPr>
                <w:rFonts w:ascii="Arial" w:cs="Arial" w:eastAsia="Arial" w:hAnsi="Arial"/>
                <w:sz w:val="18"/>
                <w:szCs w:val="18"/>
                <w:b w:val="1"/>
                <w:bCs w:val="1"/>
                <w:color w:val="auto"/>
              </w:rPr>
              <w:t>Cost as of December 31, 2018</w:t>
            </w:r>
          </w:p>
        </w:tc>
        <w:tc>
          <w:tcPr>
            <w:tcW w:w="140" w:type="dxa"/>
            <w:vAlign w:val="bottom"/>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1,201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551</w:t>
            </w:r>
          </w:p>
        </w:tc>
        <w:tc>
          <w:tcPr>
            <w:tcW w:w="6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 as of January 1, 2018</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760" w:type="dxa"/>
            <w:vAlign w:val="bottom"/>
            <w:gridSpan w:val="3"/>
          </w:tcPr>
          <w:p>
            <w:pPr>
              <w:ind w:left="600"/>
              <w:spacing w:after="0"/>
              <w:rPr>
                <w:sz w:val="20"/>
                <w:szCs w:val="20"/>
                <w:color w:val="auto"/>
              </w:rPr>
            </w:pPr>
            <w:r>
              <w:rPr>
                <w:rFonts w:ascii="Arial" w:cs="Arial" w:eastAsia="Arial" w:hAnsi="Arial"/>
                <w:sz w:val="18"/>
                <w:szCs w:val="18"/>
                <w:b w:val="1"/>
                <w:bCs w:val="1"/>
                <w:color w:val="auto"/>
              </w:rPr>
              <w:t>Accumulated amortization as of December 31, 2018</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314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399</w:t>
            </w:r>
          </w:p>
        </w:tc>
        <w:tc>
          <w:tcPr>
            <w:tcW w:w="6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value at December 31, 2018</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887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00" w:type="dxa"/>
            <w:vAlign w:val="bottom"/>
            <w:vMerge w:val="restart"/>
          </w:tcPr>
          <w:p>
            <w:pPr>
              <w:spacing w:after="0"/>
              <w:rPr>
                <w:sz w:val="19"/>
                <w:szCs w:val="19"/>
                <w:color w:val="auto"/>
              </w:rPr>
            </w:pPr>
          </w:p>
        </w:tc>
        <w:tc>
          <w:tcPr>
            <w:tcW w:w="4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as of January 1, 2019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760" w:type="dxa"/>
            <w:vAlign w:val="bottom"/>
            <w:gridSpan w:val="3"/>
          </w:tcPr>
          <w:p>
            <w:pPr>
              <w:ind w:left="600"/>
              <w:spacing w:after="0"/>
              <w:rPr>
                <w:sz w:val="20"/>
                <w:szCs w:val="20"/>
                <w:color w:val="auto"/>
              </w:rPr>
            </w:pPr>
            <w:r>
              <w:rPr>
                <w:rFonts w:ascii="Arial" w:cs="Arial" w:eastAsia="Arial" w:hAnsi="Arial"/>
                <w:sz w:val="18"/>
                <w:szCs w:val="18"/>
                <w:b w:val="1"/>
                <w:bCs w:val="1"/>
                <w:color w:val="auto"/>
              </w:rPr>
              <w:t>Cost as of December 31, 2019</w:t>
            </w:r>
          </w:p>
        </w:tc>
        <w:tc>
          <w:tcPr>
            <w:tcW w:w="140" w:type="dxa"/>
            <w:vAlign w:val="bottom"/>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643</w:t>
            </w:r>
          </w:p>
        </w:tc>
        <w:tc>
          <w:tcPr>
            <w:tcW w:w="6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 as of January 1, 2019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760" w:type="dxa"/>
            <w:vAlign w:val="bottom"/>
            <w:gridSpan w:val="3"/>
          </w:tcPr>
          <w:p>
            <w:pPr>
              <w:ind w:left="600"/>
              <w:spacing w:after="0"/>
              <w:rPr>
                <w:sz w:val="20"/>
                <w:szCs w:val="20"/>
                <w:color w:val="auto"/>
              </w:rPr>
            </w:pPr>
            <w:r>
              <w:rPr>
                <w:rFonts w:ascii="Arial" w:cs="Arial" w:eastAsia="Arial" w:hAnsi="Arial"/>
                <w:sz w:val="18"/>
                <w:szCs w:val="18"/>
                <w:b w:val="1"/>
                <w:bCs w:val="1"/>
                <w:color w:val="auto"/>
              </w:rPr>
              <w:t>Accumulated amortization as of December 31, 2019</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369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486</w:t>
            </w:r>
          </w:p>
        </w:tc>
        <w:tc>
          <w:tcPr>
            <w:tcW w:w="6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value at December 31, 2019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851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18"/>
                <w:szCs w:val="18"/>
                <w:color w:val="auto"/>
                <w:w w:val="93"/>
              </w:rPr>
              <w:t>Amortization expense is classified as follows within the consolidated statement of profit or loss:</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4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9"/>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8"/>
          </w:tcPr>
          <w:p>
            <w:pPr>
              <w:jc w:val="right"/>
              <w:ind w:right="520"/>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8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gridSpan w:val="2"/>
          </w:tcPr>
          <w:p>
            <w:pPr>
              <w:spacing w:after="0"/>
              <w:rPr>
                <w:sz w:val="18"/>
                <w:szCs w:val="18"/>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gridSpan w:val="2"/>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111</w:t>
            </w: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20" w:type="dxa"/>
            <w:vAlign w:val="bottom"/>
            <w:vMerge w:val="restart"/>
          </w:tcPr>
          <w:p>
            <w:pPr>
              <w:ind w:left="4020"/>
              <w:spacing w:after="0"/>
              <w:rPr>
                <w:sz w:val="20"/>
                <w:szCs w:val="20"/>
                <w:color w:val="auto"/>
              </w:rPr>
            </w:pPr>
            <w:r>
              <w:rPr>
                <w:rFonts w:ascii="Arial" w:cs="Arial" w:eastAsia="Arial" w:hAnsi="Arial"/>
                <w:sz w:val="18"/>
                <w:szCs w:val="18"/>
                <w:color w:val="auto"/>
              </w:rPr>
              <w:t>F-56</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9" w:right="131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Right-of use assets consist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87"/>
              </w:rPr>
              <w:t>As of,</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January 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2,799</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IT and telecommunication</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349</w:t>
            </w: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Others</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3,287</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4,927</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color w:val="auto"/>
              </w:rPr>
              <w:t>Lease liabilities consist of the following:</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87"/>
              </w:rPr>
              <w:t>As of,</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January 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 — current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1,411</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Lease liability — non-current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1,823</w:t>
            </w:r>
          </w:p>
        </w:tc>
        <w:tc>
          <w:tcPr>
            <w:tcW w:w="6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3,234</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4,787</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color w:val="auto"/>
              </w:rPr>
              <w:t>Additions to the right-of-use assets were €261 thousand in 2019.</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3"/>
          </w:tcPr>
          <w:p>
            <w:pPr>
              <w:spacing w:after="0"/>
              <w:rPr>
                <w:sz w:val="20"/>
                <w:szCs w:val="20"/>
                <w:color w:val="auto"/>
              </w:rPr>
            </w:pPr>
            <w:r>
              <w:rPr>
                <w:rFonts w:ascii="Arial" w:cs="Arial" w:eastAsia="Arial" w:hAnsi="Arial"/>
                <w:sz w:val="18"/>
                <w:szCs w:val="18"/>
                <w:color w:val="auto"/>
              </w:rPr>
              <w:t>Currency translation differences included in right-of-use assets were €49 thousand in 2019.</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3"/>
          </w:tcPr>
          <w:p>
            <w:pPr>
              <w:spacing w:after="0"/>
              <w:rPr>
                <w:sz w:val="20"/>
                <w:szCs w:val="20"/>
                <w:color w:val="auto"/>
              </w:rPr>
            </w:pPr>
            <w:r>
              <w:rPr>
                <w:rFonts w:ascii="Arial" w:cs="Arial" w:eastAsia="Arial" w:hAnsi="Arial"/>
                <w:sz w:val="18"/>
                <w:szCs w:val="18"/>
                <w:color w:val="auto"/>
              </w:rPr>
              <w:t>Expenses related to right-of-use assets and lease liabilities consist of the following:</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Depreciation charges of right-of-use asset</w:t>
            </w:r>
          </w:p>
        </w:tc>
        <w:tc>
          <w:tcPr>
            <w:tcW w:w="20" w:type="dxa"/>
            <w:vAlign w:val="bottom"/>
          </w:tcPr>
          <w:p>
            <w:pPr>
              <w:spacing w:after="0"/>
              <w:rPr>
                <w:sz w:val="24"/>
                <w:szCs w:val="24"/>
                <w:color w:val="auto"/>
              </w:rPr>
            </w:pPr>
          </w:p>
        </w:tc>
        <w:tc>
          <w:tcPr>
            <w:tcW w:w="230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040" w:type="dxa"/>
            <w:vAlign w:val="bottom"/>
            <w:vMerge w:val="continue"/>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3"/>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1,804</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IT and telecommunication</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expenses from leases</w:t>
            </w:r>
          </w:p>
        </w:tc>
        <w:tc>
          <w:tcPr>
            <w:tcW w:w="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20" w:type="dxa"/>
            <w:vAlign w:val="bottom"/>
          </w:tcPr>
          <w:p>
            <w:pPr>
              <w:spacing w:after="0"/>
              <w:rPr>
                <w:sz w:val="17"/>
                <w:szCs w:val="17"/>
                <w:color w:val="auto"/>
              </w:rPr>
            </w:pPr>
          </w:p>
        </w:tc>
        <w:tc>
          <w:tcPr>
            <w:tcW w:w="6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Expenses related to short-term leases and low-value assets (included in</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6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total cash payments for leases was €2,059 thousand in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2019, the Group has committed lease payments of €3,352 thousand, of which €1,482 thousand will occur in the next 12 months.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remaining lease payments will occur between January 1, 2021 and December 31, 2024.</w:t>
      </w:r>
    </w:p>
    <w:p>
      <w:pPr>
        <w:spacing w:after="0" w:line="35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11.</w:t>
        <w:tab/>
        <w:t>Accounts Payable</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0" w:type="dxa"/>
            <w:vAlign w:val="bottom"/>
            <w:gridSpan w:val="4"/>
          </w:tcPr>
          <w:p>
            <w:pPr>
              <w:ind w:left="4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9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160" w:type="dxa"/>
            <w:vAlign w:val="bottom"/>
            <w:gridSpan w:val="3"/>
          </w:tcPr>
          <w:p>
            <w:pPr>
              <w:jc w:val="right"/>
              <w:ind w:right="355"/>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4,866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2,653</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3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6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40" w:type="dxa"/>
            <w:vAlign w:val="bottom"/>
          </w:tcPr>
          <w:p>
            <w:pPr>
              <w:spacing w:after="0"/>
              <w:rPr>
                <w:sz w:val="19"/>
                <w:szCs w:val="19"/>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Accounts Payable</w:t>
            </w:r>
          </w:p>
        </w:tc>
        <w:tc>
          <w:tcPr>
            <w:tcW w:w="3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7,082</w:t>
            </w:r>
          </w:p>
        </w:tc>
        <w:tc>
          <w:tcPr>
            <w:tcW w:w="6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w:t>
            </w:r>
          </w:p>
        </w:tc>
        <w:tc>
          <w:tcPr>
            <w:tcW w:w="40" w:type="dxa"/>
            <w:vAlign w:val="bottom"/>
            <w:shd w:val="clear" w:color="auto" w:fill="CCEEFF"/>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900" w:type="dxa"/>
            <w:vAlign w:val="bottom"/>
          </w:tcPr>
          <w:p>
            <w:pPr>
              <w:spacing w:after="0"/>
              <w:rPr>
                <w:sz w:val="24"/>
                <w:szCs w:val="24"/>
                <w:color w:val="auto"/>
              </w:rPr>
            </w:pPr>
          </w:p>
        </w:tc>
        <w:tc>
          <w:tcPr>
            <w:tcW w:w="4680" w:type="dxa"/>
            <w:vAlign w:val="bottom"/>
            <w:gridSpan w:val="3"/>
          </w:tcPr>
          <w:p>
            <w:pPr>
              <w:ind w:left="1120"/>
              <w:spacing w:after="0"/>
              <w:rPr>
                <w:sz w:val="20"/>
                <w:szCs w:val="20"/>
                <w:color w:val="auto"/>
              </w:rPr>
            </w:pPr>
            <w:r>
              <w:rPr>
                <w:rFonts w:ascii="Arial" w:cs="Arial" w:eastAsia="Arial" w:hAnsi="Arial"/>
                <w:sz w:val="18"/>
                <w:szCs w:val="18"/>
                <w:color w:val="auto"/>
              </w:rPr>
              <w:t>F-57</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20"/>
          </w:cols>
          <w:pgMar w:left="320" w:top="459" w:right="7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Other accrued liabilities classified within accounts payable mainly relate to outstanding invoices amounting €1,962 thousand as of December 31, 2019 (December 31, 2018: €1,270 thousand).</w:t>
      </w:r>
    </w:p>
    <w:p>
      <w:pPr>
        <w:spacing w:after="0" w:line="315" w:lineRule="exact"/>
        <w:rPr>
          <w:sz w:val="20"/>
          <w:szCs w:val="20"/>
          <w:color w:val="auto"/>
        </w:rPr>
      </w:pPr>
    </w:p>
    <w:p>
      <w:pPr>
        <w:ind w:left="540" w:hanging="424"/>
        <w:spacing w:after="0"/>
        <w:tabs>
          <w:tab w:leader="none" w:pos="54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collaboration agreements and Deferred revenue</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Group earns revenue through collaboration agreements with third party pharmaceutical and biotechnology companies. As of December 31, 2019, the Group had four collaboration agreements in place, each of which is in the preclinical stage.</w:t>
      </w:r>
    </w:p>
    <w:p>
      <w:pPr>
        <w:spacing w:after="0" w:line="170"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As part of these collaboration arrangements, Immatics grants exclusive licensing rights or options thereto for the development and commercialization of future product candidates developed for several targets defined in the respective collaboration agreements, in addition to research activities, including screening of highly specific molecules for reactivity with the specified targets and off-targets using Immatics’ proprietary technology and know-how, participation on a joint steering committee, and preparation of data packages. For each collaboration agreement, these promises represent one combined performance obligation, because the research activities are mutually dependent and the respective collaboration partner is unable to derive significant benefits from its access to these targets without Immatics’ research activities, which are highly specialized and cannot be performed by other organizations. Under each agreement, research activities were determined to be the predominant item under the contract.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Amgen Collaboration Agreement</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December 2016, Immatics Biotechnologies GmbH entered into a research collaboration and license agreement with Amgen Inc. (“Amgen”) to develop next-generation, T cell engaging bispecific immunotherapies targeting multiple cancers. Under the terms of the agreement, Immatics contributed its XPRESIDENT target discovery and T cell receptor (TCR) capabilities to the preclinical development of product candidates. Amgen Inc. contributed its validated BiTE (Bispecific T cell Engager) technology and will be responsible for the clinical development, manufacturing and commercialization worldwide.</w:t>
      </w:r>
    </w:p>
    <w:p>
      <w:pPr>
        <w:spacing w:after="0" w:line="188"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In the collaboration agreement with Amgen, Immatics is eligible to receive development, regulatory and commercial milestone payments amounting up to $525 million for each program and tiered royalties on net sales for each licensed product at percentages ranging from high-single digits to low teens subject to customary reductions.</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Group received a non-refundable upfront payment of $30 million upon signing of the Amgen agreement. The Group classified the initial receipt of the upfront payment as deferred revenue, which it recognizes into revenue as on a cost-to-cost basis using forecasted costs. A cost-to-cost basis was determined most representative of the transfer of benefits to Amgen. During the years ended December 31, 2019 and 2018, the Group recognized €6,197 thousand and €1,501 thousand of revenue associated with research activities performed under the Amgen collaboration agreement. Total deferred revenue under the agreement was €15,093 thousand and €20,809 thousand as of December 31, 2019 and 2018, respectively.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Genmab Collaboration Agreement</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July 2018, Immatics Biotechnologies GmbH entered into a research collaboration and license agreement with Genmab A/S (“Genmab”) to develop next-generation, T cell engaging bispecific immunotherapies targeting multiple cancer indications. Under the agreement, Immatics and Genmab conduct joint research to combine Immatics’ XPRESIDENT and Bispecific TCR technology platforms with Genmab’s proprietary antibody technologies to develop multiple bispecific immunotherapies in oncology. The two companies plan to develop immunotherapies directed against three proprietary targets. Genmab will be responsible for development, manufacturing and worldwide commercialization. Immatics will have an option to contribute certain promotion efforts at predetermined levels in selected countries in the EU.</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 Genmab collaboration agreement contains a maximum of $550 million of milestone payments for each licensed product resulting from the collaboration. In addition, Immatics is entitled to receive royalty payments. Royalty rates are based on aggregate net sales of a licensed product. The agreement provides for higher royalty rates as annual net sales of a licensed product increases. Under the agreement, Immatics is eligible to receive tiered royalties on net sales for each licensed product up to double-digit percentages.</w:t>
      </w:r>
    </w:p>
    <w:p>
      <w:pPr>
        <w:spacing w:after="0" w:line="18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Group received a non-refundable upfront payment of $54 million upon signing of the agreement. The Group classified the initial receipt of the upfront payment as deferred revenue. The Group recognized €11,191 thousand and €2,269 of revenue for research activities performed under the Genmab collaboration agreement during the years ended December 31, 2019 and 2018, respectively. Revenue for the Genmab collaboration agreement is recognized on a cost-to-cost basis using forecasted costs. A cost-to-cost basis was determined most representative of the transfer of benefits to Genmab. Total deferred revenue under the agreement was €34,767 thousand and €44,212 thousand as of December 31, 2019 and 2018, respectively. Under the agreement, the Group also receives reimbursement for research and development costs performed.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BMS Collaboration Agreement</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August 2019, Immatics Biotechnologies GmbH and BMS entered into a collaboration and option agreement to develop novel adoptive cell therapies targeting multiple cancers. Under the agreement, Immatics may develop T Cell Receptor Engineered T cell Therapy (TCR-T) programs against solid tumor targets discovered with Immatics’ XPRESIDENT technology. Programs would utilize proprietary T Cell Receptors (TCRs) identified by Immatics’ XCEPTOR TCR discovery and engineering platform.</w:t>
      </w:r>
    </w:p>
    <w:p>
      <w:pPr>
        <w:spacing w:after="0" w:line="187"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If Immatics develops programs against the TCR-T targets, Immatics will be responsible for the development and validation of these programs through lead candidate stage, at which time BMS may exercise opt-in rights and assume sole responsibility for further worldwide development, manufacturing and commercialization of the TCR-T cell therapies. Immatics would have certain early stage co-development rights or co-funding rights for selected TCR-T cell therapies arising from the collaboration. With respect to this collaboration agreement with BMS, Immatics may be eligible to receive regulatory and sales milestones in aggregate amounts of up to $190 million, and $300 million, respectively. In addition, Immatics is entitled to royalty payments. Royalty rates are based on aggregate net sales of a licensed product resulting from the collaboration. The agreement provides for higher royalty rates as annual net sales of a licensed product increases. Under each contract, the royalty rates begin in the high single-digits, increasing to the teen-digits as a percentage of aggregate annual net sales of a licensed product.</w:t>
      </w:r>
    </w:p>
    <w:p>
      <w:pPr>
        <w:spacing w:after="0" w:line="17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Group received a non-refundable upfront payment of $75 million upon signing of the agreement. The Group classified the initial receipt of the upfront payment as deferred revenue. The Group recognized €1,061 thousand of revenue associated with the upfront payment during 2019. Revenue for the BMS collaboration agreement is recognized on a cost-to-cost basis using forecasted costs. A cost-to-cost basis was determined most representative of the transfer of benefits to BMS. Total deferred revenue under the agreement was €66,514 thousand as of December 31, 2019.</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GSK</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December 2019, Immatics entered into a collaboration agreement with GSK to develop novel adoptive cell therapies targeting multiple cancer indications. Immatics and GSK plan to collaborate on the identification, research and development of next-generation TCR Therapeutics focusing on solid tumors. The collaboration will initially focus on the development of autologous T cell therapies and GSK has an option to develop allogeneic T cell therapies using Immatics ACTallo approach.</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Immatics and GSK intend to utilize proprietary TCRs identified by Immatics TCR discovery platform XCEPTOR which are planned to be directed against two proprietary targets. Those proprietary targets were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060"/>
          </w:cols>
          <w:pgMar w:left="320" w:top="459" w:right="51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discovered and validated by the respective XPRESIDENT technology. Immatics will be mainly responsible for the development and validation of the TCR-T up to designation of a clinical candidate. GSK will then assume sole responsibility for further development, manufacturing and commercialization of the TCR-T with the option for Immatics to co-develop one or more TCR-Ts upon GSK´s request.</w:t>
      </w:r>
    </w:p>
    <w:p>
      <w:pPr>
        <w:spacing w:after="0" w:line="16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Group received a non-refundable upfront payment of €45 million for two initial programs upon signing of the GSK agreement and is eligible to receive up to $575 million of development, regulatory and sales milestone payments per program. In addition, Immatics is entitled to royalty payments. Royalty rates are based on aggregate net sales of a licensed product resulting from the collaboration. The agreement provides for higher royalty rates as annual net sales of a licensed product increases.</w:t>
      </w:r>
    </w:p>
    <w:p>
      <w:pPr>
        <w:spacing w:after="0" w:line="18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Group classified the initial receipt of the upfront payment as deferred revenue. The Group recognized no revenue associated with the upfront payment during 2019. Total deferred revenue under the agreement was €45,000 thousand as of December 31, 2019. The Group has not recognized any royalty or milestone revenue under the collaboration agreements, due to the scientific uncertainty of achieving the milestones or the successful commercialization of a product. As of December 31, 2019, Immatics had not received any milestone or royalty payments in connection with the collaboration agreements.</w:t>
      </w:r>
    </w:p>
    <w:p>
      <w:pPr>
        <w:spacing w:after="0" w:line="188"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Group plans to recognize the remaining deferred revenue balance into revenue as it performs the related performance obligations under each contract.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revenue related to the collaboration agreements consists of the following:</w:t>
      </w:r>
    </w:p>
    <w:p>
      <w:pPr>
        <w:spacing w:after="0" w:line="244"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6350</wp:posOffset>
            </wp:positionV>
            <wp:extent cx="10801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8260"/>
        <w:spacing w:after="0"/>
        <w:tabs>
          <w:tab w:leader="none" w:pos="92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-3175</wp:posOffset>
            </wp:positionV>
            <wp:extent cx="10801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8260"/>
        <w:spacing w:after="0" w:line="232" w:lineRule="auto"/>
        <w:rPr>
          <w:sz w:val="20"/>
          <w:szCs w:val="20"/>
          <w:color w:val="auto"/>
        </w:rPr>
      </w:pPr>
      <w:r>
        <w:rPr>
          <w:rFonts w:ascii="Arial" w:cs="Arial" w:eastAsia="Arial" w:hAnsi="Arial"/>
          <w:sz w:val="14"/>
          <w:szCs w:val="14"/>
          <w:b w:val="1"/>
          <w:bCs w:val="1"/>
          <w:color w:val="auto"/>
        </w:rPr>
        <w:t>(Euros in thousands)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59,465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21,590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Non-current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101,909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43,431</w:t>
            </w:r>
          </w:p>
        </w:tc>
      </w:tr>
      <w:tr>
        <w:trPr>
          <w:trHeight w:val="27"/>
        </w:trPr>
        <w:tc>
          <w:tcPr>
            <w:tcW w:w="6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161,374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65,021</w:t>
            </w:r>
          </w:p>
        </w:tc>
      </w:tr>
      <w:tr>
        <w:trPr>
          <w:trHeight w:val="20"/>
        </w:trPr>
        <w:tc>
          <w:tcPr>
            <w:tcW w:w="6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Group incurs costs from a third party, who assists in identifying collaboration partners. The Group recognizes a contract asset to the extent these costs are directly related to a specific contract. The Group then amortizes the contract cost consistently with the pattern of revenue recognition for the related contracts. Total contract assets recognized were €1,559 thousand and €846 thousand as of December 31, 2019 and 2018, respectively, which are classified in other current assets and other non-current assets. Immatics recognized expenses related to the amortization of capitalized contract costs of €195 thousand and €36 thousand during 2019 and 2018, respectively.</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As of December 31, 2019, the Group is potentially liable to pay $2 million to a third-party upon successful completing the milestone of the first clinical lead selection in connection with Immatics’ collaboration agreements. The Group does not recognize a liability for these contingent payments due to the scientific uncertainty of achieving the related milestones.</w:t>
      </w:r>
    </w:p>
    <w:p>
      <w:pPr>
        <w:spacing w:after="0" w:line="328" w:lineRule="exact"/>
        <w:rPr>
          <w:sz w:val="20"/>
          <w:szCs w:val="20"/>
          <w:color w:val="auto"/>
        </w:rPr>
      </w:pPr>
    </w:p>
    <w:p>
      <w:pPr>
        <w:ind w:left="540" w:hanging="424"/>
        <w:spacing w:after="0"/>
        <w:tabs>
          <w:tab w:leader="none" w:pos="5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jc w:val="both"/>
        <w:ind w:left="120" w:right="460"/>
        <w:spacing w:after="0" w:line="259" w:lineRule="auto"/>
        <w:rPr>
          <w:sz w:val="20"/>
          <w:szCs w:val="20"/>
          <w:color w:val="auto"/>
        </w:rPr>
      </w:pPr>
      <w:r>
        <w:rPr>
          <w:rFonts w:ascii="Arial" w:cs="Arial" w:eastAsia="Arial" w:hAnsi="Arial"/>
          <w:sz w:val="18"/>
          <w:szCs w:val="18"/>
          <w:color w:val="auto"/>
        </w:rPr>
        <w:t>Other income includes grant income, in addition to other immaterial sources. The Group receives income through government grants for specific research and development projects. The Group recognizes grant income as it performs research and development activities specified by the grant agreements. Total grant income was €26 thousand and €2,933 thousand during 2019 and 2018, respectively. There are no unfulfilled conditions or contingencies attached to these grants.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80"/>
          </w:cols>
          <w:pgMar w:left="320" w:top="459" w:right="49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had the following deferred income and receivable balances under these agreements:</w:t>
      </w:r>
    </w:p>
    <w:p>
      <w:pPr>
        <w:spacing w:after="0" w:line="244"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6350</wp:posOffset>
            </wp:positionV>
            <wp:extent cx="11315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8120"/>
        <w:spacing w:after="0"/>
        <w:tabs>
          <w:tab w:leader="none" w:pos="93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-3175</wp:posOffset>
            </wp:positionV>
            <wp:extent cx="11315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8220"/>
        <w:spacing w:after="0" w:line="232" w:lineRule="auto"/>
        <w:rPr>
          <w:sz w:val="20"/>
          <w:szCs w:val="20"/>
          <w:color w:val="auto"/>
        </w:rPr>
      </w:pPr>
      <w:r>
        <w:rPr>
          <w:rFonts w:ascii="Arial" w:cs="Arial" w:eastAsia="Arial" w:hAnsi="Arial"/>
          <w:sz w:val="14"/>
          <w:szCs w:val="14"/>
          <w:b w:val="1"/>
          <w:bCs w:val="1"/>
          <w:color w:val="auto"/>
        </w:rPr>
        <w:t>(Euros in thousands)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3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Deferred income</w:t>
            </w:r>
          </w:p>
        </w:tc>
        <w:tc>
          <w:tcPr>
            <w:tcW w:w="3500" w:type="dxa"/>
            <w:vAlign w:val="bottom"/>
          </w:tcPr>
          <w:p>
            <w:pPr>
              <w:jc w:val="right"/>
              <w:ind w:right="310"/>
              <w:spacing w:after="0"/>
              <w:rPr>
                <w:sz w:val="20"/>
                <w:szCs w:val="20"/>
                <w:color w:val="auto"/>
              </w:rPr>
            </w:pPr>
            <w:r>
              <w:rPr>
                <w:rFonts w:ascii="Arial" w:cs="Arial" w:eastAsia="Arial" w:hAnsi="Arial"/>
                <w:sz w:val="18"/>
                <w:szCs w:val="18"/>
                <w:color w:val="auto"/>
              </w:rPr>
              <w:t>164</w:t>
            </w:r>
          </w:p>
        </w:tc>
        <w:tc>
          <w:tcPr>
            <w:tcW w:w="840" w:type="dxa"/>
            <w:vAlign w:val="bottom"/>
          </w:tcPr>
          <w:p>
            <w:pPr>
              <w:jc w:val="right"/>
              <w:spacing w:after="0"/>
              <w:rPr>
                <w:sz w:val="20"/>
                <w:szCs w:val="20"/>
                <w:color w:val="auto"/>
              </w:rPr>
            </w:pPr>
            <w:r>
              <w:rPr>
                <w:rFonts w:ascii="Arial" w:cs="Arial" w:eastAsia="Arial" w:hAnsi="Arial"/>
                <w:sz w:val="18"/>
                <w:szCs w:val="18"/>
                <w:color w:val="auto"/>
              </w:rPr>
              <w:t>159</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classifies receivables under these agreements within other current assets, while it presents deferred income within other current liabilities.</w:t>
      </w:r>
    </w:p>
    <w:p>
      <w:pPr>
        <w:spacing w:after="0" w:line="393" w:lineRule="exact"/>
        <w:rPr>
          <w:sz w:val="20"/>
          <w:szCs w:val="20"/>
          <w:color w:val="auto"/>
        </w:rPr>
      </w:pPr>
    </w:p>
    <w:p>
      <w:pPr>
        <w:ind w:left="540" w:hanging="424"/>
        <w:spacing w:after="0"/>
        <w:tabs>
          <w:tab w:leader="none" w:pos="5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other current liabilities are: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2160" w:type="dxa"/>
            <w:vAlign w:val="bottom"/>
            <w:gridSpan w:val="4"/>
          </w:tcPr>
          <w:p>
            <w:pPr>
              <w:jc w:val="right"/>
              <w:ind w:right="353"/>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Payroll tax</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Accrued vacation</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6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Deferred grant income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Accrued bonuses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w:t>
            </w:r>
          </w:p>
        </w:tc>
        <w:tc>
          <w:tcPr>
            <w:tcW w:w="4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Other current liabilities are non-interest-bearing and are due within one year. The carrying amounts of other current liabilities represent fair value due to their short-term nature.</w:t>
      </w:r>
    </w:p>
    <w:p>
      <w:pPr>
        <w:spacing w:after="0" w:line="315" w:lineRule="exact"/>
        <w:rPr>
          <w:sz w:val="20"/>
          <w:szCs w:val="20"/>
          <w:color w:val="auto"/>
        </w:rPr>
      </w:pPr>
    </w:p>
    <w:p>
      <w:pPr>
        <w:ind w:left="540" w:hanging="424"/>
        <w:spacing w:after="0"/>
        <w:tabs>
          <w:tab w:leader="none" w:pos="54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result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income and financial expenses consist of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3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260" w:type="dxa"/>
            <w:vAlign w:val="bottom"/>
            <w:gridSpan w:val="4"/>
          </w:tcPr>
          <w:p>
            <w:pPr>
              <w:jc w:val="right"/>
              <w:ind w:right="392"/>
              <w:spacing w:after="0" w:line="142" w:lineRule="exact"/>
              <w:rPr>
                <w:sz w:val="20"/>
                <w:szCs w:val="20"/>
                <w:color w:val="auto"/>
              </w:rPr>
            </w:pPr>
            <w:r>
              <w:rPr>
                <w:rFonts w:ascii="Arial" w:cs="Arial" w:eastAsia="Arial" w:hAnsi="Arial"/>
                <w:sz w:val="14"/>
                <w:szCs w:val="14"/>
                <w:b w:val="1"/>
                <w:bCs w:val="1"/>
                <w:color w:val="auto"/>
              </w:rPr>
              <w:t>(Euros in thousands)</w:t>
            </w:r>
          </w:p>
        </w:tc>
        <w:tc>
          <w:tcPr>
            <w:tcW w:w="10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short-term deposits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Foreign currency gains</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0" w:type="dxa"/>
            <w:vAlign w:val="bottom"/>
            <w:gridSpan w:val="2"/>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r>
      <w:tr>
        <w:trPr>
          <w:trHeight w:val="27"/>
        </w:trPr>
        <w:tc>
          <w:tcPr>
            <w:tcW w:w="6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790</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2,215</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Interest expenses on current liabilities</w:t>
            </w:r>
          </w:p>
        </w:tc>
        <w:tc>
          <w:tcPr>
            <w:tcW w:w="154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from leases</w:t>
            </w:r>
          </w:p>
        </w:tc>
        <w:tc>
          <w:tcPr>
            <w:tcW w:w="15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(170)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Foreign currency losses</w:t>
            </w:r>
          </w:p>
        </w:tc>
        <w:tc>
          <w:tcPr>
            <w:tcW w:w="1540" w:type="dxa"/>
            <w:vAlign w:val="bottom"/>
            <w:gridSpan w:val="3"/>
          </w:tcPr>
          <w:p>
            <w:pPr>
              <w:jc w:val="right"/>
              <w:ind w:right="740"/>
              <w:spacing w:after="0"/>
              <w:rPr>
                <w:sz w:val="20"/>
                <w:szCs w:val="20"/>
                <w:color w:val="auto"/>
              </w:rPr>
            </w:pPr>
            <w:r>
              <w:rPr>
                <w:rFonts w:ascii="Arial" w:cs="Arial" w:eastAsia="Arial" w:hAnsi="Arial"/>
                <w:sz w:val="18"/>
                <w:szCs w:val="18"/>
                <w:color w:val="auto"/>
              </w:rPr>
              <w:t>(94)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7"/>
        </w:trPr>
        <w:tc>
          <w:tcPr>
            <w:tcW w:w="6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expenses</w:t>
            </w:r>
          </w:p>
        </w:tc>
        <w:tc>
          <w:tcPr>
            <w:tcW w:w="15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(264)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(161)</w:t>
            </w: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w:t>
            </w:r>
          </w:p>
        </w:tc>
        <w:tc>
          <w:tcPr>
            <w:tcW w:w="10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16.</w:t>
        <w:tab/>
        <w:t>Share incentive program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and 2018, the Group had the following share-based payment plans.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appreciation rights (“the 2010 Plan”)</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Effective January 1, 2005, in addition to performance-related compensation, certain Immatics employees became eligible to participate in a Stock Appreciation Rights (SAR) Program as part of a long-term equity incentive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60"/>
          </w:cols>
          <w:pgMar w:left="320" w:top="459" w:right="51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scheme. The aim of this program was to give employees a long-term stake in the success of the Company. The SAR program was adopted by resolutions by the supervisory board in January 2005 and subsequently amended on February 6, 2007 and September 7, 2010.</w:t>
      </w:r>
    </w:p>
    <w:p>
      <w:pPr>
        <w:spacing w:after="0" w:line="146"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Under the 2010 Plan, the beneficiaries received SAR awards, which do not require any cash investment into the company. SARs granted under this program carry no dividend or voting rights. The award holders have the right to execute the vested SARs only in a defined exit event. An exit event is defined as the acquisition of more than 50.00% of the outstanding shares by a third party.</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SARs granted under the 2010 Plan vest based on the satisfaction of service requirements (time-based vesting). These awards generally have a five-year graded vesting period. Employees leaving the Group are able to retain any vested awards as of their termination date, unless they are terminated for cause. Per the terms of the SAR agreements, employees are not entitled to subscribe to shares in the Group. Therefore, SARs granted under the 2010 Plan may be settled in cash only.</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 awards issued under the 2010 Plan are cash settled, the Group applies liability accounting and revalues the outstanding awards at each reporting date. The Group applied a Black Scholes pricing model to estimate the fair value of the SARs as of December 31, 2019 and 2018 based on a company value of $350,000 thousand and $160,000 thousand, respectively.</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Amounts in USD</w:t>
            </w: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vMerge w:val="continue"/>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Underlying share price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67.87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27.21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73.00%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64.28%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Time period (years)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Dividend yield</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Combined probability of exit events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80.00%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Expected volatility was determined by calculating the historic volatility in share prices of peer companies within the biotechnology industry. The expected life in the model has been adjusted, based on management’s best estimate, for the effects of non-transferability and exercise restrictions. Furthermore, the fair value of SARs issued under the 2010 Plan were discounted based on the probability of the awards becoming exercisable due to either a change in control or an IPO as management expects to settle these awards also in case of an IPO. The Black Scholes model considered for an IPO event a time period of one year and for a trade sale event a time period of five years. Awards issued under the 2010 Plan do not expire.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out below are summaries of SARs issued during 2019 and 2018:</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6"/>
              </w:rPr>
              <w:t>2018</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104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w w:val="95"/>
              </w:rPr>
              <w:t>Weighted</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w w:val="95"/>
              </w:rPr>
              <w:t>Weighted</w:t>
            </w: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exercise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price in</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price in</w:t>
            </w:r>
          </w:p>
        </w:tc>
        <w:tc>
          <w:tcPr>
            <w:tcW w:w="42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USD</w:t>
            </w: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USD</w:t>
            </w:r>
          </w:p>
        </w:tc>
        <w:tc>
          <w:tcPr>
            <w:tcW w:w="4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SARs outstanding at January 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43,675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43,978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SARs granted</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SARs forfeited</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SARs outstanding at December 31,</w:t>
            </w: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1.12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43,455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SARs vested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SARs exercisable</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awards issued under the 2010 Plan in 2019 or 2018.</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December 31, 2019, and 2018 Immatics had other non-current liabilities of €2,084 thousand and €220 thousand, respectively, resulting from these awards.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2016 Equity Incentive Plan (“the 2016 Plan”)</w:t>
      </w:r>
    </w:p>
    <w:p>
      <w:pPr>
        <w:spacing w:after="0" w:line="121"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8"/>
          <w:szCs w:val="18"/>
          <w:color w:val="auto"/>
        </w:rPr>
        <w:t>On February 8, 2017, the Company established the “2016 Equity Incentive Plan” to provide employees and consultants of the Group the ability to share in the Company’s future success.</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Awards issued under the 2016 Plan are tandem awards, which consist of an option to acquire a stated the number of shares at a stated exercise price, or alternatively, the right to receive any appreciation in the value of the stated number of shares (“SAR portion”).</w:t>
      </w:r>
    </w:p>
    <w:p>
      <w:pPr>
        <w:spacing w:after="0" w:line="170"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Generally, the tandem awards issued under the 2016 Plan have a five-year vesting period. The first annual tranche vests on the first anniversary of the grant date. Following the first anniversary, the awards continue to vest on a monthly basis. Vesting is contingent on the recipient’s continued service to the Group. Employees leaving the Group are able to retain any awards vested as of their termination date, unless they are terminated for cause. Former employees forfeit their awards if they remain unexercised more than three months after an IPO or change in control. In the event of a change in control, the unvested portion of the Tandem Award shall immediately vest.</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Tandem Award (to the extent vested) may only be exercised after the contribution of all Immatics shares to a holding company for purposes of an indirect IPO, a change in control, or the expiration of a certain lock-up period following the completion of a direct IPO. A change in control is defined as the acquisition of more than 50% of the outstanding shares by a third party.</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Under the terms of the 2016 Plan, options must be settled in equity shares of the Group, while SAR portions may be settled in either equity shares or cash, at the Group’s discretion. While the Group does not have a policy or prior history of settling these awards, it intends to settle outstanding awards in equity shares. As a result, the Group is treating awards issued under the 2016 plan as equity-settled. Subsequent settlements of SARs in cash, to the extent they occur, would be recorded via an adjustment to equity. Each option or SAR issued under the plan may be settled for one common share of the Group in the event it is exercisable.</w:t>
      </w:r>
    </w:p>
    <w:p>
      <w:pPr>
        <w:spacing w:after="0" w:line="188"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The 2016 Plan may be converted into a regular employee stock option plan if Immatics changes its legal form to a German stock corporation (Aktiengesellschaft). All awards issued under the 2016 Plan have a ten-year contractual life.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out below are summaries of tandem awards issued during 2019 and 2018:</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6"/>
              </w:rPr>
              <w:t>2018</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00" w:type="dxa"/>
            <w:vAlign w:val="bottom"/>
          </w:tcPr>
          <w:p>
            <w:pPr>
              <w:spacing w:after="0"/>
              <w:rPr>
                <w:sz w:val="10"/>
                <w:szCs w:val="10"/>
                <w:color w:val="auto"/>
              </w:rPr>
            </w:pPr>
          </w:p>
        </w:tc>
        <w:tc>
          <w:tcPr>
            <w:tcW w:w="106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Weighted</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exercise</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price in</w:t>
            </w:r>
          </w:p>
        </w:tc>
        <w:tc>
          <w:tcPr>
            <w:tcW w:w="11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price in</w:t>
            </w:r>
          </w:p>
        </w:tc>
        <w:tc>
          <w:tcPr>
            <w:tcW w:w="42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USD</w:t>
            </w: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USD</w:t>
            </w:r>
          </w:p>
        </w:tc>
        <w:tc>
          <w:tcPr>
            <w:tcW w:w="4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Tandem Awards outstanding at January 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74,401</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31,880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Tandem awards granted in June to September</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18.30</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26,557</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43,964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Tandem awards granted in December</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23.82</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5,447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Tandem awards forfeited</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16.81</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Tandem awards outstanding at December 31,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17.45</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103,469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74,401</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Tandem awards vested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16.76</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16,238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14,350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Tandem awards exercisable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Weighted average remaining contract life (years)</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8.56</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 in USD till September</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10.27</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Weighted average fair value of options granted in USD for December</w:t>
            </w:r>
          </w:p>
        </w:tc>
        <w:tc>
          <w:tcPr>
            <w:tcW w:w="12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53.41</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20"/>
        <w:spacing w:after="0" w:line="277" w:lineRule="auto"/>
        <w:rPr>
          <w:sz w:val="20"/>
          <w:szCs w:val="20"/>
          <w:color w:val="auto"/>
        </w:rPr>
      </w:pPr>
      <w:r>
        <w:rPr>
          <w:rFonts w:ascii="Arial" w:cs="Arial" w:eastAsia="Arial" w:hAnsi="Arial"/>
          <w:sz w:val="18"/>
          <w:szCs w:val="18"/>
          <w:color w:val="auto"/>
        </w:rPr>
        <w:t>The Group used a Black Scholes pricing model to estimate the fair value of equity settled tandem awards issued during 2019 until September 2019 based on a company valuation of $160,000 thousand.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tandem awards issued in December 2019 is based on a company valuation of $350,000 thousand.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800" w:type="dxa"/>
            <w:vAlign w:val="bottom"/>
          </w:tcPr>
          <w:p>
            <w:pPr>
              <w:spacing w:after="0"/>
              <w:rPr>
                <w:sz w:val="20"/>
                <w:szCs w:val="20"/>
                <w:color w:val="auto"/>
              </w:rPr>
            </w:pPr>
            <w:r>
              <w:rPr>
                <w:rFonts w:ascii="Arial" w:cs="Arial" w:eastAsia="Arial" w:hAnsi="Arial"/>
                <w:sz w:val="14"/>
                <w:szCs w:val="14"/>
                <w:b w:val="1"/>
                <w:bCs w:val="1"/>
                <w:color w:val="auto"/>
              </w:rPr>
              <w:t>Amounts in USD</w:t>
            </w:r>
          </w:p>
        </w:tc>
        <w:tc>
          <w:tcPr>
            <w:tcW w:w="2080" w:type="dxa"/>
            <w:vAlign w:val="bottom"/>
            <w:gridSpan w:val="2"/>
          </w:tcPr>
          <w:p>
            <w:pPr>
              <w:ind w:left="540"/>
              <w:spacing w:after="0"/>
              <w:rPr>
                <w:sz w:val="20"/>
                <w:szCs w:val="20"/>
                <w:color w:val="auto"/>
              </w:rPr>
            </w:pPr>
            <w:r>
              <w:rPr>
                <w:rFonts w:ascii="Arial" w:cs="Arial" w:eastAsia="Arial" w:hAnsi="Arial"/>
                <w:sz w:val="14"/>
                <w:szCs w:val="14"/>
                <w:b w:val="1"/>
                <w:bCs w:val="1"/>
                <w:color w:val="auto"/>
              </w:rPr>
              <w:t>December 2019</w:t>
            </w:r>
          </w:p>
        </w:tc>
        <w:tc>
          <w:tcPr>
            <w:tcW w:w="278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2019 - September 2019</w:t>
            </w:r>
          </w:p>
        </w:tc>
        <w:tc>
          <w:tcPr>
            <w:tcW w:w="160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December 2018</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in USD</w:t>
            </w:r>
          </w:p>
        </w:tc>
        <w:tc>
          <w:tcPr>
            <w:tcW w:w="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23.82</w:t>
            </w:r>
          </w:p>
        </w:tc>
        <w:tc>
          <w:tcPr>
            <w:tcW w:w="1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18.30</w:t>
            </w: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Underlying share price in USD</w:t>
            </w:r>
          </w:p>
        </w:tc>
        <w:tc>
          <w:tcPr>
            <w:tcW w:w="860" w:type="dxa"/>
            <w:vAlign w:val="bottom"/>
          </w:tcPr>
          <w:p>
            <w:pPr>
              <w:ind w:left="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67.87</w:t>
            </w:r>
          </w:p>
        </w:tc>
        <w:tc>
          <w:tcPr>
            <w:tcW w:w="1160" w:type="dxa"/>
            <w:vAlign w:val="bottom"/>
          </w:tcPr>
          <w:p>
            <w:pPr>
              <w:ind w:left="46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16.94</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27.21</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73.00%</w:t>
            </w:r>
          </w:p>
        </w:tc>
        <w:tc>
          <w:tcPr>
            <w:tcW w:w="1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78.00%</w:t>
            </w: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Time period (years)</w:t>
            </w:r>
          </w:p>
        </w:tc>
        <w:tc>
          <w:tcPr>
            <w:tcW w:w="860" w:type="dxa"/>
            <w:vAlign w:val="bottom"/>
          </w:tcPr>
          <w:p>
            <w:pPr>
              <w:spacing w:after="0"/>
              <w:rPr>
                <w:sz w:val="18"/>
                <w:szCs w:val="18"/>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1.25</w:t>
            </w:r>
          </w:p>
        </w:tc>
        <w:tc>
          <w:tcPr>
            <w:tcW w:w="1160" w:type="dxa"/>
            <w:vAlign w:val="bottom"/>
          </w:tcPr>
          <w:p>
            <w:pPr>
              <w:spacing w:after="0"/>
              <w:rPr>
                <w:sz w:val="18"/>
                <w:szCs w:val="18"/>
                <w:color w:val="auto"/>
              </w:rPr>
            </w:pP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2.10</w:t>
            </w:r>
          </w:p>
        </w:tc>
        <w:tc>
          <w:tcPr>
            <w:tcW w:w="76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1.59%</w:t>
            </w:r>
          </w:p>
        </w:tc>
        <w:tc>
          <w:tcPr>
            <w:tcW w:w="1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2.04%</w:t>
            </w: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Dividend yield</w:t>
            </w:r>
          </w:p>
        </w:tc>
        <w:tc>
          <w:tcPr>
            <w:tcW w:w="8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0.00%</w:t>
            </w:r>
          </w:p>
        </w:tc>
        <w:tc>
          <w:tcPr>
            <w:tcW w:w="116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Arial" w:cs="Arial" w:eastAsia="Arial" w:hAnsi="Arial"/>
                <w:sz w:val="18"/>
                <w:szCs w:val="18"/>
                <w:color w:val="auto"/>
              </w:rPr>
              <w:t>0.00%</w:t>
            </w:r>
          </w:p>
        </w:tc>
        <w:tc>
          <w:tcPr>
            <w:tcW w:w="7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02"/>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Combined probability of exit</w:t>
            </w: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events</w:t>
            </w:r>
          </w:p>
        </w:tc>
        <w:tc>
          <w:tcPr>
            <w:tcW w:w="8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80.00%</w:t>
            </w:r>
          </w:p>
        </w:tc>
        <w:tc>
          <w:tcPr>
            <w:tcW w:w="1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60.00%</w:t>
            </w:r>
          </w:p>
        </w:tc>
        <w:tc>
          <w:tcPr>
            <w:tcW w:w="7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20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Expected volatility was determined by calculating the historic volatility in share prices of peer companies within the biotechnology industry. The expected life in the model has been adjusted, based on management’s best estimate, for the effects of non-transferability and exercise restrictions. Furthermore, the fair value of awards issued under the 2016 Plan were discounted based on the probability of the awards becoming exercisable due to either a change in control or an IPO.</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2019, the Group recognized total share-based compensation as set out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320" w:type="dxa"/>
            <w:vAlign w:val="bottom"/>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3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80" w:type="dxa"/>
            <w:vAlign w:val="bottom"/>
            <w:gridSpan w:val="3"/>
          </w:tcPr>
          <w:p>
            <w:pPr>
              <w:jc w:val="right"/>
              <w:ind w:right="415"/>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2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1,556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72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460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7"/>
        </w:trPr>
        <w:tc>
          <w:tcPr>
            <w:tcW w:w="3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share-based compensation</w:t>
            </w:r>
          </w:p>
        </w:tc>
        <w:tc>
          <w:tcPr>
            <w:tcW w:w="27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2,016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338</w:t>
            </w:r>
          </w:p>
        </w:tc>
      </w:tr>
      <w:tr>
        <w:trPr>
          <w:trHeight w:val="20"/>
        </w:trPr>
        <w:tc>
          <w:tcPr>
            <w:tcW w:w="3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4260" w:type="dxa"/>
            <w:vAlign w:val="bottom"/>
            <w:gridSpan w:val="3"/>
          </w:tcPr>
          <w:p>
            <w:pPr>
              <w:jc w:val="right"/>
              <w:ind w:right="3220"/>
              <w:spacing w:after="0"/>
              <w:rPr>
                <w:sz w:val="20"/>
                <w:szCs w:val="20"/>
                <w:color w:val="auto"/>
              </w:rPr>
            </w:pPr>
            <w:r>
              <w:rPr>
                <w:rFonts w:ascii="Arial" w:cs="Arial" w:eastAsia="Arial" w:hAnsi="Arial"/>
                <w:sz w:val="18"/>
                <w:szCs w:val="18"/>
                <w:color w:val="auto"/>
              </w:rPr>
              <w:t>F-64</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00"/>
          </w:cols>
          <w:pgMar w:left="320" w:top="459" w:right="67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deficit</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total number of ordinary shares issued and outstanding is 1,163,625 as of December 31, 2019 (December 31, 2018: 1,163,625 shares) with a par value of €1.00. All ordinary shares are fully paid and outstanding. Each ordinary share is entitled to one vote. In 2019, there was no capital increase and, hence, no change in share capital or share premium. In 2018, €23,648 thousand were paid into share premium by the shareholders based on the Series E financing round, which closed in 2017. The related Series E share capital was previously paid in full in 2017.</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reserves is related to accumulated foreign currency translation amounts associated with the Group’s US operations.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preferences for ordinary shares</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In case of an exit event, such as a sale or dissolution of the Group, the sales proceeds, after deducting for selling costs, and remaining assets of the Group, shall be used for satisfying the liquidation preferences from the shareholders.</w:t>
      </w:r>
    </w:p>
    <w:p>
      <w:pPr>
        <w:spacing w:after="0" w:line="319" w:lineRule="exact"/>
        <w:rPr>
          <w:sz w:val="20"/>
          <w:szCs w:val="20"/>
          <w:color w:val="auto"/>
        </w:rPr>
      </w:pPr>
    </w:p>
    <w:p>
      <w:pPr>
        <w:ind w:left="1080" w:hanging="532"/>
        <w:spacing w:after="0"/>
        <w:tabs>
          <w:tab w:leader="none" w:pos="1080" w:val="left"/>
        </w:tabs>
        <w:numPr>
          <w:ilvl w:val="0"/>
          <w:numId w:val="181"/>
        </w:numPr>
        <w:rPr>
          <w:rFonts w:ascii="Arial" w:cs="Arial" w:eastAsia="Arial" w:hAnsi="Arial"/>
          <w:sz w:val="18"/>
          <w:szCs w:val="18"/>
          <w:i w:val="1"/>
          <w:iCs w:val="1"/>
          <w:color w:val="auto"/>
        </w:rPr>
      </w:pPr>
      <w:r>
        <w:rPr>
          <w:rFonts w:ascii="Arial" w:cs="Arial" w:eastAsia="Arial" w:hAnsi="Arial"/>
          <w:sz w:val="18"/>
          <w:szCs w:val="18"/>
          <w:i w:val="1"/>
          <w:iCs w:val="1"/>
          <w:color w:val="auto"/>
        </w:rPr>
        <w:t>E-Round</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Shareholders shall receive with the same rank an amount equal to 1.5x of their invested capital in the Series E Financing which was in 2017. The Investors which participated in the Series E Financing, have two options for full-/partial liquidation preferences. The first option is 1.0x of the Series E purchase price plus 5.00% p.a. IRR (Internal Rate of Return) and an additional participation in the pro rata payout. The second option is 1.5x of the Series E purchase price without a participation in the pro rata payout. In the Series E-Financing round 548,539 shares were issued, which were all outstanding as of December 31, 2019 and 2018.</w:t>
      </w:r>
    </w:p>
    <w:p>
      <w:pPr>
        <w:spacing w:after="0" w:line="336" w:lineRule="exact"/>
        <w:rPr>
          <w:sz w:val="20"/>
          <w:szCs w:val="20"/>
          <w:color w:val="auto"/>
        </w:rPr>
      </w:pPr>
    </w:p>
    <w:p>
      <w:pPr>
        <w:ind w:left="1080" w:hanging="532"/>
        <w:spacing w:after="0"/>
        <w:tabs>
          <w:tab w:leader="none" w:pos="1080" w:val="left"/>
        </w:tabs>
        <w:numPr>
          <w:ilvl w:val="0"/>
          <w:numId w:val="182"/>
        </w:numPr>
        <w:rPr>
          <w:rFonts w:ascii="Arial" w:cs="Arial" w:eastAsia="Arial" w:hAnsi="Arial"/>
          <w:sz w:val="18"/>
          <w:szCs w:val="18"/>
          <w:i w:val="1"/>
          <w:iCs w:val="1"/>
          <w:color w:val="auto"/>
        </w:rPr>
      </w:pPr>
      <w:r>
        <w:rPr>
          <w:rFonts w:ascii="Arial" w:cs="Arial" w:eastAsia="Arial" w:hAnsi="Arial"/>
          <w:sz w:val="18"/>
          <w:szCs w:val="18"/>
          <w:i w:val="1"/>
          <w:iCs w:val="1"/>
          <w:color w:val="auto"/>
        </w:rPr>
        <w:t>D-Round</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As far as there are remaining proceeds after deduction of the claims pursuant to the Series E-Financing round, the shareholders shall receive with the same rank their invested capital in the Series D Financing (2013/2014) plus an annual interest of 5.00% for the time beginning with the receipt of the respective payment by Immatics until the date of the distribution of the remaining assets. If the remaining assets are not sufficient for the complete payment of the claims of the shareholder, then they shall be entitled with the same rank to a corresponding proportional amount pro rata to all claims of the investors inter se. In D-Round 123,018 shares were issued, which were all outstanding as of December 31, 2019 and 2018.</w:t>
      </w:r>
    </w:p>
    <w:p>
      <w:pPr>
        <w:spacing w:after="0" w:line="310" w:lineRule="exact"/>
        <w:rPr>
          <w:sz w:val="20"/>
          <w:szCs w:val="20"/>
          <w:color w:val="auto"/>
        </w:rPr>
      </w:pPr>
    </w:p>
    <w:p>
      <w:pPr>
        <w:ind w:left="1080" w:hanging="532"/>
        <w:spacing w:after="0"/>
        <w:tabs>
          <w:tab w:leader="none" w:pos="1080" w:val="left"/>
        </w:tabs>
        <w:numPr>
          <w:ilvl w:val="0"/>
          <w:numId w:val="183"/>
        </w:numPr>
        <w:rPr>
          <w:rFonts w:ascii="Arial" w:cs="Arial" w:eastAsia="Arial" w:hAnsi="Arial"/>
          <w:sz w:val="18"/>
          <w:szCs w:val="18"/>
          <w:i w:val="1"/>
          <w:iCs w:val="1"/>
          <w:color w:val="auto"/>
        </w:rPr>
      </w:pPr>
      <w:r>
        <w:rPr>
          <w:rFonts w:ascii="Arial" w:cs="Arial" w:eastAsia="Arial" w:hAnsi="Arial"/>
          <w:sz w:val="18"/>
          <w:szCs w:val="18"/>
          <w:i w:val="1"/>
          <w:iCs w:val="1"/>
          <w:color w:val="auto"/>
        </w:rPr>
        <w:t>C-Round</w:t>
      </w:r>
    </w:p>
    <w:p>
      <w:pPr>
        <w:spacing w:after="0" w:line="11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C-Round Investors, which contributed in 2010, shall be satisfied with the remaining proceeds after satisfying the shareholders from the D-Round. The conditions are the identical to D-Round. In C-Round 196,568 shares were issued, which were all outstanding as of December 31, 2019 and 2018.</w:t>
      </w:r>
    </w:p>
    <w:p>
      <w:pPr>
        <w:spacing w:after="0" w:line="272" w:lineRule="exact"/>
        <w:rPr>
          <w:sz w:val="20"/>
          <w:szCs w:val="20"/>
          <w:color w:val="auto"/>
        </w:rPr>
      </w:pPr>
    </w:p>
    <w:p>
      <w:pPr>
        <w:ind w:left="1080" w:hanging="532"/>
        <w:spacing w:after="0"/>
        <w:tabs>
          <w:tab w:leader="none" w:pos="1080" w:val="left"/>
        </w:tabs>
        <w:numPr>
          <w:ilvl w:val="0"/>
          <w:numId w:val="184"/>
        </w:numPr>
        <w:rPr>
          <w:rFonts w:ascii="Arial" w:cs="Arial" w:eastAsia="Arial" w:hAnsi="Arial"/>
          <w:sz w:val="18"/>
          <w:szCs w:val="18"/>
          <w:i w:val="1"/>
          <w:iCs w:val="1"/>
          <w:color w:val="auto"/>
        </w:rPr>
      </w:pPr>
      <w:r>
        <w:rPr>
          <w:rFonts w:ascii="Arial" w:cs="Arial" w:eastAsia="Arial" w:hAnsi="Arial"/>
          <w:sz w:val="18"/>
          <w:szCs w:val="18"/>
          <w:i w:val="1"/>
          <w:iCs w:val="1"/>
          <w:color w:val="auto"/>
        </w:rPr>
        <w:t>B-Round</w:t>
      </w:r>
    </w:p>
    <w:p>
      <w:pPr>
        <w:spacing w:after="0" w:line="117"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As far as there are still remaining proceeds after deduction of the claims mentioned above, these shall be distributed as follows: all shareholders excluding Amgen Investments Ltd., GBG 1 Corporation, Paul Gerard Kimball, Jens Peter Stein, Kornelius Klobucar, KOR Holding S.à r.l., Peter Murray, Palmetto Partners 2017, LP, Kuwaiti Life Sciences Company (KSCC), OrbiMed Private Investments VI, LP, Leerink Holdings LLC, Leerink Swann Co-Investment Fund, LLC, MIG GmbH &amp; Co. Fonds 11 KG, AT Impf GmbH, MIG GmbH &amp; Co. Fonds 13 geschlossene Investment-KG, Wellington Partners Advisory AG, Wellington Partners Ventures IV Life Science Fund L.P., Paul Higham, Dr. Carsten Reinhardt, Mona Lisa Capital AG, PB Invest (Schweiz) AG,</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080"/>
          </w:cols>
          <w:pgMar w:left="320" w:top="459" w:right="49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Grazia Beteiligungen GmbH &amp; Co. KG and SB Vermögensverwaltung KG shall each receive with the same rank their invested capital invested outside the Series C Financing Round (2010) and the Series D Financing Round (2013/2014) and the Series E Financing Round plus an annual interest of 5.00% p.a. IRR (Internal Rate of Return). The number of total shares after B-Round amounts to 295,500, which represents an increase in shares of 175,150. All B-Round shares remained outstanding as of December 31, 2019 and 2018.</w:t>
      </w:r>
    </w:p>
    <w:p>
      <w:pPr>
        <w:spacing w:after="0" w:line="335" w:lineRule="exact"/>
        <w:rPr>
          <w:sz w:val="20"/>
          <w:szCs w:val="20"/>
          <w:color w:val="auto"/>
        </w:rPr>
      </w:pPr>
    </w:p>
    <w:p>
      <w:pPr>
        <w:ind w:left="1080" w:hanging="532"/>
        <w:spacing w:after="0"/>
        <w:tabs>
          <w:tab w:leader="none" w:pos="1080" w:val="left"/>
        </w:tabs>
        <w:numPr>
          <w:ilvl w:val="0"/>
          <w:numId w:val="185"/>
        </w:numPr>
        <w:rPr>
          <w:rFonts w:ascii="Arial" w:cs="Arial" w:eastAsia="Arial" w:hAnsi="Arial"/>
          <w:sz w:val="18"/>
          <w:szCs w:val="18"/>
          <w:i w:val="1"/>
          <w:iCs w:val="1"/>
          <w:color w:val="auto"/>
        </w:rPr>
      </w:pPr>
      <w:r>
        <w:rPr>
          <w:rFonts w:ascii="Arial" w:cs="Arial" w:eastAsia="Arial" w:hAnsi="Arial"/>
          <w:sz w:val="18"/>
          <w:szCs w:val="18"/>
          <w:i w:val="1"/>
          <w:iCs w:val="1"/>
          <w:color w:val="auto"/>
        </w:rPr>
        <w:t>Pro-Rata Participation</w:t>
      </w:r>
    </w:p>
    <w:p>
      <w:pPr>
        <w:spacing w:after="0" w:line="117"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color w:val="auto"/>
        </w:rPr>
        <w:t>If there are remaining proceeds after the deduction related to E-Round, D-Round, C-Round and B-Round, the amount shall be allocated to the shareholders proportion in the share capital irrespective of the amount of their invested capital, whereby the E-Shares shall be disregarded in this distribution.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Capital management</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Capital includes equity attributable to the equity holders of the parent. The aim of capital management is to ensure that the Group has sufficient financial flexibility to achieve its growth targets and to meet legal requirements. The Group manages its capital structure and makes adjustments to it in light of changes in economic conditions. To maintain or adjust the capital structure, the Group may issue new shares.</w:t>
      </w:r>
    </w:p>
    <w:p>
      <w:pPr>
        <w:spacing w:after="0" w:line="16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Group is not subject to any external minimum capital requirements. No changes were made in the objectives, policies or processes for managing capital for the years ended December 31, 2019 and 2018.</w:t>
      </w:r>
    </w:p>
    <w:p>
      <w:pPr>
        <w:spacing w:after="0" w:line="315" w:lineRule="exact"/>
        <w:rPr>
          <w:sz w:val="20"/>
          <w:szCs w:val="20"/>
          <w:color w:val="auto"/>
        </w:rPr>
      </w:pPr>
    </w:p>
    <w:p>
      <w:pPr>
        <w:ind w:left="540" w:hanging="424"/>
        <w:spacing w:after="0"/>
        <w:tabs>
          <w:tab w:leader="none" w:pos="5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Non-controlling interests represent The University of Texas M.D. Anderson Cancer Center, Houston/Texas/USA’s, (“MD Anderson”) minority interest in Immatics US, Inc. which have been acquired pursuant to the restricted stock acquisition agreement described below.</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Loss allocated to the non-controlling interest amounted to €916 thousand in 2019 and €911 thousand in 2018. During 2019 and 2018, income and expenses related to Immatics US, Inc. consisted of the following: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gridSpan w:val="3"/>
          </w:tcPr>
          <w:p>
            <w:pPr>
              <w:jc w:val="right"/>
              <w:ind w:right="311"/>
              <w:spacing w:after="0" w:line="142" w:lineRule="exact"/>
              <w:rPr>
                <w:sz w:val="20"/>
                <w:szCs w:val="20"/>
                <w:color w:val="auto"/>
              </w:rPr>
            </w:pPr>
            <w:r>
              <w:rPr>
                <w:rFonts w:ascii="Arial" w:cs="Arial" w:eastAsia="Arial" w:hAnsi="Arial"/>
                <w:sz w:val="14"/>
                <w:szCs w:val="14"/>
                <w:b w:val="1"/>
                <w:bCs w:val="1"/>
                <w:color w:val="auto"/>
              </w:rPr>
              <w:t>(Euros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560" w:type="dxa"/>
            <w:vAlign w:val="bottom"/>
            <w:gridSpan w:val="3"/>
          </w:tcPr>
          <w:p>
            <w:pPr>
              <w:jc w:val="right"/>
              <w:ind w:right="560"/>
              <w:spacing w:after="0"/>
              <w:rPr>
                <w:sz w:val="20"/>
                <w:szCs w:val="20"/>
                <w:color w:val="auto"/>
              </w:rPr>
            </w:pPr>
            <w:r>
              <w:rPr>
                <w:rFonts w:ascii="Arial" w:cs="Arial" w:eastAsia="Arial" w:hAnsi="Arial"/>
                <w:sz w:val="18"/>
                <w:szCs w:val="18"/>
                <w:color w:val="auto"/>
              </w:rPr>
              <w:t>(20,044)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(16,912)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(3,199)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income</w:t>
            </w:r>
          </w:p>
        </w:tc>
        <w:tc>
          <w:tcPr>
            <w:tcW w:w="22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307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2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(22,936)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(16,999)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Financial (expense)/income</w:t>
            </w:r>
          </w:p>
        </w:tc>
        <w:tc>
          <w:tcPr>
            <w:tcW w:w="222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(257)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2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(23,193)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(16,996)</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Taxes on income</w:t>
            </w:r>
          </w:p>
        </w:tc>
        <w:tc>
          <w:tcPr>
            <w:tcW w:w="2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(23,193)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(16,996)</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2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3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(916)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02"/>
        </w:trPr>
        <w:tc>
          <w:tcPr>
            <w:tcW w:w="3980" w:type="dxa"/>
            <w:vAlign w:val="bottom"/>
          </w:tcPr>
          <w:p>
            <w:pPr>
              <w:ind w:left="360"/>
              <w:spacing w:after="0" w:line="201" w:lineRule="exact"/>
              <w:rPr>
                <w:sz w:val="20"/>
                <w:szCs w:val="20"/>
                <w:color w:val="auto"/>
              </w:rPr>
            </w:pPr>
            <w:r>
              <w:rPr>
                <w:rFonts w:ascii="Arial" w:cs="Arial" w:eastAsia="Arial" w:hAnsi="Arial"/>
                <w:sz w:val="18"/>
                <w:szCs w:val="18"/>
                <w:color w:val="auto"/>
                <w:w w:val="92"/>
              </w:rPr>
              <w:t>Dividends paid to non-controlling interest holders</w:t>
            </w:r>
          </w:p>
        </w:tc>
        <w:tc>
          <w:tcPr>
            <w:tcW w:w="2220" w:type="dxa"/>
            <w:vAlign w:val="bottom"/>
          </w:tcPr>
          <w:p>
            <w:pPr>
              <w:spacing w:after="0"/>
              <w:rPr>
                <w:sz w:val="17"/>
                <w:szCs w:val="17"/>
                <w:color w:val="auto"/>
              </w:rPr>
            </w:pPr>
          </w:p>
        </w:tc>
        <w:tc>
          <w:tcPr>
            <w:tcW w:w="1340" w:type="dxa"/>
            <w:vAlign w:val="bottom"/>
            <w:gridSpan w:val="2"/>
          </w:tcPr>
          <w:p>
            <w:pPr>
              <w:jc w:val="right"/>
              <w:ind w:right="70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2940" w:type="dxa"/>
            <w:vAlign w:val="bottom"/>
            <w:gridSpan w:val="2"/>
          </w:tcPr>
          <w:p>
            <w:pPr>
              <w:jc w:val="right"/>
              <w:ind w:right="35"/>
              <w:spacing w:after="0"/>
              <w:rPr>
                <w:sz w:val="20"/>
                <w:szCs w:val="20"/>
                <w:color w:val="auto"/>
              </w:rPr>
            </w:pPr>
            <w:r>
              <w:rPr>
                <w:rFonts w:ascii="Arial" w:cs="Arial" w:eastAsia="Arial" w:hAnsi="Arial"/>
                <w:sz w:val="18"/>
                <w:szCs w:val="18"/>
                <w:color w:val="auto"/>
              </w:rPr>
              <w:t>3.96%</w:t>
            </w:r>
          </w:p>
        </w:tc>
        <w:tc>
          <w:tcPr>
            <w:tcW w:w="62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980" w:type="dxa"/>
            <w:vAlign w:val="bottom"/>
          </w:tcPr>
          <w:p>
            <w:pPr>
              <w:spacing w:after="0"/>
              <w:rPr>
                <w:sz w:val="24"/>
                <w:szCs w:val="24"/>
                <w:color w:val="auto"/>
              </w:rPr>
            </w:pPr>
          </w:p>
        </w:tc>
        <w:tc>
          <w:tcPr>
            <w:tcW w:w="3560" w:type="dxa"/>
            <w:vAlign w:val="bottom"/>
            <w:gridSpan w:val="3"/>
          </w:tcPr>
          <w:p>
            <w:pPr>
              <w:jc w:val="right"/>
              <w:ind w:right="3180"/>
              <w:spacing w:after="0"/>
              <w:rPr>
                <w:sz w:val="20"/>
                <w:szCs w:val="20"/>
                <w:color w:val="auto"/>
              </w:rPr>
            </w:pPr>
            <w:r>
              <w:rPr>
                <w:rFonts w:ascii="Arial" w:cs="Arial" w:eastAsia="Arial" w:hAnsi="Arial"/>
                <w:sz w:val="18"/>
                <w:szCs w:val="18"/>
                <w:color w:val="auto"/>
                <w:w w:val="97"/>
              </w:rPr>
              <w:t>F-66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Non-controlling interests on equity amounted to €1,020 thousand and €1,236 thousand as of December 31, 2019 and 2018, respectively. During 2019 and 2018, the statement of financial position for Immatics US, Inc. consisted of the following: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180" w:type="dxa"/>
            <w:vAlign w:val="bottom"/>
            <w:gridSpan w:val="5"/>
          </w:tcPr>
          <w:p>
            <w:pPr>
              <w:ind w:left="4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1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2140" w:type="dxa"/>
            <w:vAlign w:val="bottom"/>
            <w:gridSpan w:val="4"/>
          </w:tcPr>
          <w:p>
            <w:pPr>
              <w:jc w:val="right"/>
              <w:ind w:right="352"/>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2,956</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2,502</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Non-current assets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w:t>
            </w:r>
          </w:p>
        </w:tc>
        <w:tc>
          <w:tcPr>
            <w:tcW w:w="40" w:type="dxa"/>
            <w:vAlign w:val="bottom"/>
          </w:tcPr>
          <w:p>
            <w:pPr>
              <w:spacing w:after="0"/>
              <w:rPr>
                <w:sz w:val="19"/>
                <w:szCs w:val="19"/>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13,566</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12,717</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29,647</w:t>
            </w:r>
          </w:p>
        </w:tc>
        <w:tc>
          <w:tcPr>
            <w:tcW w:w="6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6,915</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Shareholders’ (deficit) equity</w:t>
            </w: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(16,483)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5,802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Equityholders of the parent</w:t>
            </w: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(17,503)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4,566</w:t>
            </w: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w:t>
            </w:r>
          </w:p>
        </w:tc>
      </w:tr>
      <w:tr>
        <w:trPr>
          <w:trHeight w:val="223"/>
        </w:trPr>
        <w:tc>
          <w:tcPr>
            <w:tcW w:w="61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(deficit) equity</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13,566</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12,717</w:t>
            </w:r>
          </w:p>
        </w:tc>
        <w:tc>
          <w:tcPr>
            <w:tcW w:w="4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operating cash outflow of Immatics US, Inc. amounted to €(18,990) thousand in 2019 (2018: €(6,882) thousand).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MD Anderson initial and subsequent milestones (“RSAA”)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Acquisition Agreement with The University of Texas M.D. Anderson Cancer Center</w:t>
      </w:r>
    </w:p>
    <w:p>
      <w:pPr>
        <w:spacing w:after="0" w:line="12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Immatics US Inc. and MD Anderson entered into a Restricted Stock Acquisition Agreement (“RSAA”) on August 14, 2015. Under this agreement, MD Anderson performs research services on behalf of Immatics US Inc. for an initial term of three years. In return, MD Anderson is entitled to receive restricted shares in Immatics US Inc, based on the achievement of specified milestones included in the RSAA. Performance of the milestones specified in the RSAA is monitored by a joint steering committee (“JSC”) consisting of representatives from both Immatics US Inc. and MD Anderson.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 the terms of the agreement, MD Anderson is entitled to receive, restricted shares in Immatics US Inc., as follows:</w:t>
      </w:r>
    </w:p>
    <w:p>
      <w:pPr>
        <w:spacing w:after="0" w:line="225"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Initial shares: Upon signing of the agreement, MD Anderson became entitled to an upfront share payment of $2,900 thousand in exchange for services over the first three years of the agreement. As a result, MD Anderson received 282,620 shares in Immatics US Inc. with a par value of $0.0001. The total expense recognized for the upfront payment in 2019 and 2018 was $0 (€0) and $604 thousand (€512 thousand), respectively.</w:t>
      </w:r>
    </w:p>
    <w:p>
      <w:pPr>
        <w:spacing w:after="0" w:line="14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A-1 milestones: Under the terms of the agreement, MD Anderson was entitled to a certain amount of restricted stock awards based on the completion of certain performance-based milestones (A-1 milestones) specified in the RSAA. The A-1 milestones had an initial aggregate fair value of $2,000 thousand as of the RSAA signing date, representing 201,610 shares with a par value of $0.0001.</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Upon signing of the agreement in August 2015, Immatics US Inc. issued one stock certificate for all shares covered by both the upfront payment and the A-1 milestones. Shares contingent on achievement of the A-1 milestones had a claw-back right, whereby the Group was entitled to receive the shares allocated to any non-achieved milestones as of the initial determination date. As of the initial determination date, the JSC determined that milestones in the amount of $66 thousand, representing 6,388 shares, had been satisfactorily completed. As a result, the Group exercised its claw-back right over all shares allocated to the uncompleted milestones, representing 195,222 shares. Following the claw-back, MD Anderson holds a 3.96% voting interest in Immatics US Inc.</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00"/>
          </w:cols>
          <w:pgMar w:left="320" w:top="459" w:right="47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A-2 work orders: Under the agreement, MD Anderson is entitled to additional restricted shares in Immatics US Inc, based on performance of certain work orders between August 14, 2018 and August 14, 2020. MD Anderson is entitled to receive a variable number of shares with a fair value of up to €3,700 thousand on August 14, 2020 (“subsequent determination date”), contingent on its performance of the A-2 work orders.</w:t>
      </w:r>
    </w:p>
    <w:p>
      <w:pPr>
        <w:spacing w:after="0" w:line="165"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JSC resolutions have been adopted for each of the A-2 work orders, which report value ascribed to each work order, to be paid to MD Anderson in a variable number of shares in August 2020. The Group recognizes expense for the A-2 work orders as they are performed. The Group monitors completion of these work orders as of each reporting period.</w:t>
      </w:r>
    </w:p>
    <w:p>
      <w:pPr>
        <w:spacing w:after="0" w:line="184"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of December 31, 2019 and 2018, the Group assessed MD Anderson’s performance in relation to the A-2 work orders, resulting in expense of €700 thousand and €848 thousand, respectively.</w:t>
      </w:r>
    </w:p>
    <w:p>
      <w:pPr>
        <w:spacing w:after="0" w:line="170"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In total, the Group recognized expenses in relation to MD Anderson’s performance under the RSAA of €700 thousand (2018: €1,360 thousand) related to the up-front payment, A-1 milestones, and A-2 work orders. Thereof, a corresponding increase in equity was recognized with an amount of €700 thousand and €1,360 thousand during 2019 and 2018, respectively, for the vested equity-shares under the A-2 milestone.</w:t>
      </w:r>
    </w:p>
    <w:p>
      <w:pPr>
        <w:spacing w:after="0" w:line="310" w:lineRule="exact"/>
        <w:rPr>
          <w:sz w:val="20"/>
          <w:szCs w:val="20"/>
          <w:color w:val="auto"/>
        </w:rPr>
      </w:pPr>
    </w:p>
    <w:p>
      <w:pPr>
        <w:ind w:left="540" w:hanging="424"/>
        <w:spacing w:after="0"/>
        <w:tabs>
          <w:tab w:leader="none" w:pos="54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Personnel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recognized the following personnel expenses: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12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2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2080" w:type="dxa"/>
            <w:vAlign w:val="bottom"/>
            <w:gridSpan w:val="3"/>
          </w:tcPr>
          <w:p>
            <w:pPr>
              <w:jc w:val="right"/>
              <w:ind w:right="312"/>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Wages and salaries</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11,635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10,485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3,596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2,233</w:t>
            </w: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Total wages and salaries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15,231</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12,718</w:t>
            </w:r>
          </w:p>
        </w:tc>
        <w:tc>
          <w:tcPr>
            <w:tcW w:w="40" w:type="dxa"/>
            <w:vAlign w:val="bottom"/>
          </w:tcPr>
          <w:p>
            <w:pPr>
              <w:spacing w:after="0"/>
              <w:rPr>
                <w:sz w:val="19"/>
                <w:szCs w:val="19"/>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employee benefits</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2,035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1,920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w:t>
            </w: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Total other employee benefits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2,763</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2,527</w:t>
            </w:r>
          </w:p>
        </w:tc>
        <w:tc>
          <w:tcPr>
            <w:tcW w:w="40" w:type="dxa"/>
            <w:vAlign w:val="bottom"/>
          </w:tcPr>
          <w:p>
            <w:pPr>
              <w:spacing w:after="0"/>
              <w:rPr>
                <w:sz w:val="19"/>
                <w:szCs w:val="19"/>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 expense</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1,556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30"/>
        </w:trPr>
        <w:tc>
          <w:tcPr>
            <w:tcW w:w="6240" w:type="dxa"/>
            <w:vAlign w:val="bottom"/>
          </w:tcPr>
          <w:p>
            <w:pPr>
              <w:spacing w:after="0"/>
              <w:rPr>
                <w:sz w:val="20"/>
                <w:szCs w:val="20"/>
                <w:color w:val="auto"/>
              </w:rPr>
            </w:pPr>
            <w:r>
              <w:rPr>
                <w:rFonts w:ascii="Arial" w:cs="Arial" w:eastAsia="Arial" w:hAnsi="Arial"/>
                <w:sz w:val="18"/>
                <w:szCs w:val="18"/>
                <w:b w:val="1"/>
                <w:bCs w:val="1"/>
                <w:color w:val="auto"/>
              </w:rPr>
              <w:t>Total share-based compensation expense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w:t>
            </w:r>
          </w:p>
        </w:tc>
        <w:tc>
          <w:tcPr>
            <w:tcW w:w="4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20,010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15,583</w:t>
            </w:r>
          </w:p>
        </w:tc>
      </w:tr>
      <w:tr>
        <w:trPr>
          <w:trHeight w:val="20"/>
        </w:trPr>
        <w:tc>
          <w:tcPr>
            <w:tcW w:w="6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Other employee benefit expenses include employee retirement fund contributions, health insurance, and statutory social expenses. Immatics US Inc. sponsors a defined contribution retirement plan for employees in the United States. During 2019, total Group contributions to the defined contribution plan amounted to €128 thousand (2018: €116 thousand).</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the year ended December 31, 2019, other employee benefits also include employee health insurance costs amounting to €307 thousand for Immatics US Inc., statutory social expenses amounting to €1,273 thousand for our German operations and other miscellaneous expenses amounting to €74 thousand (2018: €365 thousand, €1,020 thousand and €235 thousand, respectively).</w:t>
      </w:r>
    </w:p>
    <w:p>
      <w:pPr>
        <w:spacing w:after="0" w:line="328" w:lineRule="exact"/>
        <w:rPr>
          <w:sz w:val="20"/>
          <w:szCs w:val="20"/>
          <w:color w:val="auto"/>
        </w:rPr>
      </w:pPr>
    </w:p>
    <w:p>
      <w:pPr>
        <w:ind w:left="540" w:hanging="424"/>
        <w:spacing w:after="0"/>
        <w:tabs>
          <w:tab w:leader="none" w:pos="5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Taxes on income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generates losses in both Germany and the United States.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080"/>
          </w:cols>
          <w:pgMar w:left="320" w:top="459" w:right="49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2019, the Group’s German operations were subject to a statutory tax rate of 29.10% (2018: 29.10%).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United States, the Group incurred a corporate income tax rate of 21.00% in 2019 (2018: 21.00%).</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 reconciliation between taxes on income reflected on the consolidated statement of loss and the expected income tax benefit, based on the Group’s German statutory tax rate, for the years ended December 31, 2019 and 2018 is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gridSpan w:val="11"/>
          </w:tcPr>
          <w:p>
            <w:pPr>
              <w:jc w:val="center"/>
              <w:ind w:right="10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4"/>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(32,487)</w:t>
            </w:r>
          </w:p>
        </w:tc>
        <w:tc>
          <w:tcPr>
            <w:tcW w:w="3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(32,355)</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Expected tax benefit</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9,454</w:t>
            </w:r>
          </w:p>
        </w:tc>
        <w:tc>
          <w:tcPr>
            <w:tcW w:w="320" w:type="dxa"/>
            <w:vAlign w:val="bottom"/>
          </w:tcPr>
          <w:p>
            <w:pPr>
              <w:spacing w:after="0"/>
              <w:rPr>
                <w:sz w:val="18"/>
                <w:szCs w:val="18"/>
                <w:color w:val="auto"/>
              </w:rPr>
            </w:pPr>
          </w:p>
        </w:tc>
        <w:tc>
          <w:tcPr>
            <w:tcW w:w="1000" w:type="dxa"/>
            <w:vAlign w:val="bottom"/>
            <w:gridSpan w:val="5"/>
          </w:tcPr>
          <w:p>
            <w:pPr>
              <w:jc w:val="right"/>
              <w:ind w:right="19"/>
              <w:spacing w:after="0"/>
              <w:rPr>
                <w:sz w:val="20"/>
                <w:szCs w:val="20"/>
                <w:color w:val="auto"/>
              </w:rPr>
            </w:pPr>
            <w:r>
              <w:rPr>
                <w:rFonts w:ascii="Arial" w:cs="Arial" w:eastAsia="Arial" w:hAnsi="Arial"/>
                <w:sz w:val="18"/>
                <w:szCs w:val="18"/>
                <w:color w:val="auto"/>
              </w:rPr>
              <w:t>9,415</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tcPr>
          <w:p>
            <w:pPr>
              <w:ind w:left="360"/>
              <w:spacing w:after="0"/>
              <w:rPr>
                <w:sz w:val="20"/>
                <w:szCs w:val="20"/>
                <w:color w:val="auto"/>
              </w:rPr>
            </w:pPr>
            <w:r>
              <w:rPr>
                <w:rFonts w:ascii="Arial" w:cs="Arial" w:eastAsia="Arial" w:hAnsi="Arial"/>
                <w:sz w:val="18"/>
                <w:szCs w:val="18"/>
                <w:color w:val="auto"/>
              </w:rPr>
              <w:t>Difference in tax rates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(1,875)</w:t>
            </w:r>
          </w:p>
        </w:tc>
        <w:tc>
          <w:tcPr>
            <w:tcW w:w="3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(1,373)</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Non-deductible tax-expenses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Arial" w:cs="Arial" w:eastAsia="Arial" w:hAnsi="Arial"/>
                <w:sz w:val="18"/>
                <w:szCs w:val="18"/>
                <w:color w:val="auto"/>
                <w:w w:val="96"/>
              </w:rPr>
              <w:t>Government grants exempted from taxes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w w:val="93"/>
              </w:rPr>
              <w:t>853</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00" w:type="dxa"/>
            <w:vAlign w:val="bottom"/>
            <w:gridSpan w:val="10"/>
            <w:shd w:val="clear" w:color="auto" w:fill="CCEEFF"/>
          </w:tcPr>
          <w:p>
            <w:pPr>
              <w:ind w:left="360"/>
              <w:spacing w:after="0"/>
              <w:rPr>
                <w:sz w:val="20"/>
                <w:szCs w:val="20"/>
                <w:color w:val="auto"/>
              </w:rPr>
            </w:pPr>
            <w:r>
              <w:rPr>
                <w:rFonts w:ascii="Arial" w:cs="Arial" w:eastAsia="Arial" w:hAnsi="Arial"/>
                <w:sz w:val="18"/>
                <w:szCs w:val="18"/>
                <w:color w:val="auto"/>
                <w:w w:val="98"/>
              </w:rPr>
              <w:t>Non-recognition of deferred taxes on tax losses and temporary differences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(7,526)</w:t>
            </w:r>
          </w:p>
        </w:tc>
        <w:tc>
          <w:tcPr>
            <w:tcW w:w="3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b w:val="1"/>
                <w:bCs w:val="1"/>
                <w:color w:val="auto"/>
              </w:rPr>
              <w:t>Taxes on income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 consist of the following:</w:t>
            </w: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Intangible</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Right-of-use</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Deferred</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24"/>
                <w:szCs w:val="24"/>
                <w:color w:val="auto"/>
              </w:rPr>
            </w:pP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rPr>
              <w:t>Lease</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Deferred</w:t>
            </w:r>
          </w:p>
        </w:tc>
        <w:tc>
          <w:tcPr>
            <w:tcW w:w="3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5"/>
              </w:rPr>
              <w:t>Valuation</w:t>
            </w:r>
          </w:p>
        </w:tc>
        <w:tc>
          <w:tcPr>
            <w:tcW w:w="3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assets</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asset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revenue</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liabilities</w:t>
            </w:r>
          </w:p>
        </w:tc>
        <w:tc>
          <w:tcPr>
            <w:tcW w:w="260" w:type="dxa"/>
            <w:vAlign w:val="bottom"/>
          </w:tcPr>
          <w:p>
            <w:pPr>
              <w:spacing w:after="0"/>
              <w:rPr>
                <w:sz w:val="14"/>
                <w:szCs w:val="14"/>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liabilities</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0"/>
              </w:rPr>
              <w:t>expenses</w:t>
            </w:r>
          </w:p>
        </w:tc>
        <w:tc>
          <w:tcPr>
            <w:tcW w:w="30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8"/>
              </w:rPr>
              <w:t>adjustment</w:t>
            </w: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January 1, 2018, adjusted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2,183</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475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(2,658)</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3860" w:type="dxa"/>
            <w:vAlign w:val="bottom"/>
            <w:gridSpan w:val="2"/>
          </w:tcPr>
          <w:p>
            <w:pPr>
              <w:ind w:left="360"/>
              <w:spacing w:after="0"/>
              <w:rPr>
                <w:sz w:val="20"/>
                <w:szCs w:val="20"/>
                <w:color w:val="auto"/>
              </w:rPr>
            </w:pPr>
            <w:r>
              <w:rPr>
                <w:rFonts w:ascii="Arial" w:cs="Arial" w:eastAsia="Arial" w:hAnsi="Arial"/>
                <w:sz w:val="18"/>
                <w:szCs w:val="18"/>
                <w:color w:val="auto"/>
              </w:rPr>
              <w:t>Recognized to profit &amp; loss</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(27)</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320"/>
              <w:spacing w:after="0"/>
              <w:rPr>
                <w:sz w:val="20"/>
                <w:szCs w:val="20"/>
                <w:color w:val="auto"/>
              </w:rPr>
            </w:pPr>
            <w:r>
              <w:rPr>
                <w:rFonts w:ascii="Arial" w:cs="Arial" w:eastAsia="Arial" w:hAnsi="Arial"/>
                <w:sz w:val="18"/>
                <w:szCs w:val="18"/>
                <w:color w:val="auto"/>
              </w:rPr>
              <w:t>(5)</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64</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(2,663)</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As of January 1, 2019</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2,156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443</w:t>
            </w: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(2,663)</w:t>
            </w:r>
          </w:p>
        </w:tc>
        <w:tc>
          <w:tcPr>
            <w:tcW w:w="380" w:type="dxa"/>
            <w:vAlign w:val="bottom"/>
          </w:tcPr>
          <w:p>
            <w:pPr>
              <w:spacing w:after="0"/>
              <w:rPr>
                <w:sz w:val="19"/>
                <w:szCs w:val="19"/>
                <w:color w:val="auto"/>
              </w:rPr>
            </w:pPr>
          </w:p>
        </w:tc>
        <w:tc>
          <w:tcPr>
            <w:tcW w:w="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Recognized to profit &amp; loss</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854</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c>
          <w:tcPr>
            <w:tcW w:w="11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886</w:t>
            </w:r>
          </w:p>
        </w:tc>
        <w:tc>
          <w:tcPr>
            <w:tcW w:w="6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14</w:t>
            </w:r>
          </w:p>
        </w:tc>
        <w:tc>
          <w:tcPr>
            <w:tcW w:w="13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(2,120)</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2019</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86"/>
              </w:rPr>
              <w:t>854</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w:t>
            </w: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886</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7"/>
                <w:szCs w:val="17"/>
                <w:b w:val="1"/>
                <w:bCs w:val="1"/>
                <w:color w:val="auto"/>
                <w:w w:val="73"/>
              </w:rPr>
              <w:t>14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(4,783)</w:t>
            </w:r>
          </w:p>
        </w:tc>
        <w:tc>
          <w:tcPr>
            <w:tcW w:w="3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As of December 31, 2019, the Group has accumulated tax losses of €223,528 thousand (December 31, 2018: €204,100 thousand) that may be offset against future taxable profits of the Group. As of December 31, 2019 €25,839 thousand of total tax losses is subject to a twenty-year carryforward period (December 31, 2018: €25,839 thousand). All other tax losses have an indefinite carryforward period.</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Group has limited taxable temporary differences and no tax planning opportunities available that could partly support the recognition of these losses as deferred tax assets. On this basis, the Group has determined that it cannot recognize deferred tax assets on the tax losses carried forward as well as on temporary differences.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Limitation on tax loss carryforwards in the US Inc. is 80.00% starting with losses generated after January 1, 2018. These have an indefinite carryforward period, but no carryback option. Any losses generated prior to January 1, 2018 still can be utilized at 100.00% and are subject to a twenty-year carry forward expiration period.</w:t>
      </w:r>
    </w:p>
    <w:p>
      <w:pPr>
        <w:spacing w:after="0" w:line="18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Deferred tax assets have not been recognized in respect of these losses due to the uncertainty of the Group’s ability to generate taxable profits in the foreseeable future. The current assessment regarding the usability of deferred tax assets may change depending on the income situation of future years and may result in higher or lower valuation allowances.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40"/>
          </w:cols>
          <w:pgMar w:left="320" w:top="459" w:right="4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Group’s principal financial instruments comprise cash, cash equivalents and fixed-term deposits. The main purpose of these financial instruments is to invest the proceeds of capital contributions and upfront payments from collaboration agreements. The Group has various other financial instruments such as other receivables and trade accounts payable, which arise directly from its operations.</w:t>
      </w:r>
    </w:p>
    <w:p>
      <w:pPr>
        <w:spacing w:after="0" w:line="18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accordance with the internal guidelines, the Group does not trade in derivatives. The main risks arising from the Group’s financial instruments are interest rate risk, liquidity risk and currency exchange risk. The Board of Management reviews and agrees policies for managing these risks as summarized below. The Group also monitors the market price risk arising from all financial instruments.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exposure of the Group to changes in interest rates relates to investments in deposits and to changes in the interest for overnight deposits. Changes in the general level of interest rates may lead to an increase or decrease in the fair value of these investments.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Regarding the liabilities shown in the statement of financial position, the Group is currently not subject to interest rate risks.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Financial instruments that potentially subject the Group to concentrations of credit and liquidity risk consist primarily of cash and cash equivalents including short-term deposits and accounts receivable. The Group’s cash and cash equivalents are denominated in Euros and US Dollars and maintained with two high-quality financial institutions in Germany and one in the United States.</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Group continually monitors its positions with, and the credit quality of, the financial institutions and corporation, which are counterparts to its financial instruments and does not anticipate non-performance. The maximum default risk corresponds to the carrying amount of the financial assets shown in the statement of financial position. The Group monitors the risk of a liquidity shortage. The main factors considered here are the maturities of financial assets as well as expected cash flows from equity measures</w:t>
      </w:r>
      <w:r>
        <w:rPr>
          <w:rFonts w:ascii="Arial" w:cs="Arial" w:eastAsia="Arial" w:hAnsi="Arial"/>
          <w:sz w:val="18"/>
          <w:szCs w:val="18"/>
          <w:b w:val="1"/>
          <w:bCs w:val="1"/>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 risk</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Currency risk shows the risk that the value of a financial instrument will fluctuate due to changes in foreign exchange rates. In particular, it poses a threat if the value of the currency in which liabilities are priced appreciates relative to the currency of the assets. The business transactions of the Group are generally conducted in Euros and US Dollars. In the finance committee meetings, the Group analyses the currency risks. The Group aims to match U.S. dollar cash inflows with U.S. Dollar cash outflows where possible.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Group continuously monitors its risk to a shortage of funds. The Group’s objective is to maintain a balance between continuity of funding and flexibility through the use of capital increases. The Group concluded that its liquidity risk is moderate. The current investors have undertaken to provide continuing financial support so that the Group can pay its debts as and when they fall due. All financial liabilities are due within six months.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080"/>
          </w:cols>
          <w:pgMar w:left="320" w:top="459" w:right="49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Set out below are the carrying amounts and fair values of the Group’s financial instruments that are carried in the consolidated financial statements.</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(Euros in thousands)</w:t>
            </w:r>
          </w:p>
        </w:tc>
        <w:tc>
          <w:tcPr>
            <w:tcW w:w="42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IFRS 9</w:t>
            </w:r>
          </w:p>
        </w:tc>
        <w:tc>
          <w:tcPr>
            <w:tcW w:w="1860" w:type="dxa"/>
            <w:vAlign w:val="bottom"/>
            <w:gridSpan w:val="5"/>
          </w:tcPr>
          <w:p>
            <w:pPr>
              <w:ind w:left="260"/>
              <w:spacing w:after="0"/>
              <w:rPr>
                <w:sz w:val="20"/>
                <w:szCs w:val="20"/>
                <w:color w:val="auto"/>
              </w:rPr>
            </w:pPr>
            <w:r>
              <w:rPr>
                <w:rFonts w:ascii="Arial" w:cs="Arial" w:eastAsia="Arial" w:hAnsi="Arial"/>
                <w:sz w:val="14"/>
                <w:szCs w:val="14"/>
                <w:b w:val="1"/>
                <w:bCs w:val="1"/>
                <w:color w:val="auto"/>
              </w:rPr>
              <w:t>Carrying amount</w:t>
            </w:r>
          </w:p>
        </w:tc>
        <w:tc>
          <w:tcPr>
            <w:tcW w:w="1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CCEEFF"/>
            </w:tcBorders>
          </w:tcPr>
          <w:p>
            <w:pPr>
              <w:spacing w:after="0"/>
              <w:rPr>
                <w:sz w:val="14"/>
                <w:szCs w:val="14"/>
                <w:color w:val="auto"/>
              </w:rPr>
            </w:pPr>
          </w:p>
        </w:tc>
        <w:tc>
          <w:tcPr>
            <w:tcW w:w="428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12/31/2019</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12/31/2018</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12/31/2019</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12/31/2018</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Money market fund</w:t>
            </w:r>
          </w:p>
        </w:tc>
        <w:tc>
          <w:tcPr>
            <w:tcW w:w="4280" w:type="dxa"/>
            <w:vAlign w:val="bottom"/>
          </w:tcPr>
          <w:p>
            <w:pPr>
              <w:jc w:val="right"/>
              <w:ind w:right="133"/>
              <w:spacing w:after="0"/>
              <w:rPr>
                <w:sz w:val="20"/>
                <w:szCs w:val="20"/>
                <w:color w:val="auto"/>
              </w:rPr>
            </w:pPr>
            <w:r>
              <w:rPr>
                <w:rFonts w:ascii="Arial" w:cs="Arial" w:eastAsia="Arial" w:hAnsi="Arial"/>
                <w:sz w:val="18"/>
                <w:szCs w:val="18"/>
                <w:color w:val="auto"/>
              </w:rPr>
              <w:t>At fair value through profit or loss (FVTPL)</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103,353</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39,367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103,353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39,367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4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At fair value through profit or loss (FVTPL)</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16,023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13,101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16,023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13,101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Accounts receivable</w:t>
            </w:r>
          </w:p>
        </w:tc>
        <w:tc>
          <w:tcPr>
            <w:tcW w:w="4280" w:type="dxa"/>
            <w:vAlign w:val="bottom"/>
          </w:tcPr>
          <w:p>
            <w:pPr>
              <w:jc w:val="right"/>
              <w:ind w:right="133"/>
              <w:spacing w:after="0"/>
              <w:rPr>
                <w:sz w:val="20"/>
                <w:szCs w:val="20"/>
                <w:color w:val="auto"/>
              </w:rPr>
            </w:pPr>
            <w:r>
              <w:rPr>
                <w:rFonts w:ascii="Arial" w:cs="Arial" w:eastAsia="Arial" w:hAnsi="Arial"/>
                <w:sz w:val="18"/>
                <w:szCs w:val="18"/>
                <w:color w:val="auto"/>
              </w:rPr>
              <w:t>other financial assets at amortized cost</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957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393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957</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current/non-current assets</w:t>
            </w:r>
          </w:p>
        </w:tc>
        <w:tc>
          <w:tcPr>
            <w:tcW w:w="4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other financial assets at amortized cost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4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122,042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53,962</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122,042</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1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4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Accounts payable</w:t>
            </w:r>
          </w:p>
        </w:tc>
        <w:tc>
          <w:tcPr>
            <w:tcW w:w="4280" w:type="dxa"/>
            <w:vAlign w:val="bottom"/>
          </w:tcPr>
          <w:p>
            <w:pPr>
              <w:jc w:val="right"/>
              <w:ind w:right="133"/>
              <w:spacing w:after="0"/>
              <w:rPr>
                <w:sz w:val="20"/>
                <w:szCs w:val="20"/>
                <w:color w:val="auto"/>
              </w:rPr>
            </w:pPr>
            <w:r>
              <w:rPr>
                <w:rFonts w:ascii="Arial" w:cs="Arial" w:eastAsia="Arial" w:hAnsi="Arial"/>
                <w:sz w:val="18"/>
                <w:szCs w:val="18"/>
                <w:color w:val="auto"/>
              </w:rPr>
              <w:t>other financial liabilities at amortized cost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7,082</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4,201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7,082</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other financial liabilities at amortized cost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4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5,248</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8,370</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carrying value of financial instruments such as cash and cash equivalents, deposits, accounts receivable and accounts payable approximate their fair value based on the short-term maturities of these instruments. The fair values of the financial assets and liabilities are included at the amount at which the instrument could be exchanged in a current transaction between willing parties, other than in a forced or liquidation sale.</w:t>
      </w:r>
    </w:p>
    <w:p>
      <w:pPr>
        <w:spacing w:after="0" w:line="165"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following methods and assumptions were used to estimate the fair values: All financial assets are categorized in Level 1 and therefore are valued using quoted (unadjusted) market prices. Except for the Stock Appreciation Rights, which are categorized at Level 2, all other financial liabilities are also categorized at Level 1.</w:t>
      </w:r>
    </w:p>
    <w:p>
      <w:pPr>
        <w:spacing w:after="0" w:line="328" w:lineRule="exact"/>
        <w:rPr>
          <w:sz w:val="20"/>
          <w:szCs w:val="20"/>
          <w:color w:val="auto"/>
        </w:rPr>
      </w:pPr>
    </w:p>
    <w:p>
      <w:pPr>
        <w:ind w:left="540" w:hanging="424"/>
        <w:spacing w:after="0"/>
        <w:tabs>
          <w:tab w:leader="none" w:pos="5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contractual obligations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Payments due by period</w:t>
            </w: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2000" w:type="dxa"/>
            <w:vAlign w:val="bottom"/>
          </w:tcPr>
          <w:p>
            <w:pPr>
              <w:spacing w:after="0"/>
              <w:rPr>
                <w:sz w:val="10"/>
                <w:szCs w:val="10"/>
                <w:color w:val="auto"/>
              </w:rPr>
            </w:pPr>
          </w:p>
        </w:tc>
        <w:tc>
          <w:tcPr>
            <w:tcW w:w="104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Less than</w:t>
            </w: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7"/>
              </w:rPr>
              <w:t>1 - 3 years</w:t>
            </w: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7"/>
              </w:rPr>
              <w:t>3 - 5 years</w:t>
            </w:r>
          </w:p>
        </w:tc>
        <w:tc>
          <w:tcPr>
            <w:tcW w:w="1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1 year</w:t>
            </w: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5 years</w:t>
            </w: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0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3,352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lease obligations</w:t>
            </w:r>
          </w:p>
        </w:tc>
        <w:tc>
          <w:tcPr>
            <w:tcW w:w="3040" w:type="dxa"/>
            <w:vAlign w:val="bottom"/>
            <w:gridSpan w:val="3"/>
          </w:tcPr>
          <w:p>
            <w:pPr>
              <w:jc w:val="right"/>
              <w:ind w:right="460"/>
              <w:spacing w:after="0"/>
              <w:rPr>
                <w:sz w:val="20"/>
                <w:szCs w:val="20"/>
                <w:color w:val="auto"/>
              </w:rPr>
            </w:pPr>
            <w:r>
              <w:rPr>
                <w:rFonts w:ascii="Arial" w:cs="Arial" w:eastAsia="Arial" w:hAnsi="Arial"/>
                <w:sz w:val="18"/>
                <w:szCs w:val="18"/>
                <w:color w:val="auto"/>
              </w:rPr>
              <w:t>172</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324</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300</w:t>
            </w: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300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1,096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In-license agreements</w:t>
            </w:r>
          </w:p>
        </w:tc>
        <w:tc>
          <w:tcPr>
            <w:tcW w:w="3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455</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Contract research organization agreements</w:t>
            </w:r>
          </w:p>
        </w:tc>
        <w:tc>
          <w:tcPr>
            <w:tcW w:w="20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1,131</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1,466</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2,597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2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3,240</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3,813</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347</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300</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7,700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0" w:type="dxa"/>
            <w:vAlign w:val="bottom"/>
          </w:tcPr>
          <w:p>
            <w:pPr>
              <w:spacing w:after="0"/>
              <w:rPr>
                <w:sz w:val="24"/>
                <w:szCs w:val="24"/>
                <w:color w:val="auto"/>
              </w:rPr>
            </w:pPr>
          </w:p>
        </w:tc>
        <w:tc>
          <w:tcPr>
            <w:tcW w:w="3040" w:type="dxa"/>
            <w:vAlign w:val="bottom"/>
            <w:gridSpan w:val="3"/>
          </w:tcPr>
          <w:p>
            <w:pPr>
              <w:jc w:val="right"/>
              <w:ind w:right="1560"/>
              <w:spacing w:after="0"/>
              <w:rPr>
                <w:sz w:val="20"/>
                <w:szCs w:val="20"/>
                <w:color w:val="auto"/>
              </w:rPr>
            </w:pPr>
            <w:r>
              <w:rPr>
                <w:rFonts w:ascii="Arial" w:cs="Arial" w:eastAsia="Arial" w:hAnsi="Arial"/>
                <w:sz w:val="18"/>
                <w:szCs w:val="18"/>
                <w:color w:val="auto"/>
              </w:rPr>
              <w:t>F-71</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contractual obligations as of December 31, 2018:</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5"/>
              </w:rPr>
              <w:t>Payments due by period</w:t>
            </w: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10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Less than</w:t>
            </w: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7"/>
              </w:rPr>
              <w:t>1 - 3 years</w:t>
            </w: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3 - 5 years</w:t>
            </w:r>
          </w:p>
        </w:tc>
        <w:tc>
          <w:tcPr>
            <w:tcW w:w="660" w:type="dxa"/>
            <w:vAlign w:val="bottom"/>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440" w:type="dxa"/>
            <w:vAlign w:val="bottom"/>
          </w:tcPr>
          <w:p>
            <w:pPr>
              <w:spacing w:after="0"/>
              <w:rPr>
                <w:sz w:val="10"/>
                <w:szCs w:val="10"/>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00" w:type="dxa"/>
            <w:vAlign w:val="bottom"/>
            <w:vMerge w:val="continue"/>
          </w:tcPr>
          <w:p>
            <w:pPr>
              <w:spacing w:after="0"/>
              <w:rPr>
                <w:sz w:val="14"/>
                <w:szCs w:val="14"/>
                <w:color w:val="auto"/>
              </w:rPr>
            </w:pPr>
          </w:p>
        </w:tc>
        <w:tc>
          <w:tcPr>
            <w:tcW w:w="10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1 year</w:t>
            </w: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5 years</w:t>
            </w:r>
          </w:p>
        </w:tc>
        <w:tc>
          <w:tcPr>
            <w:tcW w:w="4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720</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4,783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In-license agreements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4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organization agreements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1,368</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141</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auto"/>
              </w:rPr>
              <w:t>Total contractual obligations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3,741</w:t>
            </w: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79"/>
              </w:rPr>
              <w:t>861</w:t>
            </w:r>
          </w:p>
        </w:tc>
        <w:tc>
          <w:tcPr>
            <w:tcW w:w="46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24.</w:t>
        <w:tab/>
        <w:t>Related party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did not enter into transactions with related entities in 2019 or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 management personnel have been defined as the members of the Management Board and of the Supervisory Board.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Compensation of key management personnel:</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20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2160" w:type="dxa"/>
            <w:vAlign w:val="bottom"/>
            <w:gridSpan w:val="3"/>
          </w:tcPr>
          <w:p>
            <w:pPr>
              <w:jc w:val="right"/>
              <w:ind w:right="354"/>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Fixed</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1,202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1,088</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6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9"/>
                <w:szCs w:val="19"/>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key management compensation</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2,420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1,640</w:t>
            </w:r>
          </w:p>
        </w:tc>
      </w:tr>
      <w:tr>
        <w:trPr>
          <w:trHeight w:val="20"/>
        </w:trPr>
        <w:tc>
          <w:tcPr>
            <w:tcW w:w="6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2019, the company held a receivable of €65 thousand related to key management personnel (December 31, 2018: €0).</w:t>
      </w:r>
    </w:p>
    <w:p>
      <w:pPr>
        <w:spacing w:after="0" w:line="23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Harald F. Stock and Peter Chambré were members of the Supervisory Board of Immatics in 2019 and in 2018. They received a fixed fee as Supervisory Board members and reimbursement for travel expenses.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compensation for the Supervisory Board amounted to €416 thousand in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(Euros in thousands)</w:t>
            </w:r>
          </w:p>
        </w:tc>
        <w:tc>
          <w:tcPr>
            <w:tcW w:w="7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Peter</w:t>
            </w:r>
          </w:p>
        </w:tc>
        <w:tc>
          <w:tcPr>
            <w:tcW w:w="5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Harald</w:t>
            </w:r>
          </w:p>
        </w:tc>
        <w:tc>
          <w:tcPr>
            <w:tcW w:w="9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60" w:type="dxa"/>
            <w:vAlign w:val="bottom"/>
            <w:gridSpan w:val="2"/>
            <w:vMerge w:val="continue"/>
          </w:tcPr>
          <w:p>
            <w:pPr>
              <w:spacing w:after="0"/>
              <w:rPr>
                <w:sz w:val="14"/>
                <w:szCs w:val="14"/>
                <w:color w:val="auto"/>
              </w:rPr>
            </w:pPr>
          </w:p>
        </w:tc>
        <w:tc>
          <w:tcPr>
            <w:tcW w:w="1340" w:type="dxa"/>
            <w:vAlign w:val="bottom"/>
            <w:gridSpan w:val="2"/>
          </w:tcPr>
          <w:p>
            <w:pPr>
              <w:jc w:val="center"/>
              <w:ind w:left="636"/>
              <w:spacing w:after="0"/>
              <w:rPr>
                <w:sz w:val="20"/>
                <w:szCs w:val="20"/>
                <w:color w:val="auto"/>
              </w:rPr>
            </w:pPr>
            <w:r>
              <w:rPr>
                <w:rFonts w:ascii="Arial" w:cs="Arial" w:eastAsia="Arial" w:hAnsi="Arial"/>
                <w:sz w:val="14"/>
                <w:szCs w:val="14"/>
                <w:b w:val="1"/>
                <w:bCs w:val="1"/>
                <w:color w:val="auto"/>
                <w:w w:val="95"/>
              </w:rPr>
              <w:t>Chambré</w:t>
            </w:r>
          </w:p>
        </w:tc>
        <w:tc>
          <w:tcPr>
            <w:tcW w:w="1080" w:type="dxa"/>
            <w:vAlign w:val="bottom"/>
            <w:gridSpan w:val="2"/>
          </w:tcPr>
          <w:p>
            <w:pPr>
              <w:jc w:val="center"/>
              <w:ind w:left="476"/>
              <w:spacing w:after="0"/>
              <w:rPr>
                <w:sz w:val="20"/>
                <w:szCs w:val="20"/>
                <w:color w:val="auto"/>
              </w:rPr>
            </w:pPr>
            <w:r>
              <w:rPr>
                <w:rFonts w:ascii="Arial" w:cs="Arial" w:eastAsia="Arial" w:hAnsi="Arial"/>
                <w:sz w:val="14"/>
                <w:szCs w:val="14"/>
                <w:b w:val="1"/>
                <w:bCs w:val="1"/>
                <w:color w:val="auto"/>
                <w:w w:val="88"/>
              </w:rPr>
              <w:t>F. Stock</w:t>
            </w: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Supervisory board fee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Travel expenses</w:t>
            </w:r>
          </w:p>
        </w:tc>
        <w:tc>
          <w:tcPr>
            <w:tcW w:w="7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board expenses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Total compensation for the Supervisory Board amounted to €478 thousand in 2018:</w:t>
            </w: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7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(Euros in thousands)</w:t>
            </w:r>
          </w:p>
        </w:tc>
        <w:tc>
          <w:tcPr>
            <w:tcW w:w="7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Peter</w:t>
            </w:r>
          </w:p>
        </w:tc>
        <w:tc>
          <w:tcPr>
            <w:tcW w:w="5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Harald</w:t>
            </w:r>
          </w:p>
        </w:tc>
        <w:tc>
          <w:tcPr>
            <w:tcW w:w="9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60" w:type="dxa"/>
            <w:vAlign w:val="bottom"/>
            <w:gridSpan w:val="2"/>
            <w:vMerge w:val="continue"/>
          </w:tcPr>
          <w:p>
            <w:pPr>
              <w:spacing w:after="0"/>
              <w:rPr>
                <w:sz w:val="14"/>
                <w:szCs w:val="14"/>
                <w:color w:val="auto"/>
              </w:rPr>
            </w:pPr>
          </w:p>
        </w:tc>
        <w:tc>
          <w:tcPr>
            <w:tcW w:w="1340" w:type="dxa"/>
            <w:vAlign w:val="bottom"/>
            <w:gridSpan w:val="2"/>
          </w:tcPr>
          <w:p>
            <w:pPr>
              <w:jc w:val="center"/>
              <w:ind w:left="636"/>
              <w:spacing w:after="0"/>
              <w:rPr>
                <w:sz w:val="20"/>
                <w:szCs w:val="20"/>
                <w:color w:val="auto"/>
              </w:rPr>
            </w:pPr>
            <w:r>
              <w:rPr>
                <w:rFonts w:ascii="Arial" w:cs="Arial" w:eastAsia="Arial" w:hAnsi="Arial"/>
                <w:sz w:val="14"/>
                <w:szCs w:val="14"/>
                <w:b w:val="1"/>
                <w:bCs w:val="1"/>
                <w:color w:val="auto"/>
                <w:w w:val="95"/>
              </w:rPr>
              <w:t>Chambré</w:t>
            </w:r>
          </w:p>
        </w:tc>
        <w:tc>
          <w:tcPr>
            <w:tcW w:w="1080" w:type="dxa"/>
            <w:vAlign w:val="bottom"/>
            <w:gridSpan w:val="2"/>
          </w:tcPr>
          <w:p>
            <w:pPr>
              <w:jc w:val="center"/>
              <w:ind w:left="476"/>
              <w:spacing w:after="0"/>
              <w:rPr>
                <w:sz w:val="20"/>
                <w:szCs w:val="20"/>
                <w:color w:val="auto"/>
              </w:rPr>
            </w:pPr>
            <w:r>
              <w:rPr>
                <w:rFonts w:ascii="Arial" w:cs="Arial" w:eastAsia="Arial" w:hAnsi="Arial"/>
                <w:sz w:val="14"/>
                <w:szCs w:val="14"/>
                <w:b w:val="1"/>
                <w:bCs w:val="1"/>
                <w:color w:val="auto"/>
                <w:w w:val="88"/>
              </w:rPr>
              <w:t>F. Stock</w:t>
            </w: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Supervisory board fee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Travel expenses</w:t>
            </w:r>
          </w:p>
        </w:tc>
        <w:tc>
          <w:tcPr>
            <w:tcW w:w="7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board expenses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80" w:type="dxa"/>
            <w:vAlign w:val="bottom"/>
            <w:vMerge w:val="restart"/>
          </w:tcPr>
          <w:p>
            <w:pPr>
              <w:ind w:left="4460"/>
              <w:spacing w:after="0"/>
              <w:rPr>
                <w:sz w:val="20"/>
                <w:szCs w:val="20"/>
                <w:color w:val="auto"/>
              </w:rPr>
            </w:pPr>
            <w:r>
              <w:rPr>
                <w:rFonts w:ascii="Arial" w:cs="Arial" w:eastAsia="Arial" w:hAnsi="Arial"/>
                <w:sz w:val="18"/>
                <w:szCs w:val="18"/>
                <w:color w:val="auto"/>
              </w:rPr>
              <w:t>F-72</w:t>
            </w: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Basic net loss per share is computed by dividing net loss attributable to the equityholders of parent by the weighted average number of common shares outstanding during the period, excluding common stock equivalents. The diluted net loss per share reflects the basic net loss per share, since the effects of potentially dilutive securities are antidilutive given the net loss for each period presented.</w:t>
      </w:r>
    </w:p>
    <w:p>
      <w:pPr>
        <w:spacing w:after="0" w:line="184"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Options granted to employees under the 2016 Plan are considered to be potential ordinary shares. They would have been included in the determination of diluted earnings per share if the awards would have been exercisable due to either a change in control or an IPO. The 103,469 options outstanding under the 2016 plan are not included in the calculation of diluted earnings per share because they are antidilutive. These options could potentially dilute basic earnings per share in the future. Details relating to the options are set out in note 16.</w:t>
      </w:r>
    </w:p>
    <w:p>
      <w:pPr>
        <w:spacing w:after="0" w:line="316" w:lineRule="exact"/>
        <w:rPr>
          <w:sz w:val="20"/>
          <w:szCs w:val="20"/>
          <w:color w:val="auto"/>
        </w:rPr>
      </w:pPr>
    </w:p>
    <w:p>
      <w:pPr>
        <w:ind w:left="540" w:hanging="424"/>
        <w:spacing w:after="0"/>
        <w:tabs>
          <w:tab w:leader="none" w:pos="5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period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evaluated subsequent events for recognition or disclosure through April 15, 2020.</w:t>
      </w:r>
    </w:p>
    <w:p>
      <w:pPr>
        <w:spacing w:after="0" w:line="225"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On March 17, 2020, Immatics entered into a definitive merger agreement with Arya Sciences Acquisition Corp. (“ARYA”), a special purpose acquisition company sponsored by Perceptive Advisors. Under the terms of the agreement, the transaction will be structured through Immatics B.V., a Dutch private limited liability company. The merger will be effectuated in three principal steps:</w:t>
      </w:r>
    </w:p>
    <w:p>
      <w:pPr>
        <w:spacing w:after="0" w:line="89" w:lineRule="exact"/>
        <w:rPr>
          <w:sz w:val="20"/>
          <w:szCs w:val="20"/>
          <w:color w:val="auto"/>
        </w:rPr>
      </w:pPr>
    </w:p>
    <w:p>
      <w:pPr>
        <w:ind w:left="1080" w:hanging="424"/>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shareholders of Immatics will exchange their interests in Immatics for ordinary shares in the share capital of Immatics B.V., which will be accounted for as a recapitalization.</w:t>
      </w:r>
    </w:p>
    <w:p>
      <w:pPr>
        <w:spacing w:after="0" w:line="75"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ARYA will merge into a subsidiary of Immatics B.V., with Arya shareholders receiving one ordinary share in Immatics B.V. for each issued and outstanding ordinary share of ARYA. The merger of ARYA constitutes an acquisition by Immatics B.V., which will be accounted for within the scope of IFRS 2 (“Share-based Payment”).</w:t>
      </w:r>
    </w:p>
    <w:p>
      <w:pPr>
        <w:spacing w:after="0" w:line="89"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connection with the agreement, Immatics B.V. expects to raise an additional $104 million in equity proceeds through a private placement of ordinary shares with existing shareholders of Immatics and ARYA.</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part of the agreement, awards issued under Immatics’ existing employee equity incentive plans will be converted into an equity incentive plan sponsored by Immatics B.V. This conversion includes an expected cash payout of up to €12 million for SAR and tandem awards currently outstanding and scheduled to vest prior to December 31, 2020, to occur immediately after the merger.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expected proceeds from the transaction, including marketable securities held in a trust account by ARYA and the private placement, are</w:t>
      </w:r>
    </w:p>
    <w:p>
      <w:pPr>
        <w:spacing w:after="0" w:line="35"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$252 million. The transaction is expected to close in the second quarter of 2020. Following the transaction, Immatics shareholders will own a controlling interest in Immatics B.V.</w:t>
      </w:r>
    </w:p>
    <w:p>
      <w:pPr>
        <w:spacing w:after="0" w:line="18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Upon consummation of the transaction, Immatics B.V. will become a publicly traded corporation. The transaction is subject to the approval of the shareholders of Immatics and ARYA.</w:t>
      </w:r>
    </w:p>
    <w:p>
      <w:pPr>
        <w:spacing w:after="0" w:line="170"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December 2019, a novel strain of coronavirus (COVID-19) emerged in Wuhan, China. While initially concentrated in China, the outbreak has spread to over 150 countries and every state in the United States. On January 30, 2020, the World Health Organization declared the outbreak a pandemic and a global emergency. In response, many countries and businesses have instituted travel restrictions, quarantines, and office closures. While the pandemic has not yet caused any significant disruptions to the Group’s operations, management continues to monitor the potential impact. Specifically, the extent of the pandemic and governmental responses may impact our ability to obtain raw materials and equipment used for research and development, obtain sufficient additional funds to finance our operations, and conduct clinical trials, any of which could materially and adversely affect our business.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20"/>
          </w:cols>
          <w:pgMar w:left="320" w:top="459" w:right="4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Financial Position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19"/>
        </w:trPr>
        <w:tc>
          <w:tcPr>
            <w:tcW w:w="842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76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110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Borders>
              <w:top w:val="single" w:sz="8" w:color="auto"/>
            </w:tcBorders>
            <w:gridSpan w:val="4"/>
          </w:tcPr>
          <w:p>
            <w:pPr>
              <w:jc w:val="right"/>
              <w:ind w:right="194"/>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72,202</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103,353</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37,203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19,690</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109,737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5,961</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Right-of-use assets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3,914</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1,151</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12,032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121,769</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134,277</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Provisions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715</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8,668</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65,280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59,465</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1,150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77,263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69,296</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89,369</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101,909</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2,396</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2,772</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94,537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105,816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1,164</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190,984</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190,945</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(241,500)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(233,194)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reserves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deficit attributable to shareholders of the parent</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(50,814)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(50,031)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121,769</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134,277</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9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2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(Euros 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7,040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(12,246)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(6,188)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(11,281)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(6,636)</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Financial income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2,730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(5,881)</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Taxes on income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(5,881)</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Equityholders of the parent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(8,306)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(274)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(5,881)</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(7.14)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1,163,625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1,163,625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Comprehensive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2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3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(5,881)</w:t>
            </w:r>
          </w:p>
        </w:tc>
        <w:tc>
          <w:tcPr>
            <w:tcW w:w="0" w:type="dxa"/>
            <w:vAlign w:val="bottom"/>
          </w:tcPr>
          <w:p>
            <w:pPr>
              <w:spacing w:after="0"/>
              <w:rPr>
                <w:sz w:val="1"/>
                <w:szCs w:val="1"/>
                <w:color w:val="auto"/>
              </w:rPr>
            </w:pPr>
          </w:p>
        </w:tc>
      </w:tr>
      <w:tr>
        <w:trPr>
          <w:trHeight w:val="216"/>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Other comprehensive loss</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Items that may be reclassified subsequently to profit or loss, net of tax</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3"/>
          </w:tcPr>
          <w:p>
            <w:pPr>
              <w:spacing w:after="0"/>
              <w:rPr>
                <w:sz w:val="20"/>
                <w:szCs w:val="20"/>
                <w:color w:val="auto"/>
              </w:rPr>
            </w:pPr>
            <w:r>
              <w:rPr>
                <w:rFonts w:ascii="Arial" w:cs="Arial" w:eastAsia="Arial" w:hAnsi="Arial"/>
                <w:sz w:val="18"/>
                <w:szCs w:val="18"/>
                <w:color w:val="auto"/>
              </w:rPr>
              <w:t>Currency translation differences from foreign operations</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(692)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(9,272)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(6,038)</w:t>
            </w:r>
          </w:p>
        </w:tc>
        <w:tc>
          <w:tcPr>
            <w:tcW w:w="0" w:type="dxa"/>
            <w:vAlign w:val="bottom"/>
          </w:tcPr>
          <w:p>
            <w:pPr>
              <w:spacing w:after="0"/>
              <w:rPr>
                <w:sz w:val="1"/>
                <w:szCs w:val="1"/>
                <w:color w:val="auto"/>
              </w:rPr>
            </w:pPr>
          </w:p>
        </w:tc>
      </w:tr>
      <w:tr>
        <w:trPr>
          <w:trHeight w:val="324"/>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Attributable to:</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Equityholders of the parent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(8,998)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16"/>
        </w:trPr>
        <w:tc>
          <w:tcPr>
            <w:tcW w:w="8540" w:type="dxa"/>
            <w:vAlign w:val="bottom"/>
            <w:gridSpan w:val="3"/>
          </w:tcPr>
          <w:p>
            <w:pPr>
              <w:ind w:left="360"/>
              <w:spacing w:after="0"/>
              <w:rPr>
                <w:sz w:val="20"/>
                <w:szCs w:val="20"/>
                <w:color w:val="auto"/>
              </w:rPr>
            </w:pPr>
            <w:r>
              <w:rPr>
                <w:rFonts w:ascii="Arial" w:cs="Arial" w:eastAsia="Arial" w:hAnsi="Arial"/>
                <w:sz w:val="18"/>
                <w:szCs w:val="18"/>
                <w:color w:val="auto"/>
              </w:rPr>
              <w:t>Non-controlling interest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(274)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(9,272)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(6,038)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Cash Flows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25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5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8520" w:type="dxa"/>
            <w:vAlign w:val="bottom"/>
          </w:tcPr>
          <w:p>
            <w:pPr>
              <w:spacing w:after="0"/>
              <w:rPr>
                <w:sz w:val="12"/>
                <w:szCs w:val="12"/>
                <w:color w:val="auto"/>
              </w:rPr>
            </w:pPr>
          </w:p>
        </w:tc>
        <w:tc>
          <w:tcPr>
            <w:tcW w:w="2380" w:type="dxa"/>
            <w:vAlign w:val="bottom"/>
            <w:gridSpan w:val="3"/>
          </w:tcPr>
          <w:p>
            <w:pPr>
              <w:jc w:val="right"/>
              <w:ind w:right="471"/>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(5,881)</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for:</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Interest income</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(319)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1,048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Interest expense</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Equity settled share-based payment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MD Anderson compensation expense</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37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non-current liabilities resulting from share appreciation rights</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receivable</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(Increase) decrease in other assets</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(17,209)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8,919</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payable and other current liabilities</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(4,775)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Interest received</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159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(28,286)</w:t>
            </w:r>
          </w:p>
        </w:tc>
        <w:tc>
          <w:tcPr>
            <w:tcW w:w="6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Payments for property, plant and equipment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(2,382)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intangible assets</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(2,387)</w:t>
            </w:r>
          </w:p>
        </w:tc>
        <w:tc>
          <w:tcPr>
            <w:tcW w:w="6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Payments for leases</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(611)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r>
      <w:tr>
        <w:trPr>
          <w:trHeight w:val="27"/>
        </w:trPr>
        <w:tc>
          <w:tcPr>
            <w:tcW w:w="8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by financing activities</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(611)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(446)</w:t>
            </w: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(31,284)</w:t>
            </w:r>
          </w:p>
        </w:tc>
        <w:tc>
          <w:tcPr>
            <w:tcW w:w="6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103,353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39,367</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6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7"/>
        </w:trPr>
        <w:tc>
          <w:tcPr>
            <w:tcW w:w="8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72,202</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38,331</w:t>
            </w:r>
          </w:p>
        </w:tc>
      </w:tr>
      <w:tr>
        <w:trPr>
          <w:trHeight w:val="20"/>
        </w:trPr>
        <w:tc>
          <w:tcPr>
            <w:tcW w:w="8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Changes in Shareholders’ Deficit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Total deficit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Non-</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share-</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7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w:t>
            </w: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gridSpan w:val="2"/>
            <w:vMerge w:val="restart"/>
          </w:tcPr>
          <w:p>
            <w:pPr>
              <w:jc w:val="right"/>
              <w:ind w:right="321"/>
              <w:spacing w:after="0"/>
              <w:rPr>
                <w:sz w:val="20"/>
                <w:szCs w:val="20"/>
                <w:color w:val="auto"/>
              </w:rPr>
            </w:pPr>
            <w:r>
              <w:rPr>
                <w:rFonts w:ascii="Arial" w:cs="Arial" w:eastAsia="Arial" w:hAnsi="Arial"/>
                <w:sz w:val="14"/>
                <w:szCs w:val="14"/>
                <w:b w:val="1"/>
                <w:bCs w:val="1"/>
                <w:color w:val="auto"/>
              </w:rPr>
              <w:t>Other</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to</w:t>
            </w:r>
          </w:p>
        </w:tc>
        <w:tc>
          <w:tcPr>
            <w:tcW w:w="10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72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shareholders</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holders’</w:t>
            </w: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premium</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8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83"/>
              </w:rPr>
              <w:t>reserves</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of the parent</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190,793</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(201,623)</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(10,407)</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(157)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(5,684)</w:t>
            </w:r>
          </w:p>
        </w:tc>
        <w:tc>
          <w:tcPr>
            <w:tcW w:w="8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Comprehensive loss for the year</w:t>
            </w: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(5,684)</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(5,841)</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(197)</w:t>
            </w:r>
          </w:p>
        </w:tc>
        <w:tc>
          <w:tcPr>
            <w:tcW w:w="3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Equity-settled tandem awards</w:t>
            </w: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MD Anderson compensation expense</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2019</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190,831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(207,307)</w:t>
            </w: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(898)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(16,210)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1,128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(15,082)</w:t>
            </w:r>
          </w:p>
        </w:tc>
        <w:tc>
          <w:tcPr>
            <w:tcW w:w="0" w:type="dxa"/>
            <w:vAlign w:val="bottom"/>
          </w:tcPr>
          <w:p>
            <w:pPr>
              <w:spacing w:after="0"/>
              <w:rPr>
                <w:sz w:val="1"/>
                <w:szCs w:val="1"/>
                <w:color w:val="auto"/>
              </w:rPr>
            </w:pPr>
          </w:p>
        </w:tc>
      </w:tr>
      <w:tr>
        <w:trPr>
          <w:trHeight w:val="324"/>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as of January 1, 2020</w:t>
            </w:r>
          </w:p>
        </w:tc>
        <w:tc>
          <w:tcPr>
            <w:tcW w:w="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1,164</w:t>
            </w:r>
          </w:p>
        </w:tc>
        <w:tc>
          <w:tcPr>
            <w:tcW w:w="24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190,945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(233,194)</w:t>
            </w:r>
          </w:p>
        </w:tc>
        <w:tc>
          <w:tcPr>
            <w:tcW w:w="84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(770)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(41,855)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1,020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(40,835)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(692)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(692)</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(8,306)</w:t>
            </w:r>
          </w:p>
        </w:tc>
        <w:tc>
          <w:tcPr>
            <w:tcW w:w="8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(8,306)</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(8,306)</w:t>
            </w: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(692)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(8,998)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(9,272)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Equity-settled tandem awards</w:t>
            </w:r>
          </w:p>
        </w:tc>
        <w:tc>
          <w:tcPr>
            <w:tcW w:w="72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MD Anderson compensation expense</w:t>
            </w: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190,984</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(241,500)</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(1,462</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(50,814)</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320" w:top="459" w:right="4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Group information</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Immatics Biotechnologies GmbH, together with its U.S. subsidiary, Immatics US Inc., (“Immatics” or “the Group”) is a biotechnology group that is primarily engaged in the research and development of T-cell redirecting immunotherapies for the treatment of cancer. Immatics Biotechnologies GmbH is located at Paul-Ehrlich Str. 15 in 72076 Tübingen, Germany and was founded in September 2000 as a German limited liability company. It is registered with the commercial register at Stuttgart local court under HRB no. 382151.</w:t>
      </w:r>
    </w:p>
    <w:p>
      <w:pPr>
        <w:spacing w:after="0" w:line="18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These interim condensed consolidated financial statements of the Group for the three months ended March 31, 2020 were authorized for issue by the Management Board on May 22, 2020.</w:t>
      </w:r>
    </w:p>
    <w:p>
      <w:pPr>
        <w:spacing w:after="0" w:line="315" w:lineRule="exact"/>
        <w:rPr>
          <w:sz w:val="20"/>
          <w:szCs w:val="20"/>
          <w:color w:val="auto"/>
        </w:rPr>
      </w:pPr>
    </w:p>
    <w:p>
      <w:pPr>
        <w:ind w:left="540" w:hanging="424"/>
        <w:spacing w:after="0"/>
        <w:tabs>
          <w:tab w:leader="none" w:pos="5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events and changes in the current reporting period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was affected by following events or transactions during the three months ended March 31,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ARYA Merger</w:t>
      </w:r>
    </w:p>
    <w:p>
      <w:pPr>
        <w:spacing w:after="0" w:line="117"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On March 17, 2020, Immatics entered into a definitive merger agreement with Arya Sciences Acquisition Corp. (“ARYA”), a special purpose acquisition company sponsored by Perceptive Advisors. Under the terms of the agreement, the transaction will be structured through Immatics B.V., a Dutch private limited liability company. The merger (“ARYA Merger”) will be effectuated in three principal steps:</w:t>
      </w:r>
    </w:p>
    <w:p>
      <w:pPr>
        <w:spacing w:after="0" w:line="71" w:lineRule="exact"/>
        <w:rPr>
          <w:sz w:val="20"/>
          <w:szCs w:val="20"/>
          <w:color w:val="auto"/>
        </w:rPr>
      </w:pPr>
    </w:p>
    <w:p>
      <w:pPr>
        <w:ind w:left="108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shareholders of Immatics will exchange their interests in Immatics for ordinary shares in the share capital of Immatics B.V., which will be accounted for as a recapitalization.</w:t>
      </w:r>
    </w:p>
    <w:p>
      <w:pPr>
        <w:spacing w:after="0" w:line="75"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ARYA will merge into a subsidiary of Immatics B.V., with Arya shareholders receiving one ordinary share in Immatics B.V. for each issued and outstanding ordinary share of ARYA. The merger of ARYA constitutes an acquisition by Immatics B.V., which will be accounted for within the scope of IFRS 2 (“Share-based Payment”).</w:t>
      </w:r>
    </w:p>
    <w:p>
      <w:pPr>
        <w:spacing w:after="0" w:line="89"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connection with the agreement, Immatics B.V. expects to raise an additional $104 million in equity proceeds through a private placement of ordinary shares with existing shareholders of Immatics and ARYA.</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part of the agreement, awards issued under Immatics’ existing employee equity incentive plans will be converted into an equity incentive plan sponsored by Immatics B.V. This conversion includes a maximum cash payout of up to €12 million for SAR and tandem awards currently outstanding and scheduled to vest prior to December 31, 2020, to occur immediately after the merger.</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Total expected proceeds from the transaction, including marketable securities held in a trust account by ARYA and the private placement, are up to $252 million (€230 million). The transaction is expected to close in the second quarter of 2020. Following the transaction, Immatics shareholders will own a controlling interest in Immatics B.V.</w:t>
      </w:r>
    </w:p>
    <w:p>
      <w:pPr>
        <w:spacing w:after="0" w:line="18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Upon consummation of the transaction, Immatics B.V. will become a publicly traded corporation. The transaction is subject to the approval of the shareholders of Immatics and ARYA.</w:t>
      </w:r>
    </w:p>
    <w:p>
      <w:pPr>
        <w:spacing w:after="0" w:line="170" w:lineRule="exact"/>
        <w:rPr>
          <w:sz w:val="20"/>
          <w:szCs w:val="20"/>
          <w:color w:val="auto"/>
        </w:rPr>
      </w:pPr>
    </w:p>
    <w:p>
      <w:pPr>
        <w:ind w:left="120" w:right="4420"/>
        <w:spacing w:after="0" w:line="342" w:lineRule="auto"/>
        <w:rPr>
          <w:sz w:val="20"/>
          <w:szCs w:val="20"/>
          <w:color w:val="auto"/>
        </w:rPr>
      </w:pPr>
      <w:r>
        <w:rPr>
          <w:rFonts w:ascii="Arial" w:cs="Arial" w:eastAsia="Arial" w:hAnsi="Arial"/>
          <w:sz w:val="16"/>
          <w:szCs w:val="16"/>
          <w:color w:val="auto"/>
        </w:rPr>
        <w:t>The closing of the Merger is subject to certain closing conditions. As of May 22, 2020, the date these interim consolidated financial statements were issued, the Merger has not closed.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December 2019, a novel strain of coronavirus (COVID-19) emerged in Wuhan, China. While initially concentrated in China, the outbreak has spread to several other countries. On January 30, 2020, the World Health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20"/>
          </w:cols>
          <w:pgMar w:left="320" w:top="459" w:right="4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Organization declared the outbreak a pandemic and a global emergency. In response, many countries and businesses have instituted travel restrictions, quarantines, and office closures. The extent of the pandemic and governmental responses may impact our ability to obtain raw materials and equipment used for research and development, obtain sufficient additional funds to finance our operations, and conduct clinical trials, any of which could materially and adversely affect our business.</w:t>
      </w:r>
    </w:p>
    <w:p>
      <w:pPr>
        <w:spacing w:after="0" w:line="18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As the pandemic is still evolving, management continues to monitor the situation and has put significant measures in place to protect the Group’s employees, supply chain and the execution of clinical trials. To date, the pandemic has resulted in a slowdown in activities related to the Group’s laboratory operations and at some of its suppliers. The ongoing spread of COVID-19 may also negatively impact the Group’s clinical trials, including potential delays and restrictions on the Group’s ability to recruit and retain patients, principal investigators and healthcare employees. COVID-19 could also affect the operations of contract research organizations (“CROs”), which may also result in delays or disruptions in the supply of product candidates.</w:t>
      </w:r>
    </w:p>
    <w:p>
      <w:pPr>
        <w:spacing w:after="0" w:line="19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Due to COVID-19, the Group has also experienced delays in research activities performed under its collaboration agreements. Consequently, the Group recognized less revenue under these agreements during the first quarter of 2020 than previously planned. Management believes the declines in revenue associated with the delay in research activities is largely temporary, as the revenue is primarily associated with non-refundable upfront payments recognized on a cost-to-cost basis. COVID-19 may continue to impact the timing and amount of revenue recognized under these agreements in the future.</w:t>
      </w:r>
    </w:p>
    <w:p>
      <w:pPr>
        <w:spacing w:after="0" w:line="332" w:lineRule="exact"/>
        <w:rPr>
          <w:sz w:val="20"/>
          <w:szCs w:val="20"/>
          <w:color w:val="auto"/>
        </w:rPr>
      </w:pPr>
    </w:p>
    <w:p>
      <w:pPr>
        <w:ind w:left="120" w:right="8240" w:hanging="4"/>
        <w:spacing w:after="0" w:line="378" w:lineRule="auto"/>
        <w:tabs>
          <w:tab w:leader="none" w:pos="552"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ind w:left="120"/>
        <w:spacing w:after="0" w:line="296" w:lineRule="auto"/>
        <w:rPr>
          <w:sz w:val="20"/>
          <w:szCs w:val="20"/>
          <w:color w:val="auto"/>
        </w:rPr>
      </w:pPr>
      <w:r>
        <w:rPr>
          <w:rFonts w:ascii="Arial" w:cs="Arial" w:eastAsia="Arial" w:hAnsi="Arial"/>
          <w:sz w:val="16"/>
          <w:szCs w:val="16"/>
          <w:color w:val="auto"/>
        </w:rPr>
        <w:t>The interim condensed consolidated financial statements of the Group as of March 31, 2020 and 2019 and for the three months ended March 31, 2020 and 2019 have been prepared in accordance with International Accounting Standard 34 Interim financial reporting, as issued by the International Accounting Standards Board (“IASB”). The interim condensed consolidated financial statements should be read in conjunction with the annual financial statements for the year ended December 31 2019, which have been prepared in accordance with International Financial Reporting Standards (“IFRS”) as issued by the IASB, taking into account the recommendations of the International Financial Reporting Standards Interpretations Committee (“IFRIC”).</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interim condensed consolidated financial statements are presented in Euro. Amounts are stated in thousands of Euros, unless otherwise indicated.</w:t>
      </w:r>
    </w:p>
    <w:p>
      <w:pPr>
        <w:spacing w:after="0" w:line="24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accounting policies adopted in the preparation of the interim condensed consolidated financial statements are consistent with those followed in the preparation of the Group’s annual consolidated financial statements for the year ended December 31, 2019. The new and amended standards and interpretations applied for the first time as of January 1, 2020, as disclosed in the notes to the consolidated financial statements for the year ended December 31, 2019, had no impact on the interim condensed consolidated financial statements of the Group for the three months ended as of March 31, 2020.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has a non-controlling interest, representing approximately 3.96% of the Group’s Immatics US, Inc. subsidiary as of March 31, 2020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3.96%).</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Capitalized equity financing costs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Immatics capitalizes certain legal, accounting and other third-party fees that are directly associated with in-process equity financings as other assets until such financings are consummated. After consummation of the equity financing, these costs are recorded in shareholders’ deficit as a reduction of share premium generated as a result of the financing. Should the equity financing no longer be considered probable of being consummated, the deferred costs would be expensed immediately as a charge to operating expenses.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20"/>
          </w:cols>
          <w:pgMar w:left="320" w:top="459" w:right="4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Group manages its operations as a single segment for the purposes of assessing performance and making operating decisions. The Group’s focus is on the research and development of T-cell redirecting immunotherapies for the treatment of cancer. The Chief Executive Officer is the chief operating decision maker who regularly reviews the consolidated operating results and makes decisions about the allocation of the Group’s resources.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624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 current assets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91"/>
              </w:rPr>
              <w:t>As of</w:t>
            </w: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1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March 31, 2020</w:t>
            </w:r>
          </w:p>
        </w:tc>
        <w:tc>
          <w:tcPr>
            <w:tcW w:w="7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4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1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998</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Prepaid expenses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1,236</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32,859</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16,023</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Value added tax receivable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821</w:t>
            </w: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768</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Capitalized transaction costs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assets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37,203</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19,690</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The Group recognizes receivables for government grants when it is reasonably assured that the grant will be received, and all contractual conditions have been complied with. As of March 31, 2020, and December 31, 2019, no receivables were considered impaired.</w:t>
      </w:r>
    </w:p>
    <w:p>
      <w:pPr>
        <w:spacing w:after="0" w:line="14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Prepaid expenses include €676 thousand fees paid for the successful arrangement of the BMS and Genmab collaboration agreements as of March 31, 2020 (December 31, 2019: €622 thousand).</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of March 31, 2020, the Group capitalized €511 thousand in costs associated with the ARYA Merger, which the Group plans to deduct from the total proceeds of merger as a reduction in Shareholder Premium. These costs are directly attributed to the ARYA Merger and primarily related to legal and accounting fees.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Short-term deposits have original maturity dates between three and nine months.</w:t>
      </w:r>
    </w:p>
    <w:p>
      <w:pPr>
        <w:spacing w:after="0" w:line="370" w:lineRule="exact"/>
        <w:rPr>
          <w:sz w:val="20"/>
          <w:szCs w:val="20"/>
          <w:color w:val="auto"/>
        </w:rPr>
      </w:pPr>
    </w:p>
    <w:p>
      <w:pPr>
        <w:ind w:left="540" w:hanging="424"/>
        <w:spacing w:after="0"/>
        <w:tabs>
          <w:tab w:leader="none" w:pos="54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collaboration agreements</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Group earns revenue through strategic collaboration agreements with third party pharmaceutical and biotechnology companies. As of March 31, 2020, the Group had four collaboration agreements in place. All collaboration agreements are still in the pre-clinical stage. During the three months ended March 31, 2020, the Group did not enter into any new collaboration agreements.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earned revenue from collaboration agreements from the following collaborators during the three months ended March 31, 2020 and 2019:</w:t>
      </w:r>
    </w:p>
    <w:p>
      <w:pPr>
        <w:spacing w:after="0" w:line="26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5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920" w:type="dxa"/>
            <w:vAlign w:val="bottom"/>
            <w:gridSpan w:val="3"/>
          </w:tcPr>
          <w:p>
            <w:pPr>
              <w:ind w:left="620"/>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Amgen</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2,150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88"/>
              </w:rPr>
              <w:t>1,171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Genmab</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18"/>
                <w:szCs w:val="18"/>
                <w:color w:val="auto"/>
              </w:rPr>
            </w:pPr>
          </w:p>
        </w:tc>
        <w:tc>
          <w:tcPr>
            <w:tcW w:w="660" w:type="dxa"/>
            <w:vAlign w:val="bottom"/>
            <w:gridSpan w:val="2"/>
          </w:tcPr>
          <w:p>
            <w:pPr>
              <w:jc w:val="center"/>
              <w:ind w:left="53"/>
              <w:spacing w:after="0"/>
              <w:rPr>
                <w:sz w:val="20"/>
                <w:szCs w:val="20"/>
                <w:color w:val="auto"/>
              </w:rPr>
            </w:pPr>
            <w:r>
              <w:rPr>
                <w:rFonts w:ascii="Arial" w:cs="Arial" w:eastAsia="Arial" w:hAnsi="Arial"/>
                <w:sz w:val="18"/>
                <w:szCs w:val="18"/>
                <w:color w:val="auto"/>
                <w:w w:val="88"/>
              </w:rPr>
              <w:t>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BMS</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2,422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GSK</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453</w:t>
            </w:r>
          </w:p>
        </w:tc>
        <w:tc>
          <w:tcPr>
            <w:tcW w:w="260" w:type="dxa"/>
            <w:vAlign w:val="bottom"/>
          </w:tcPr>
          <w:p>
            <w:pPr>
              <w:spacing w:after="0"/>
              <w:rPr>
                <w:sz w:val="18"/>
                <w:szCs w:val="18"/>
                <w:color w:val="auto"/>
              </w:rPr>
            </w:pPr>
          </w:p>
        </w:tc>
        <w:tc>
          <w:tcPr>
            <w:tcW w:w="660" w:type="dxa"/>
            <w:vAlign w:val="bottom"/>
            <w:gridSpan w:val="2"/>
          </w:tcPr>
          <w:p>
            <w:pPr>
              <w:jc w:val="center"/>
              <w:ind w:left="1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7,040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b w:val="1"/>
                <w:bCs w:val="1"/>
                <w:color w:val="auto"/>
                <w:w w:val="88"/>
              </w:rPr>
              <w:t>3,626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As of March 31, 2020, the Group has not recognized any royalty or milestone revenue under the collaboration agreements, due to the scientific uncertainty of achieving the milestones or the successful commercialization of a product. As of March 31, 2020, Immatics had not received any milestone or royalty payments in connection with the collaboration agreements.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020"/>
          </w:cols>
          <w:pgMar w:left="320" w:top="459" w:right="55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revenue related to the collaboration agreements consists of the following as of March 31, 2020 and December 31,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1"/>
              </w:rPr>
              <w:t>As of</w:t>
            </w:r>
          </w:p>
        </w:tc>
      </w:tr>
      <w:tr>
        <w:trPr>
          <w:trHeight w:val="142"/>
        </w:trPr>
        <w:tc>
          <w:tcPr>
            <w:tcW w:w="5300" w:type="dxa"/>
            <w:vAlign w:val="bottom"/>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March 31, 2020</w:t>
            </w:r>
          </w:p>
        </w:tc>
        <w:tc>
          <w:tcPr>
            <w:tcW w:w="7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4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30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65,280</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59,465</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Non-current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89,369</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101,909</w:t>
            </w:r>
          </w:p>
        </w:tc>
      </w:tr>
      <w:tr>
        <w:trPr>
          <w:trHeight w:val="27"/>
        </w:trPr>
        <w:tc>
          <w:tcPr>
            <w:tcW w:w="5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154,649</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161,374</w:t>
            </w:r>
          </w:p>
        </w:tc>
      </w:tr>
      <w:tr>
        <w:trPr>
          <w:trHeight w:val="20"/>
        </w:trPr>
        <w:tc>
          <w:tcPr>
            <w:tcW w:w="5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During the three months ended March 31, 2020 the Group generated losses in both Germany and the United States. During the three months ended March 31, 2020, the Group’s German operations were subject to a statutory tax rate of 29.1% (2019: 29.1%). In the United States, the Group incurred a corporate income tax rate of 21% during the three months ended March 31, 2020 (2019: 21%).</w:t>
      </w:r>
    </w:p>
    <w:p>
      <w:pPr>
        <w:spacing w:after="0" w:line="184"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As of March 31, 2020 and 2019, no deferred tax assets have been recognized in respect of these losses due to the uncertainty of the Group’s ability to generate taxable profits in the foreseeable future. The current assessment regarding the usability of deferred tax assets may change depending on the income situation of future years and may result in higher or lower valuation allowances.</w:t>
      </w:r>
    </w:p>
    <w:p>
      <w:pPr>
        <w:spacing w:after="0" w:line="184"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Additionally, due to the planned transaction described in Note 2, limitations on tax loss carryforwards for net operating losses incurred by the Group’s subsidiary Immatics US Inc. might occur after the closing of the transaction in accordance with Section 382 of the United States Tax Code.</w:t>
      </w:r>
    </w:p>
    <w:p>
      <w:pPr>
        <w:spacing w:after="0" w:line="268" w:lineRule="exact"/>
        <w:rPr>
          <w:sz w:val="20"/>
          <w:szCs w:val="20"/>
          <w:color w:val="auto"/>
        </w:rPr>
      </w:pPr>
    </w:p>
    <w:p>
      <w:pPr>
        <w:ind w:left="540" w:hanging="424"/>
        <w:spacing w:after="0"/>
        <w:tabs>
          <w:tab w:leader="none" w:pos="5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and Right-of-use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the three months ended March 31, 2020, the Group acquired property, plant and equipment in the amount of €1,682 thousand (March 31,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€219 thousand). The acquisitions during the three months ended March 31, 2020 were mainly related to laboratory equipment in the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€922 thousand and office equipment in the amount of €594 thousand (March 31, 2019: €108 thousand and €15 thousand, respectively).</w:t>
      </w:r>
    </w:p>
    <w:p>
      <w:pPr>
        <w:spacing w:after="0" w:line="21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During the three months ended March 31, 2020, new leases and extensions to existing lease agreements resulted in an increase in right-of-use assets in the amount of €1,197 thousand, mainly due to the commencement of a lease agreement of a new office building in Tübingen. The Group used its incremental borrowing rate (“IBR”) to calculate the initial lease liability.</w:t>
      </w:r>
    </w:p>
    <w:p>
      <w:pPr>
        <w:spacing w:after="0" w:line="328" w:lineRule="exact"/>
        <w:rPr>
          <w:sz w:val="20"/>
          <w:szCs w:val="20"/>
          <w:color w:val="auto"/>
        </w:rPr>
      </w:pPr>
    </w:p>
    <w:p>
      <w:pPr>
        <w:ind w:left="540" w:hanging="424"/>
        <w:spacing w:after="0"/>
        <w:tabs>
          <w:tab w:leader="none" w:pos="5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Provisions consisted of the following as of March 31, 2020 and December 31,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3"/>
          </w:tcPr>
          <w:p>
            <w:pPr>
              <w:ind w:left="520"/>
              <w:spacing w:after="0"/>
              <w:rPr>
                <w:sz w:val="20"/>
                <w:szCs w:val="20"/>
                <w:color w:val="auto"/>
              </w:rPr>
            </w:pPr>
            <w:r>
              <w:rPr>
                <w:rFonts w:ascii="Arial" w:cs="Arial" w:eastAsia="Arial" w:hAnsi="Arial"/>
                <w:sz w:val="14"/>
                <w:szCs w:val="14"/>
                <w:b w:val="1"/>
                <w:bCs w:val="1"/>
                <w:color w:val="auto"/>
              </w:rPr>
              <w:t>As of</w:t>
            </w:r>
          </w:p>
        </w:tc>
      </w:tr>
      <w:tr>
        <w:trPr>
          <w:trHeight w:val="142"/>
        </w:trPr>
        <w:tc>
          <w:tcPr>
            <w:tcW w:w="502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March 31, 2020</w:t>
            </w:r>
          </w:p>
        </w:tc>
        <w:tc>
          <w:tcPr>
            <w:tcW w:w="1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4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20" w:type="dxa"/>
            <w:vAlign w:val="bottom"/>
            <w:gridSpan w:val="2"/>
          </w:tcPr>
          <w:p>
            <w:pPr>
              <w:jc w:val="right"/>
              <w:ind w:right="936"/>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bonuses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c>
          <w:tcPr>
            <w:tcW w:w="1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Other provisions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715</w:t>
            </w:r>
          </w:p>
        </w:tc>
        <w:tc>
          <w:tcPr>
            <w:tcW w:w="2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w:t>
            </w:r>
          </w:p>
        </w:tc>
      </w:tr>
      <w:tr>
        <w:trPr>
          <w:trHeight w:val="20"/>
        </w:trPr>
        <w:tc>
          <w:tcPr>
            <w:tcW w:w="5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These amounts include provisions for the Group’s annual employee bonuses, which are due to be paid each December. These amounts are classified as a provision as of March 31, 2020, because the amount to be paid is uncertain. As of December 31, 2019, the Group had a liability for annual employee bonuses of €52 thousand (classified as other current liabilities) related to amounts paid in January 2020.</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00"/>
          </w:cols>
          <w:pgMar w:left="320" w:top="459" w:right="47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Group issues share-based awards to its employees under two different plans. Under the 2010 Plan, the Group issues stock appreciation rights (“SARs”), which are treated as cash-settled. The Group applies liability accounting to SAR awards under the 2010 Plan and revalues the outstanding awards at each reporting date. The Group applied a Black Scholes pricing model to estimate the fair value of the 2010 Plan awards as of March 31, 2020 and December 31, 2019 based on a company valuation of $350,000 thousand.</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2020</w:t>
            </w:r>
          </w:p>
        </w:tc>
        <w:tc>
          <w:tcPr>
            <w:tcW w:w="80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200" w:type="dxa"/>
            <w:vAlign w:val="bottom"/>
          </w:tcPr>
          <w:p>
            <w:pPr>
              <w:spacing w:after="0"/>
              <w:rPr>
                <w:sz w:val="12"/>
                <w:szCs w:val="12"/>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in USD</w:t>
            </w:r>
          </w:p>
        </w:tc>
        <w:tc>
          <w:tcPr>
            <w:tcW w:w="1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Underlying share price in USD</w:t>
            </w:r>
          </w:p>
        </w:tc>
        <w:tc>
          <w:tcPr>
            <w:tcW w:w="148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75.02</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67.87</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93.00%</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Time period (years)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0.75</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Combined probability of exit events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awards issued under the 2010 Plan in 2020 or 2019.</w:t>
      </w:r>
    </w:p>
    <w:p>
      <w:pPr>
        <w:spacing w:after="0" w:line="22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of March 31, 2020, and December 31, 2019 Immatics had other non-current liabilities of €2,772 thousand and €2,084 thousand, respectively, resulting from these awards.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During the three months ended March 31, 2020, the Group granted 6,000 tandem awards in accordance with the 2016 Plan. These tandem awards have not yet commenced vesting, as the service commencement date has not yet been reached.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Group recognized total share-based compensation expense during the three months ended March 31, 2020 and 2019 as set out below:</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00" w:type="dxa"/>
            <w:vAlign w:val="bottom"/>
            <w:gridSpan w:val="3"/>
          </w:tcPr>
          <w:p>
            <w:pPr>
              <w:jc w:val="center"/>
              <w:ind w:left="519"/>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jc w:val="right"/>
              <w:spacing w:after="0"/>
              <w:rPr>
                <w:sz w:val="20"/>
                <w:szCs w:val="20"/>
                <w:color w:val="auto"/>
              </w:rPr>
            </w:pPr>
            <w:r>
              <w:rPr>
                <w:rFonts w:ascii="Arial" w:cs="Arial" w:eastAsia="Arial" w:hAnsi="Arial"/>
                <w:sz w:val="18"/>
                <w:szCs w:val="18"/>
                <w:color w:val="auto"/>
              </w:rPr>
              <w:t>287</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During the three months ended March 31, 2020 the Group did not enter into related-party transactions with its key management personnel and with related entities. There were no significant changes in the compensation arrangements for key management personnel or members of the Management Board and of the Supervisory Board during the three months ended March 31, 2020.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00"/>
          </w:cols>
          <w:pgMar w:left="320" w:top="459" w:right="47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Set out below are the carrying amounts and fair values of the Group’s financial instruments that are carried in the interim condensed consolidated financial statements.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60" w:type="dxa"/>
            <w:vAlign w:val="bottom"/>
          </w:tcPr>
          <w:p>
            <w:pPr>
              <w:spacing w:after="0"/>
              <w:rPr>
                <w:sz w:val="20"/>
                <w:szCs w:val="20"/>
                <w:color w:val="auto"/>
              </w:rPr>
            </w:pPr>
            <w:r>
              <w:rPr>
                <w:rFonts w:ascii="Arial" w:cs="Arial" w:eastAsia="Arial" w:hAnsi="Arial"/>
                <w:sz w:val="14"/>
                <w:szCs w:val="14"/>
                <w:b w:val="1"/>
                <w:bCs w:val="1"/>
                <w:color w:val="auto"/>
              </w:rPr>
              <w:t>Euros in thousands</w:t>
            </w:r>
          </w:p>
        </w:tc>
        <w:tc>
          <w:tcPr>
            <w:tcW w:w="412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IFRS 9</w:t>
            </w:r>
          </w:p>
        </w:tc>
        <w:tc>
          <w:tcPr>
            <w:tcW w:w="1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Carrying amount</w:t>
            </w:r>
          </w:p>
        </w:tc>
        <w:tc>
          <w:tcPr>
            <w:tcW w:w="1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4120" w:type="dxa"/>
            <w:vAlign w:val="bottom"/>
            <w:tcBorders>
              <w:bottom w:val="single" w:sz="8" w:color="CCEEFF"/>
            </w:tcBorders>
            <w:vMerge w:val="continue"/>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3/31/2020</w:t>
            </w:r>
          </w:p>
        </w:tc>
        <w:tc>
          <w:tcPr>
            <w:tcW w:w="1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12/31/2019</w:t>
            </w:r>
          </w:p>
        </w:tc>
        <w:tc>
          <w:tcPr>
            <w:tcW w:w="1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3/31/2020</w:t>
            </w:r>
          </w:p>
        </w:tc>
        <w:tc>
          <w:tcPr>
            <w:tcW w:w="1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12/31/2019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Money market fund</w:t>
            </w:r>
          </w:p>
        </w:tc>
        <w:tc>
          <w:tcPr>
            <w:tcW w:w="4120" w:type="dxa"/>
            <w:vAlign w:val="bottom"/>
          </w:tcPr>
          <w:p>
            <w:pPr>
              <w:ind w:left="1160"/>
              <w:spacing w:after="0" w:line="201" w:lineRule="exact"/>
              <w:rPr>
                <w:sz w:val="20"/>
                <w:szCs w:val="20"/>
                <w:color w:val="auto"/>
              </w:rPr>
            </w:pPr>
            <w:r>
              <w:rPr>
                <w:rFonts w:ascii="Arial" w:cs="Arial" w:eastAsia="Arial" w:hAnsi="Arial"/>
                <w:sz w:val="18"/>
                <w:szCs w:val="18"/>
                <w:color w:val="auto"/>
              </w:rPr>
              <w:t>At fair value through profit or loss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4120" w:type="dxa"/>
            <w:vAlign w:val="bottom"/>
          </w:tcPr>
          <w:p>
            <w:pPr>
              <w:ind w:left="1160"/>
              <w:spacing w:after="0"/>
              <w:rPr>
                <w:sz w:val="20"/>
                <w:szCs w:val="20"/>
                <w:color w:val="auto"/>
              </w:rPr>
            </w:pPr>
            <w:r>
              <w:rPr>
                <w:rFonts w:ascii="Arial" w:cs="Arial" w:eastAsia="Arial" w:hAnsi="Arial"/>
                <w:sz w:val="18"/>
                <w:szCs w:val="18"/>
                <w:color w:val="auto"/>
              </w:rPr>
              <w:t>(FVTPL)</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72,202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103,353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72,202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103,353</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Short-term deposits</w:t>
            </w:r>
          </w:p>
        </w:tc>
        <w:tc>
          <w:tcPr>
            <w:tcW w:w="4120" w:type="dxa"/>
            <w:vAlign w:val="bottom"/>
            <w:shd w:val="clear" w:color="auto" w:fill="CCEEFF"/>
          </w:tcPr>
          <w:p>
            <w:pPr>
              <w:ind w:left="1160"/>
              <w:spacing w:after="0" w:line="201" w:lineRule="exact"/>
              <w:rPr>
                <w:sz w:val="20"/>
                <w:szCs w:val="20"/>
                <w:color w:val="auto"/>
              </w:rPr>
            </w:pPr>
            <w:r>
              <w:rPr>
                <w:rFonts w:ascii="Arial" w:cs="Arial" w:eastAsia="Arial" w:hAnsi="Arial"/>
                <w:sz w:val="18"/>
                <w:szCs w:val="18"/>
                <w:color w:val="auto"/>
              </w:rPr>
              <w:t>At fair value through profit or loss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p>
        </w:tc>
        <w:tc>
          <w:tcPr>
            <w:tcW w:w="41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(FVTPL)</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32,859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16,023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32,859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Accounts receivable</w:t>
            </w:r>
          </w:p>
        </w:tc>
        <w:tc>
          <w:tcPr>
            <w:tcW w:w="4120" w:type="dxa"/>
            <w:vAlign w:val="bottom"/>
          </w:tcPr>
          <w:p>
            <w:pPr>
              <w:ind w:left="1160"/>
              <w:spacing w:after="0"/>
              <w:rPr>
                <w:sz w:val="20"/>
                <w:szCs w:val="20"/>
                <w:color w:val="auto"/>
              </w:rPr>
            </w:pPr>
            <w:r>
              <w:rPr>
                <w:rFonts w:ascii="Arial" w:cs="Arial" w:eastAsia="Arial" w:hAnsi="Arial"/>
                <w:sz w:val="18"/>
                <w:szCs w:val="18"/>
                <w:color w:val="auto"/>
                <w:w w:val="94"/>
              </w:rPr>
              <w:t>other financial assets at amortized cost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957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current/non-current assets</w:t>
            </w:r>
          </w:p>
        </w:tc>
        <w:tc>
          <w:tcPr>
            <w:tcW w:w="412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4"/>
              </w:rPr>
              <w:t>other financial assets at amortized cost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4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107,186</w:t>
            </w: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122,042</w:t>
            </w: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107,186</w:t>
            </w: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4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Accounts payable</w:t>
            </w:r>
          </w:p>
        </w:tc>
        <w:tc>
          <w:tcPr>
            <w:tcW w:w="4120" w:type="dxa"/>
            <w:vAlign w:val="bottom"/>
            <w:shd w:val="clear" w:color="auto" w:fill="CCEEFF"/>
          </w:tcPr>
          <w:p>
            <w:pPr>
              <w:ind w:left="1160"/>
              <w:spacing w:after="0" w:line="201" w:lineRule="exact"/>
              <w:rPr>
                <w:sz w:val="20"/>
                <w:szCs w:val="20"/>
                <w:color w:val="auto"/>
              </w:rPr>
            </w:pPr>
            <w:r>
              <w:rPr>
                <w:rFonts w:ascii="Arial" w:cs="Arial" w:eastAsia="Arial" w:hAnsi="Arial"/>
                <w:sz w:val="18"/>
                <w:szCs w:val="18"/>
                <w:color w:val="auto"/>
              </w:rPr>
              <w:t>other financial liabilities at amortized</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p>
        </w:tc>
        <w:tc>
          <w:tcPr>
            <w:tcW w:w="41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cost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Other current liabilities</w:t>
            </w:r>
          </w:p>
        </w:tc>
        <w:tc>
          <w:tcPr>
            <w:tcW w:w="4120" w:type="dxa"/>
            <w:vAlign w:val="bottom"/>
          </w:tcPr>
          <w:p>
            <w:pPr>
              <w:ind w:left="1160"/>
              <w:spacing w:after="0" w:line="201" w:lineRule="exact"/>
              <w:rPr>
                <w:sz w:val="20"/>
                <w:szCs w:val="20"/>
                <w:color w:val="auto"/>
              </w:rPr>
            </w:pPr>
            <w:r>
              <w:rPr>
                <w:rFonts w:ascii="Arial" w:cs="Arial" w:eastAsia="Arial" w:hAnsi="Arial"/>
                <w:sz w:val="18"/>
                <w:szCs w:val="18"/>
                <w:color w:val="auto"/>
              </w:rPr>
              <w:t>other financial liabilities at amortized</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4120" w:type="dxa"/>
            <w:vAlign w:val="bottom"/>
          </w:tcPr>
          <w:p>
            <w:pPr>
              <w:ind w:left="1160"/>
              <w:spacing w:after="0"/>
              <w:rPr>
                <w:sz w:val="20"/>
                <w:szCs w:val="20"/>
                <w:color w:val="auto"/>
              </w:rPr>
            </w:pPr>
            <w:r>
              <w:rPr>
                <w:rFonts w:ascii="Arial" w:cs="Arial" w:eastAsia="Arial" w:hAnsi="Arial"/>
                <w:sz w:val="18"/>
                <w:szCs w:val="18"/>
                <w:color w:val="auto"/>
              </w:rPr>
              <w:t>cost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1,288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4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9,818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8,370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9,818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8,370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carrying value of financial instruments such as cash and cash equivalents, deposits, accounts receivable and accounts payable approximate their fair value based on the short-term maturities of these instruments. The fair values of the financial assets and liabilities are included at the amount at which the instrument could be exchanged in a current transaction between willing parties, other than in a forced or liquidation sale.</w:t>
      </w:r>
    </w:p>
    <w:p>
      <w:pPr>
        <w:spacing w:after="0" w:line="165"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following methods and assumptions were used to estimate the fair values: All financial assets are categorized in Level 1 and therefore are valued using quoted (unadjusted) market prices. Except for the Stock Appreciation Rights, which are categorized at Level 2, all other financial liabilities are also categorized at Level 1.</w:t>
      </w:r>
    </w:p>
    <w:p>
      <w:pPr>
        <w:spacing w:after="0" w:line="328" w:lineRule="exact"/>
        <w:rPr>
          <w:sz w:val="20"/>
          <w:szCs w:val="20"/>
          <w:color w:val="auto"/>
        </w:rPr>
      </w:pPr>
    </w:p>
    <w:p>
      <w:pPr>
        <w:ind w:left="540" w:hanging="424"/>
        <w:spacing w:after="0"/>
        <w:tabs>
          <w:tab w:leader="none" w:pos="5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Events occurring after the reporting period</w:t>
      </w:r>
    </w:p>
    <w:p>
      <w:pPr>
        <w:spacing w:after="0" w:line="121"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The Group evaluated subsequent events for recognition or disclosure through May 22, 2020. Based on its review, the Group determined that there have been no events that have occurred subsequent to the reporting period that would require adjustments to the disclosures in the financial statements.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40"/>
          </w:cols>
          <w:pgMar w:left="320" w:top="459" w:right="4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3199"/>
        <w:spacing w:after="0"/>
        <w:rPr>
          <w:sz w:val="20"/>
          <w:szCs w:val="20"/>
          <w:color w:val="auto"/>
        </w:rPr>
      </w:pPr>
      <w:r>
        <w:rPr>
          <w:rFonts w:ascii="Arial" w:cs="Arial" w:eastAsia="Arial" w:hAnsi="Arial"/>
          <w:sz w:val="43"/>
          <w:szCs w:val="43"/>
          <w:b w:val="1"/>
          <w:bCs w:val="1"/>
          <w:color w:val="auto"/>
        </w:rPr>
        <w:t>Immatics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8654415</wp:posOffset>
            </wp:positionV>
            <wp:extent cx="14744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3048000</wp:posOffset>
            </wp:positionV>
            <wp:extent cx="6995160" cy="25203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165100</wp:posOffset>
            </wp:positionV>
            <wp:extent cx="14744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139"/>
          </w:cols>
          <w:pgMar w:left="320" w:top="459" w:right="1440" w:bottom="181" w:gutter="0" w:footer="0" w:header="0"/>
        </w:sectPr>
      </w:pPr>
    </w:p>
    <w:bookmarkStart w:id="343" w:name="page344"/>
    <w:bookmarkEnd w:id="343"/>
    <w:p>
      <w:pPr>
        <w:ind w:left="4720"/>
        <w:spacing w:after="0"/>
        <w:rPr>
          <w:sz w:val="20"/>
          <w:szCs w:val="20"/>
          <w:color w:val="auto"/>
        </w:rPr>
      </w:pPr>
      <w:r>
        <w:rPr>
          <w:rFonts w:ascii="Arial" w:cs="Arial" w:eastAsia="Arial" w:hAnsi="Arial"/>
          <w:sz w:val="16"/>
          <w:szCs w:val="16"/>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443230</wp:posOffset>
            </wp:positionV>
            <wp:extent cx="69951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503555</wp:posOffset>
            </wp:positionV>
            <wp:extent cx="6995160"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Under Dutch law, directors of a Dutch public company may be held jointly and severally liable to the company for damages in the event of improper performance of their duties. In addition, directors may be held liable to third parties for any actions that may give rise to a tort. This applies equally to our managing directors, supervisory directors, non-executive directors and executive directors.</w:t>
      </w:r>
    </w:p>
    <w:p>
      <w:pPr>
        <w:spacing w:after="0" w:line="184"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Pursuant to our articles of association and unless Dutch law provides otherwise, the following will be reimbursed to actual and former managing directors, supervisory directors, non-executive directors and executive directors and other members of the Executive Committee:</w:t>
      </w:r>
    </w:p>
    <w:p>
      <w:pPr>
        <w:spacing w:after="0" w:line="29" w:lineRule="exact"/>
        <w:rPr>
          <w:sz w:val="20"/>
          <w:szCs w:val="20"/>
          <w:color w:val="auto"/>
        </w:rPr>
      </w:pPr>
    </w:p>
    <w:p>
      <w:pPr>
        <w:ind w:left="1080" w:right="60" w:hanging="532"/>
        <w:spacing w:after="0" w:line="342" w:lineRule="auto"/>
        <w:tabs>
          <w:tab w:leader="none" w:pos="10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costs of conducting a defense against claims, also including claims by the company and its group companies, as a consequence of any acts or omissions in the fulfillment of their duties or any other duties currently or previously performed by them at our request;</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damages or financial penalties payable by them as a result of any such acts or omissions;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any amounts payable by them under settlement agreements entered into by them in connection with any such acts or omissions;</w:t>
      </w:r>
    </w:p>
    <w:p>
      <w:pPr>
        <w:spacing w:after="0" w:line="142" w:lineRule="exact"/>
        <w:rPr>
          <w:rFonts w:ascii="Arial" w:cs="Arial" w:eastAsia="Arial" w:hAnsi="Arial"/>
          <w:sz w:val="17"/>
          <w:szCs w:val="17"/>
          <w:color w:val="auto"/>
        </w:rPr>
      </w:pPr>
    </w:p>
    <w:p>
      <w:pPr>
        <w:ind w:left="1080" w:right="80" w:hanging="532"/>
        <w:spacing w:after="0" w:line="27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costs of appearing in other legal proceedings in which they are involved in such capacity, with the exception of proceedings primarily aimed at pursuing a claim on their own behalf;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taxes payable by them as a result of any reimbursements.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indemnification shall be given to an indemnified officer or director under our articles of association unless:</w:t>
      </w:r>
    </w:p>
    <w:p>
      <w:pPr>
        <w:spacing w:after="0" w:line="131" w:lineRule="exact"/>
        <w:rPr>
          <w:sz w:val="20"/>
          <w:szCs w:val="20"/>
          <w:color w:val="auto"/>
        </w:rPr>
      </w:pPr>
    </w:p>
    <w:p>
      <w:pPr>
        <w:ind w:left="1080" w:right="140" w:hanging="532"/>
        <w:spacing w:after="0" w:line="311" w:lineRule="auto"/>
        <w:tabs>
          <w:tab w:leader="none" w:pos="10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it has been adjudicated by a Dutch court or, in the case of arbitration, an arbitrator, in a final and conclusive decision that the act or omission may be characterized as intentional, deliberately reckless or grossly negligent conduct, unless Dutch law provides otherwise or this would, in view of the circumstances of the case, be unacceptable according to standards of reasonableness and fairness; or</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costs or financial loss are covered by an insurance and the insurer has paid out the costs or financial loss.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entered into indemnification agreement with each of our directors and executive officers.</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76" w:lineRule="exact"/>
        <w:rPr>
          <w:sz w:val="20"/>
          <w:szCs w:val="20"/>
          <w:color w:val="auto"/>
        </w:rPr>
      </w:pPr>
    </w:p>
    <w:p>
      <w:pPr>
        <w:ind w:left="1080" w:right="220" w:hanging="424"/>
        <w:spacing w:after="0" w:line="259"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connection with the closing of the Business Combination, on July 1, 2020, we issued (i) 52,493,617 ordinary shares to former securityholders of Immatics OpCo and ARYA in exchange for their securities in Immatics OpCo and ARYA, as applicable, and (ii) 7,187,500 public warrants to former warrant holders of ARYA in exchange for outstanding public warrants of ARYA (other than public warrants held by the ARYA Sponsor, which were forfeited).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40"/>
          </w:cols>
          <w:pgMar w:left="320" w:top="459" w:right="5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424"/>
        <w:spacing w:after="0" w:line="342" w:lineRule="auto"/>
        <w:tabs>
          <w:tab w:leader="none" w:pos="10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 connection with the closing of the PIPE Financing, on July 1, 2020, we issued 10,415,000 ordinary shares to the PIPE investors for gross proceeds of approximately $104.2 million, $25.0 million of which was funded by an affiliate of the ARYA Sponsor.</w:t>
      </w:r>
    </w:p>
    <w:p>
      <w:pPr>
        <w:spacing w:after="0" w:line="12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foregoing securities issuances were made in reliance upon the exemption provided in Section 4(a)(2) of the Securities Act and/or Regulation D or Regulation S promulgated thereunder.</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220" w:type="dxa"/>
            <w:vAlign w:val="bottom"/>
          </w:tcPr>
          <w:p>
            <w:pPr>
              <w:spacing w:after="0"/>
              <w:rPr>
                <w:sz w:val="20"/>
                <w:szCs w:val="20"/>
                <w:color w:val="auto"/>
              </w:rPr>
            </w:pPr>
          </w:p>
        </w:tc>
        <w:tc>
          <w:tcPr>
            <w:tcW w:w="9940" w:type="dxa"/>
            <w:vAlign w:val="bottom"/>
            <w:gridSpan w:val="19"/>
          </w:tcPr>
          <w:p>
            <w:pPr>
              <w:ind w:left="60"/>
              <w:spacing w:after="0"/>
              <w:rPr>
                <w:sz w:val="20"/>
                <w:szCs w:val="20"/>
                <w:color w:val="auto"/>
              </w:rPr>
            </w:pPr>
            <w:r>
              <w:rPr>
                <w:rFonts w:ascii="Arial" w:cs="Arial" w:eastAsia="Arial" w:hAnsi="Arial"/>
                <w:sz w:val="18"/>
                <w:szCs w:val="18"/>
                <w:b w:val="1"/>
                <w:bCs w:val="1"/>
                <w:color w:val="auto"/>
              </w:rPr>
              <w:t>Exhibits and Financial Statement Schedules.</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(a)</w:t>
            </w:r>
          </w:p>
        </w:tc>
        <w:tc>
          <w:tcPr>
            <w:tcW w:w="10160" w:type="dxa"/>
            <w:vAlign w:val="bottom"/>
            <w:gridSpan w:val="20"/>
          </w:tcPr>
          <w:p>
            <w:pPr>
              <w:ind w:left="160"/>
              <w:spacing w:after="0"/>
              <w:rPr>
                <w:sz w:val="20"/>
                <w:szCs w:val="20"/>
                <w:color w:val="auto"/>
              </w:rPr>
            </w:pPr>
            <w:r>
              <w:rPr>
                <w:rFonts w:ascii="Arial" w:cs="Arial" w:eastAsia="Arial" w:hAnsi="Arial"/>
                <w:sz w:val="18"/>
                <w:szCs w:val="18"/>
                <w:color w:val="auto"/>
              </w:rPr>
              <w:t>The following exhibits are included or incorporated by reference in this registration statement on Form F-1:</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20" w:type="dxa"/>
            <w:vAlign w:val="bottom"/>
            <w:gridSpan w:val="17"/>
          </w:tcPr>
          <w:p>
            <w:pPr>
              <w:ind w:left="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80" w:type="dxa"/>
            <w:vAlign w:val="bottom"/>
            <w:gridSpan w:val="1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8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80" w:type="dxa"/>
            <w:vAlign w:val="bottom"/>
            <w:tcBorders>
              <w:bottom w:val="single" w:sz="8" w:color="0000EE"/>
            </w:tcBorders>
            <w:gridSpan w:val="8"/>
          </w:tcPr>
          <w:p>
            <w:pPr>
              <w:spacing w:after="0"/>
              <w:rPr>
                <w:rFonts w:ascii="Arial" w:cs="Arial" w:eastAsia="Arial" w:hAnsi="Arial"/>
                <w:sz w:val="18"/>
                <w:szCs w:val="18"/>
                <w:color w:val="0000EE"/>
                <w:w w:val="91"/>
              </w:rPr>
            </w:pPr>
            <w:hyperlink r:id="rId416">
              <w:r>
                <w:rPr>
                  <w:rFonts w:ascii="Arial" w:cs="Arial" w:eastAsia="Arial" w:hAnsi="Arial"/>
                  <w:sz w:val="18"/>
                  <w:szCs w:val="18"/>
                  <w:color w:val="0000EE"/>
                  <w:w w:val="91"/>
                </w:rPr>
                <w:t>Business Combination Agreement, dated as of March 17, 2020, by and among ARYA Sciences Acquisition Corp., Immatics</w:t>
              </w:r>
            </w:hyperlink>
          </w:p>
        </w:tc>
        <w:tc>
          <w:tcPr>
            <w:tcW w:w="9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416">
              <w:r>
                <w:rPr>
                  <w:rFonts w:ascii="Arial" w:cs="Arial" w:eastAsia="Arial" w:hAnsi="Arial"/>
                  <w:sz w:val="18"/>
                  <w:szCs w:val="18"/>
                  <w:color w:val="0000EE"/>
                  <w:w w:val="91"/>
                </w:rPr>
                <w:t>Biotechnologies GmbH, Immatics B.V., Immatics Merger Sub 1 and Immatics Merger Sub 2 (incorporated by reference to Exhibit 2.1 to</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416">
              <w:r>
                <w:rPr>
                  <w:rFonts w:ascii="Arial" w:cs="Arial" w:eastAsia="Arial" w:hAnsi="Arial"/>
                  <w:sz w:val="18"/>
                  <w:szCs w:val="18"/>
                  <w:color w:val="0000EE"/>
                  <w:w w:val="91"/>
                </w:rPr>
                <w:t>the Registration Statement on Form F-4 (Reg. No. 333-237702), filed with the SEC on April 16, 2020)</w:t>
              </w:r>
            </w:hyperlink>
          </w:p>
        </w:tc>
        <w:tc>
          <w:tcPr>
            <w:tcW w:w="2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0" w:type="dxa"/>
            <w:vAlign w:val="bottom"/>
            <w:tcBorders>
              <w:bottom w:val="single" w:sz="8" w:color="0000EE"/>
            </w:tcBorders>
            <w:gridSpan w:val="14"/>
          </w:tcPr>
          <w:p>
            <w:pPr>
              <w:spacing w:after="0"/>
              <w:rPr>
                <w:rFonts w:ascii="Arial" w:cs="Arial" w:eastAsia="Arial" w:hAnsi="Arial"/>
                <w:sz w:val="18"/>
                <w:szCs w:val="18"/>
                <w:color w:val="0000EE"/>
                <w:w w:val="91"/>
              </w:rPr>
            </w:pPr>
            <w:hyperlink r:id="rId417">
              <w:r>
                <w:rPr>
                  <w:rFonts w:ascii="Arial" w:cs="Arial" w:eastAsia="Arial" w:hAnsi="Arial"/>
                  <w:sz w:val="18"/>
                  <w:szCs w:val="18"/>
                  <w:color w:val="0000EE"/>
                  <w:w w:val="91"/>
                </w:rPr>
                <w:t>Amendment No. 1 to Business Combination Agreement, dated as of June 7, 2020, by and among ARYA Sciences Acquisition Corp.,</w:t>
              </w:r>
            </w:hyperlink>
          </w:p>
        </w:tc>
        <w:tc>
          <w:tcPr>
            <w:tcW w:w="3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19"/>
          </w:tcPr>
          <w:p>
            <w:pPr>
              <w:spacing w:after="0" w:line="196" w:lineRule="exact"/>
              <w:rPr>
                <w:rFonts w:ascii="Arial" w:cs="Arial" w:eastAsia="Arial" w:hAnsi="Arial"/>
                <w:sz w:val="18"/>
                <w:szCs w:val="18"/>
                <w:color w:val="0000EE"/>
                <w:w w:val="95"/>
              </w:rPr>
            </w:pPr>
            <w:hyperlink r:id="rId417">
              <w:r>
                <w:rPr>
                  <w:rFonts w:ascii="Arial" w:cs="Arial" w:eastAsia="Arial" w:hAnsi="Arial"/>
                  <w:sz w:val="18"/>
                  <w:szCs w:val="18"/>
                  <w:color w:val="0000EE"/>
                  <w:w w:val="95"/>
                </w:rPr>
                <w:t>Immatics Biotechnologies GmbH, Immatics B.V., Immatics Merger Sub 1 and Immatics Merger Sub 2 (incorporated by reference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40" w:type="dxa"/>
            <w:vAlign w:val="bottom"/>
            <w:gridSpan w:val="19"/>
          </w:tcPr>
          <w:p>
            <w:pPr>
              <w:spacing w:after="0"/>
              <w:rPr>
                <w:rFonts w:ascii="Arial" w:cs="Arial" w:eastAsia="Arial" w:hAnsi="Arial"/>
                <w:sz w:val="18"/>
                <w:szCs w:val="18"/>
                <w:u w:val="single" w:color="auto"/>
                <w:color w:val="0000EE"/>
                <w:w w:val="92"/>
              </w:rPr>
            </w:pPr>
            <w:hyperlink r:id="rId417">
              <w:r>
                <w:rPr>
                  <w:rFonts w:ascii="Arial" w:cs="Arial" w:eastAsia="Arial" w:hAnsi="Arial"/>
                  <w:sz w:val="18"/>
                  <w:szCs w:val="18"/>
                  <w:u w:val="single" w:color="auto"/>
                  <w:color w:val="0000EE"/>
                  <w:w w:val="92"/>
                </w:rPr>
                <w:t>Exhibit 2.2 to Amendment No. 3 to the Registration Statement on Form F-4 (Reg. No. 333-237702), filed with the SEC on June 8, 2020)</w:t>
              </w:r>
            </w:hyperlink>
          </w:p>
        </w:tc>
        <w:tc>
          <w:tcPr>
            <w:tcW w:w="0" w:type="dxa"/>
            <w:vAlign w:val="bottom"/>
          </w:tcPr>
          <w:p>
            <w:pPr>
              <w:spacing w:after="0"/>
              <w:rPr>
                <w:sz w:val="1"/>
                <w:szCs w:val="1"/>
                <w:color w:val="auto"/>
              </w:rPr>
            </w:pPr>
          </w:p>
        </w:tc>
      </w:tr>
      <w:tr>
        <w:trPr>
          <w:trHeight w:val="283"/>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gridSpan w:val="19"/>
          </w:tcPr>
          <w:p>
            <w:pPr>
              <w:spacing w:after="0"/>
              <w:rPr>
                <w:rFonts w:ascii="Arial" w:cs="Arial" w:eastAsia="Arial" w:hAnsi="Arial"/>
                <w:sz w:val="18"/>
                <w:szCs w:val="18"/>
                <w:color w:val="0000EE"/>
                <w:w w:val="94"/>
              </w:rPr>
            </w:pPr>
            <w:hyperlink r:id="rId418">
              <w:r>
                <w:rPr>
                  <w:rFonts w:ascii="Arial" w:cs="Arial" w:eastAsia="Arial" w:hAnsi="Arial"/>
                  <w:sz w:val="18"/>
                  <w:szCs w:val="18"/>
                  <w:color w:val="0000EE"/>
                  <w:w w:val="94"/>
                </w:rPr>
                <w:t>Plan of First Merger (incorporated by reference to Exhibit 2.3 to Amendment No. 3 to the Registration Statement on Form F-4 (Reg.</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418">
              <w:r>
                <w:rPr>
                  <w:rFonts w:ascii="Arial" w:cs="Arial" w:eastAsia="Arial" w:hAnsi="Arial"/>
                  <w:sz w:val="18"/>
                  <w:szCs w:val="18"/>
                  <w:color w:val="0000EE"/>
                  <w:w w:val="91"/>
                </w:rPr>
                <w:t>No. 333-237702), filed with the SEC on June 8, 2020)</w:t>
              </w:r>
            </w:hyperlink>
          </w:p>
        </w:tc>
        <w:tc>
          <w:tcPr>
            <w:tcW w:w="5620" w:type="dxa"/>
            <w:vAlign w:val="bottom"/>
            <w:tcBorders>
              <w:top w:val="single" w:sz="8" w:color="0000EE"/>
            </w:tcBorders>
            <w:gridSpan w:val="11"/>
          </w:tcPr>
          <w:p>
            <w:pPr>
              <w:spacing w:after="0"/>
              <w:rPr>
                <w:sz w:val="17"/>
                <w:szCs w:val="17"/>
                <w:color w:val="auto"/>
              </w:rPr>
            </w:pPr>
          </w:p>
        </w:tc>
        <w:tc>
          <w:tcPr>
            <w:tcW w:w="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gridSpan w:val="19"/>
          </w:tcPr>
          <w:p>
            <w:pPr>
              <w:spacing w:after="0"/>
              <w:rPr>
                <w:rFonts w:ascii="Arial" w:cs="Arial" w:eastAsia="Arial" w:hAnsi="Arial"/>
                <w:sz w:val="18"/>
                <w:szCs w:val="18"/>
                <w:color w:val="0000EE"/>
                <w:w w:val="92"/>
              </w:rPr>
            </w:pPr>
            <w:hyperlink r:id="rId419">
              <w:r>
                <w:rPr>
                  <w:rFonts w:ascii="Arial" w:cs="Arial" w:eastAsia="Arial" w:hAnsi="Arial"/>
                  <w:sz w:val="18"/>
                  <w:szCs w:val="18"/>
                  <w:color w:val="0000EE"/>
                  <w:w w:val="92"/>
                </w:rPr>
                <w:t>Plan of Second Merger (incorporated by reference to Exhibit 2.4 to Amendment No. 3 to the Registration Statement on Form F-4 (Reg.</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419">
              <w:r>
                <w:rPr>
                  <w:rFonts w:ascii="Arial" w:cs="Arial" w:eastAsia="Arial" w:hAnsi="Arial"/>
                  <w:sz w:val="18"/>
                  <w:szCs w:val="18"/>
                  <w:color w:val="0000EE"/>
                  <w:w w:val="91"/>
                </w:rPr>
                <w:t>No. 333-237702), filed with the SEC on June 8, 2020)</w:t>
              </w:r>
            </w:hyperlink>
          </w:p>
        </w:tc>
        <w:tc>
          <w:tcPr>
            <w:tcW w:w="5820" w:type="dxa"/>
            <w:vAlign w:val="bottom"/>
            <w:tcBorders>
              <w:top w:val="single" w:sz="8" w:color="0000EE"/>
            </w:tcBorders>
            <w:gridSpan w:val="13"/>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gridSpan w:val="19"/>
          </w:tcPr>
          <w:p>
            <w:pPr>
              <w:spacing w:after="0"/>
              <w:rPr>
                <w:rFonts w:ascii="Arial" w:cs="Arial" w:eastAsia="Arial" w:hAnsi="Arial"/>
                <w:sz w:val="18"/>
                <w:szCs w:val="18"/>
                <w:u w:val="single" w:color="auto"/>
                <w:color w:val="0000EE"/>
              </w:rPr>
            </w:pPr>
            <w:hyperlink w:anchor="page354">
              <w:r>
                <w:rPr>
                  <w:rFonts w:ascii="Arial" w:cs="Arial" w:eastAsia="Arial" w:hAnsi="Arial"/>
                  <w:sz w:val="18"/>
                  <w:szCs w:val="18"/>
                  <w:u w:val="single" w:color="auto"/>
                  <w:color w:val="0000EE"/>
                </w:rPr>
                <w:t>Deed of Conversion of Immatics B.V. and Articles of Association of Immatics N.V.</w:t>
              </w:r>
            </w:hyperlink>
          </w:p>
        </w:tc>
        <w:tc>
          <w:tcPr>
            <w:tcW w:w="0" w:type="dxa"/>
            <w:vAlign w:val="bottom"/>
          </w:tcPr>
          <w:p>
            <w:pPr>
              <w:spacing w:after="0"/>
              <w:rPr>
                <w:sz w:val="1"/>
                <w:szCs w:val="1"/>
                <w:color w:val="auto"/>
              </w:rPr>
            </w:pPr>
          </w:p>
        </w:tc>
      </w:tr>
      <w:tr>
        <w:trPr>
          <w:trHeight w:val="283"/>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80" w:type="dxa"/>
            <w:vAlign w:val="bottom"/>
            <w:tcBorders>
              <w:bottom w:val="single" w:sz="8" w:color="0000EE"/>
            </w:tcBorders>
            <w:gridSpan w:val="16"/>
          </w:tcPr>
          <w:p>
            <w:pPr>
              <w:spacing w:after="0"/>
              <w:rPr>
                <w:rFonts w:ascii="Arial" w:cs="Arial" w:eastAsia="Arial" w:hAnsi="Arial"/>
                <w:sz w:val="18"/>
                <w:szCs w:val="18"/>
                <w:color w:val="0000EE"/>
                <w:w w:val="90"/>
              </w:rPr>
            </w:pPr>
            <w:hyperlink r:id="rId420">
              <w:r>
                <w:rPr>
                  <w:rFonts w:ascii="Arial" w:cs="Arial" w:eastAsia="Arial" w:hAnsi="Arial"/>
                  <w:sz w:val="18"/>
                  <w:szCs w:val="18"/>
                  <w:color w:val="0000EE"/>
                  <w:w w:val="90"/>
                </w:rPr>
                <w:t>Amended and Restated Warrant Agreement, between Continental Stock Transfer &amp; Trust Company, Immatics B.V. and ARYA Sciences</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420">
              <w:r>
                <w:rPr>
                  <w:rFonts w:ascii="Arial" w:cs="Arial" w:eastAsia="Arial" w:hAnsi="Arial"/>
                  <w:sz w:val="18"/>
                  <w:szCs w:val="18"/>
                  <w:color w:val="0000EE"/>
                  <w:w w:val="91"/>
                </w:rPr>
                <w:t>Acquisition Corp. (incorporated by reference to Exhibit 4.1 to Amendment No. 2 to the Registration Statement on Form F-4 (Reg.</w:t>
              </w:r>
            </w:hyperlink>
          </w:p>
        </w:tc>
        <w:tc>
          <w:tcPr>
            <w:tcW w:w="5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420">
              <w:r>
                <w:rPr>
                  <w:rFonts w:ascii="Arial" w:cs="Arial" w:eastAsia="Arial" w:hAnsi="Arial"/>
                  <w:sz w:val="18"/>
                  <w:szCs w:val="18"/>
                  <w:color w:val="0000EE"/>
                  <w:w w:val="91"/>
                </w:rPr>
                <w:t>No. 333-237702), filed with the SEC on June 5, 2020)</w:t>
              </w:r>
            </w:hyperlink>
          </w:p>
        </w:tc>
        <w:tc>
          <w:tcPr>
            <w:tcW w:w="60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gridSpan w:val="19"/>
          </w:tcPr>
          <w:p>
            <w:pPr>
              <w:spacing w:after="0"/>
              <w:rPr>
                <w:rFonts w:ascii="Arial" w:cs="Arial" w:eastAsia="Arial" w:hAnsi="Arial"/>
                <w:sz w:val="18"/>
                <w:szCs w:val="18"/>
                <w:u w:val="single" w:color="auto"/>
                <w:color w:val="0000EE"/>
              </w:rPr>
            </w:pPr>
            <w:hyperlink w:anchor="page415">
              <w:r>
                <w:rPr>
                  <w:rFonts w:ascii="Arial" w:cs="Arial" w:eastAsia="Arial" w:hAnsi="Arial"/>
                  <w:sz w:val="18"/>
                  <w:szCs w:val="18"/>
                  <w:u w:val="single" w:color="auto"/>
                  <w:color w:val="0000EE"/>
                </w:rPr>
                <w:t>Opinion of CMS Derks Star Busmann N.V. regarding the validity of ordinary shares</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10.1*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gridSpan w:val="19"/>
          </w:tcPr>
          <w:p>
            <w:pPr>
              <w:spacing w:after="0"/>
              <w:rPr>
                <w:rFonts w:ascii="Arial" w:cs="Arial" w:eastAsia="Arial" w:hAnsi="Arial"/>
                <w:sz w:val="18"/>
                <w:szCs w:val="18"/>
                <w:u w:val="single" w:color="auto"/>
                <w:color w:val="0000EE"/>
              </w:rPr>
            </w:pPr>
            <w:hyperlink w:anchor="page423">
              <w:r>
                <w:rPr>
                  <w:rFonts w:ascii="Arial" w:cs="Arial" w:eastAsia="Arial" w:hAnsi="Arial"/>
                  <w:sz w:val="18"/>
                  <w:szCs w:val="18"/>
                  <w:u w:val="single" w:color="auto"/>
                  <w:color w:val="0000EE"/>
                </w:rPr>
                <w:t>Investor Rights and Lock-up Agreement</w:t>
              </w:r>
            </w:hyperlink>
          </w:p>
        </w:tc>
        <w:tc>
          <w:tcPr>
            <w:tcW w:w="0" w:type="dxa"/>
            <w:vAlign w:val="bottom"/>
          </w:tcPr>
          <w:p>
            <w:pPr>
              <w:spacing w:after="0"/>
              <w:rPr>
                <w:sz w:val="1"/>
                <w:szCs w:val="1"/>
                <w:color w:val="auto"/>
              </w:rPr>
            </w:pPr>
          </w:p>
        </w:tc>
      </w:tr>
      <w:tr>
        <w:trPr>
          <w:trHeight w:val="283"/>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w w:val="85"/>
              </w:rPr>
              <w:t>10.2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0" w:type="dxa"/>
            <w:vAlign w:val="bottom"/>
            <w:tcBorders>
              <w:bottom w:val="single" w:sz="8" w:color="0000EE"/>
            </w:tcBorders>
            <w:gridSpan w:val="9"/>
          </w:tcPr>
          <w:p>
            <w:pPr>
              <w:spacing w:after="0"/>
              <w:rPr>
                <w:rFonts w:ascii="Arial" w:cs="Arial" w:eastAsia="Arial" w:hAnsi="Arial"/>
                <w:sz w:val="18"/>
                <w:szCs w:val="18"/>
                <w:color w:val="0000EE"/>
                <w:w w:val="91"/>
              </w:rPr>
            </w:pPr>
            <w:hyperlink r:id="rId421">
              <w:r>
                <w:rPr>
                  <w:rFonts w:ascii="Arial" w:cs="Arial" w:eastAsia="Arial" w:hAnsi="Arial"/>
                  <w:sz w:val="18"/>
                  <w:szCs w:val="18"/>
                  <w:color w:val="0000EE"/>
                  <w:w w:val="91"/>
                </w:rPr>
                <w:t>Form of Subscription Agreement (incorporated by reference to Exhibit 10.2 to the Registration Statement on Form F-4 (Reg.</w:t>
              </w:r>
            </w:hyperlink>
          </w:p>
        </w:tc>
        <w:tc>
          <w:tcPr>
            <w:tcW w:w="9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19"/>
          </w:tcPr>
          <w:p>
            <w:pPr>
              <w:spacing w:after="0" w:line="196" w:lineRule="exact"/>
              <w:rPr>
                <w:rFonts w:ascii="Arial" w:cs="Arial" w:eastAsia="Arial" w:hAnsi="Arial"/>
                <w:sz w:val="18"/>
                <w:szCs w:val="18"/>
                <w:color w:val="0000EE"/>
              </w:rPr>
            </w:pPr>
            <w:hyperlink r:id="rId421">
              <w:r>
                <w:rPr>
                  <w:rFonts w:ascii="Arial" w:cs="Arial" w:eastAsia="Arial" w:hAnsi="Arial"/>
                  <w:sz w:val="18"/>
                  <w:szCs w:val="18"/>
                  <w:color w:val="0000EE"/>
                </w:rPr>
                <w:t>No. 333-237702), filed with the SEC on April 16, 2020)</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w w:val="85"/>
              </w:rPr>
              <w:t>10.3</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gridSpan w:val="19"/>
          </w:tcPr>
          <w:p>
            <w:pPr>
              <w:spacing w:after="0"/>
              <w:rPr>
                <w:rFonts w:ascii="Arial" w:cs="Arial" w:eastAsia="Arial" w:hAnsi="Arial"/>
                <w:sz w:val="18"/>
                <w:szCs w:val="18"/>
                <w:color w:val="0000EE"/>
                <w:w w:val="98"/>
              </w:rPr>
            </w:pPr>
            <w:hyperlink r:id="rId422">
              <w:r>
                <w:rPr>
                  <w:rFonts w:ascii="Arial" w:cs="Arial" w:eastAsia="Arial" w:hAnsi="Arial"/>
                  <w:sz w:val="18"/>
                  <w:szCs w:val="18"/>
                  <w:color w:val="0000EE"/>
                  <w:w w:val="98"/>
                </w:rPr>
                <w:t>Form of Sponsor Letter Agreement (incorporated by reference to Exhibit 10.3 to the Registration Statement on Form F-4 (Reg.</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422">
              <w:r>
                <w:rPr>
                  <w:rFonts w:ascii="Arial" w:cs="Arial" w:eastAsia="Arial" w:hAnsi="Arial"/>
                  <w:sz w:val="18"/>
                  <w:szCs w:val="18"/>
                  <w:color w:val="0000EE"/>
                </w:rPr>
                <w:t>No. 333-237702), filed with the SEC on April 16, 2020)</w:t>
              </w:r>
            </w:hyperlink>
          </w:p>
        </w:tc>
        <w:tc>
          <w:tcPr>
            <w:tcW w:w="8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10.4**</w:t>
            </w:r>
          </w:p>
        </w:tc>
        <w:tc>
          <w:tcPr>
            <w:tcW w:w="220" w:type="dxa"/>
            <w:vAlign w:val="bottom"/>
          </w:tcPr>
          <w:p>
            <w:pPr>
              <w:spacing w:after="0"/>
              <w:rPr>
                <w:sz w:val="24"/>
                <w:szCs w:val="24"/>
                <w:color w:val="auto"/>
              </w:rPr>
            </w:pPr>
          </w:p>
        </w:tc>
        <w:tc>
          <w:tcPr>
            <w:tcW w:w="9940" w:type="dxa"/>
            <w:vAlign w:val="bottom"/>
            <w:gridSpan w:val="19"/>
          </w:tcPr>
          <w:p>
            <w:pPr>
              <w:spacing w:after="0"/>
              <w:rPr>
                <w:rFonts w:ascii="Arial" w:cs="Arial" w:eastAsia="Arial" w:hAnsi="Arial"/>
                <w:sz w:val="18"/>
                <w:szCs w:val="18"/>
                <w:color w:val="0000EE"/>
                <w:w w:val="93"/>
              </w:rPr>
            </w:pPr>
            <w:hyperlink r:id="rId423">
              <w:r>
                <w:rPr>
                  <w:rFonts w:ascii="Arial" w:cs="Arial" w:eastAsia="Arial" w:hAnsi="Arial"/>
                  <w:sz w:val="18"/>
                  <w:szCs w:val="18"/>
                  <w:color w:val="0000EE"/>
                  <w:w w:val="93"/>
                </w:rPr>
                <w:t>Form of Indemnification Agreement (Executive Officers and Directors) (incorporated by reference to Exhibit 10.4 to Amendment No. 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423">
              <w:r>
                <w:rPr>
                  <w:rFonts w:ascii="Arial" w:cs="Arial" w:eastAsia="Arial" w:hAnsi="Arial"/>
                  <w:sz w:val="18"/>
                  <w:szCs w:val="18"/>
                  <w:color w:val="0000EE"/>
                </w:rPr>
                <w:t>to the Registration Statement on Form F-4 (Reg. No. 333-237702), filed with the SEC on June 5, 2020)</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460" w:type="dxa"/>
            <w:vAlign w:val="bottom"/>
            <w:gridSpan w:val="6"/>
            <w:shd w:val="clear" w:color="auto" w:fill="0000EE"/>
          </w:tcPr>
          <w:p>
            <w:pPr>
              <w:spacing w:after="0" w:line="20" w:lineRule="exact"/>
              <w:rPr>
                <w:sz w:val="1"/>
                <w:szCs w:val="1"/>
                <w:color w:val="auto"/>
              </w:rPr>
            </w:pPr>
          </w:p>
        </w:tc>
        <w:tc>
          <w:tcPr>
            <w:tcW w:w="242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9940" w:type="dxa"/>
            <w:vAlign w:val="bottom"/>
            <w:gridSpan w:val="19"/>
          </w:tcPr>
          <w:p>
            <w:pPr>
              <w:spacing w:after="0"/>
              <w:rPr>
                <w:rFonts w:ascii="Arial" w:cs="Arial" w:eastAsia="Arial" w:hAnsi="Arial"/>
                <w:sz w:val="18"/>
                <w:szCs w:val="18"/>
                <w:color w:val="0000EE"/>
                <w:w w:val="92"/>
              </w:rPr>
            </w:pPr>
            <w:hyperlink r:id="rId424">
              <w:r>
                <w:rPr>
                  <w:rFonts w:ascii="Arial" w:cs="Arial" w:eastAsia="Arial" w:hAnsi="Arial"/>
                  <w:sz w:val="18"/>
                  <w:szCs w:val="18"/>
                  <w:color w:val="0000EE"/>
                  <w:w w:val="92"/>
                </w:rPr>
                <w:t>Collaboration &amp; License Agreement, dated as of August 14, 2015, by and between Immatics US, Inc. and The University of Texas M.D.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880" w:type="dxa"/>
            <w:vAlign w:val="bottom"/>
            <w:gridSpan w:val="1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424">
              <w:r>
                <w:rPr>
                  <w:rFonts w:ascii="Arial" w:cs="Arial" w:eastAsia="Arial" w:hAnsi="Arial"/>
                  <w:sz w:val="18"/>
                  <w:szCs w:val="18"/>
                  <w:color w:val="0000EE"/>
                  <w:w w:val="91"/>
                </w:rPr>
                <w:t>Anderson Center (incorporated by reference to Exhibit 10.5 to the Registration Statement on Form F-4 (Reg. No. 333-237702), filed with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19"/>
          </w:tcPr>
          <w:p>
            <w:pPr>
              <w:spacing w:after="0" w:line="196" w:lineRule="exact"/>
              <w:rPr>
                <w:rFonts w:ascii="Arial" w:cs="Arial" w:eastAsia="Arial" w:hAnsi="Arial"/>
                <w:sz w:val="18"/>
                <w:szCs w:val="18"/>
                <w:color w:val="0000EE"/>
              </w:rPr>
            </w:pPr>
            <w:hyperlink r:id="rId424">
              <w:r>
                <w:rPr>
                  <w:rFonts w:ascii="Arial" w:cs="Arial" w:eastAsia="Arial" w:hAnsi="Arial"/>
                  <w:sz w:val="18"/>
                  <w:szCs w:val="18"/>
                  <w:color w:val="0000EE"/>
                </w:rPr>
                <w:t>the SEC on April 16, 2020)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9" w:right="49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Exhibit</w:t>
            </w: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36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36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gridSpan w:val="3"/>
          </w:tcPr>
          <w:p>
            <w:pPr>
              <w:spacing w:after="0"/>
              <w:rPr>
                <w:sz w:val="20"/>
                <w:szCs w:val="20"/>
                <w:color w:val="auto"/>
              </w:rPr>
            </w:pPr>
            <w:r>
              <w:rPr>
                <w:rFonts w:ascii="Arial" w:cs="Arial" w:eastAsia="Arial" w:hAnsi="Arial"/>
                <w:sz w:val="18"/>
                <w:szCs w:val="18"/>
                <w:color w:val="auto"/>
              </w:rPr>
              <w:t>10.6†</w:t>
            </w:r>
          </w:p>
        </w:tc>
        <w:tc>
          <w:tcPr>
            <w:tcW w:w="10000" w:type="dxa"/>
            <w:vAlign w:val="bottom"/>
            <w:tcBorders>
              <w:bottom w:val="single" w:sz="8" w:color="0000EE"/>
            </w:tcBorders>
            <w:gridSpan w:val="25"/>
          </w:tcPr>
          <w:p>
            <w:pPr>
              <w:spacing w:after="0"/>
              <w:rPr>
                <w:rFonts w:ascii="Arial" w:cs="Arial" w:eastAsia="Arial" w:hAnsi="Arial"/>
                <w:sz w:val="18"/>
                <w:szCs w:val="18"/>
                <w:color w:val="0000EE"/>
                <w:w w:val="90"/>
              </w:rPr>
            </w:pPr>
            <w:hyperlink r:id="rId426">
              <w:r>
                <w:rPr>
                  <w:rFonts w:ascii="Arial" w:cs="Arial" w:eastAsia="Arial" w:hAnsi="Arial"/>
                  <w:sz w:val="18"/>
                  <w:szCs w:val="18"/>
                  <w:color w:val="0000EE"/>
                  <w:w w:val="90"/>
                </w:rPr>
                <w:t>License Royalty Adjustment Agreement, dated as of January 5, 2016, by and between Immatics US, Inc. and The Board of Regents of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426">
              <w:r>
                <w:rPr>
                  <w:rFonts w:ascii="Arial" w:cs="Arial" w:eastAsia="Arial" w:hAnsi="Arial"/>
                  <w:sz w:val="18"/>
                  <w:szCs w:val="18"/>
                  <w:color w:val="0000EE"/>
                  <w:w w:val="91"/>
                </w:rPr>
                <w:t>University of Texas System on behalf of the University of Texas M.D. Anderson Cancer Center (incorporated by reference to Exhibit 10.6</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20" w:type="dxa"/>
            <w:vAlign w:val="bottom"/>
            <w:gridSpan w:val="26"/>
          </w:tcPr>
          <w:p>
            <w:pPr>
              <w:spacing w:after="0" w:line="196" w:lineRule="exact"/>
              <w:rPr>
                <w:rFonts w:ascii="Arial" w:cs="Arial" w:eastAsia="Arial" w:hAnsi="Arial"/>
                <w:sz w:val="18"/>
                <w:szCs w:val="18"/>
                <w:color w:val="0000EE"/>
              </w:rPr>
            </w:pPr>
            <w:hyperlink r:id="rId426">
              <w:r>
                <w:rPr>
                  <w:rFonts w:ascii="Arial" w:cs="Arial" w:eastAsia="Arial" w:hAnsi="Arial"/>
                  <w:sz w:val="18"/>
                  <w:szCs w:val="18"/>
                  <w:color w:val="0000EE"/>
                </w:rPr>
                <w:t>to the Registration Statement on Form F-4 (Reg. No. 333-237702), filed with the SEC on April 16, 2020)</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gridSpan w:val="3"/>
          </w:tcPr>
          <w:p>
            <w:pPr>
              <w:spacing w:after="0"/>
              <w:rPr>
                <w:sz w:val="20"/>
                <w:szCs w:val="20"/>
                <w:color w:val="auto"/>
              </w:rPr>
            </w:pPr>
            <w:r>
              <w:rPr>
                <w:rFonts w:ascii="Arial" w:cs="Arial" w:eastAsia="Arial" w:hAnsi="Arial"/>
                <w:sz w:val="18"/>
                <w:szCs w:val="18"/>
                <w:color w:val="auto"/>
              </w:rPr>
              <w:t>10.7†</w:t>
            </w:r>
          </w:p>
        </w:tc>
        <w:tc>
          <w:tcPr>
            <w:tcW w:w="9640" w:type="dxa"/>
            <w:vAlign w:val="bottom"/>
            <w:tcBorders>
              <w:bottom w:val="single" w:sz="8" w:color="0000EE"/>
            </w:tcBorders>
            <w:gridSpan w:val="15"/>
          </w:tcPr>
          <w:p>
            <w:pPr>
              <w:spacing w:after="0"/>
              <w:rPr>
                <w:rFonts w:ascii="Arial" w:cs="Arial" w:eastAsia="Arial" w:hAnsi="Arial"/>
                <w:sz w:val="18"/>
                <w:szCs w:val="18"/>
                <w:color w:val="0000EE"/>
                <w:w w:val="91"/>
              </w:rPr>
            </w:pPr>
            <w:hyperlink r:id="rId427">
              <w:r>
                <w:rPr>
                  <w:rFonts w:ascii="Arial" w:cs="Arial" w:eastAsia="Arial" w:hAnsi="Arial"/>
                  <w:sz w:val="18"/>
                  <w:szCs w:val="18"/>
                  <w:color w:val="0000EE"/>
                  <w:w w:val="91"/>
                </w:rPr>
                <w:t>Master Clinical Trial Agreement, dated as of December 1, 2016, by and between Immatics US, Inc. and The University of Texas MD</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427">
              <w:r>
                <w:rPr>
                  <w:rFonts w:ascii="Arial" w:cs="Arial" w:eastAsia="Arial" w:hAnsi="Arial"/>
                  <w:sz w:val="18"/>
                  <w:szCs w:val="18"/>
                  <w:color w:val="0000EE"/>
                  <w:w w:val="91"/>
                </w:rPr>
                <w:t>Anderson Center (incorporated by reference to Exhibit 10.7 to the Registration Statement on Form F-4 (Reg. No. 333-237702), filed with</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20" w:type="dxa"/>
            <w:vAlign w:val="bottom"/>
            <w:gridSpan w:val="26"/>
          </w:tcPr>
          <w:p>
            <w:pPr>
              <w:spacing w:after="0" w:line="196" w:lineRule="exact"/>
              <w:rPr>
                <w:rFonts w:ascii="Arial" w:cs="Arial" w:eastAsia="Arial" w:hAnsi="Arial"/>
                <w:sz w:val="18"/>
                <w:szCs w:val="18"/>
                <w:color w:val="0000EE"/>
              </w:rPr>
            </w:pPr>
            <w:hyperlink r:id="rId427">
              <w:r>
                <w:rPr>
                  <w:rFonts w:ascii="Arial" w:cs="Arial" w:eastAsia="Arial" w:hAnsi="Arial"/>
                  <w:sz w:val="18"/>
                  <w:szCs w:val="18"/>
                  <w:color w:val="0000EE"/>
                </w:rPr>
                <w:t>the SEC on April 16, 2020)</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3"/>
          </w:tcPr>
          <w:p>
            <w:pPr>
              <w:spacing w:after="0"/>
              <w:rPr>
                <w:sz w:val="20"/>
                <w:szCs w:val="20"/>
                <w:color w:val="auto"/>
              </w:rPr>
            </w:pPr>
            <w:r>
              <w:rPr>
                <w:rFonts w:ascii="Arial" w:cs="Arial" w:eastAsia="Arial" w:hAnsi="Arial"/>
                <w:sz w:val="18"/>
                <w:szCs w:val="18"/>
                <w:color w:val="auto"/>
              </w:rPr>
              <w:t>10.8†</w:t>
            </w:r>
          </w:p>
        </w:tc>
        <w:tc>
          <w:tcPr>
            <w:tcW w:w="9740" w:type="dxa"/>
            <w:vAlign w:val="bottom"/>
            <w:tcBorders>
              <w:bottom w:val="single" w:sz="8" w:color="0000EE"/>
            </w:tcBorders>
            <w:gridSpan w:val="18"/>
          </w:tcPr>
          <w:p>
            <w:pPr>
              <w:spacing w:after="0"/>
              <w:rPr>
                <w:rFonts w:ascii="Arial" w:cs="Arial" w:eastAsia="Arial" w:hAnsi="Arial"/>
                <w:sz w:val="18"/>
                <w:szCs w:val="18"/>
                <w:color w:val="0000EE"/>
                <w:w w:val="91"/>
              </w:rPr>
            </w:pPr>
            <w:hyperlink r:id="rId428">
              <w:r>
                <w:rPr>
                  <w:rFonts w:ascii="Arial" w:cs="Arial" w:eastAsia="Arial" w:hAnsi="Arial"/>
                  <w:sz w:val="18"/>
                  <w:szCs w:val="18"/>
                  <w:color w:val="0000EE"/>
                  <w:w w:val="91"/>
                </w:rPr>
                <w:t>Restricted Stock Acquisition Agreement, dated as of August 14, 2015, by and between Immatics US, Inc. and The University of Texas</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7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428">
              <w:r>
                <w:rPr>
                  <w:rFonts w:ascii="Arial" w:cs="Arial" w:eastAsia="Arial" w:hAnsi="Arial"/>
                  <w:sz w:val="18"/>
                  <w:szCs w:val="18"/>
                  <w:color w:val="0000EE"/>
                  <w:w w:val="91"/>
                </w:rPr>
                <w:t>M.D. Anderson Cancer Center (incorporated by reference to Exhibit 10.8 to the Registration Statement on</w:t>
              </w:r>
            </w:hyperlink>
          </w:p>
        </w:tc>
        <w:tc>
          <w:tcPr>
            <w:tcW w:w="23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20" w:type="dxa"/>
            <w:vAlign w:val="bottom"/>
            <w:gridSpan w:val="26"/>
          </w:tcPr>
          <w:p>
            <w:pPr>
              <w:spacing w:after="0" w:line="196" w:lineRule="exact"/>
              <w:rPr>
                <w:rFonts w:ascii="Arial" w:cs="Arial" w:eastAsia="Arial" w:hAnsi="Arial"/>
                <w:sz w:val="18"/>
                <w:szCs w:val="18"/>
                <w:color w:val="0000EE"/>
              </w:rPr>
            </w:pPr>
            <w:hyperlink r:id="rId428">
              <w:r>
                <w:rPr>
                  <w:rFonts w:ascii="Arial" w:cs="Arial" w:eastAsia="Arial" w:hAnsi="Arial"/>
                  <w:sz w:val="18"/>
                  <w:szCs w:val="18"/>
                  <w:color w:val="0000EE"/>
                </w:rPr>
                <w:t>Form F-4 (Reg. No. 333-237702), filed with the SEC on April 16, 2020)</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3"/>
          </w:tcPr>
          <w:p>
            <w:pPr>
              <w:spacing w:after="0"/>
              <w:rPr>
                <w:sz w:val="20"/>
                <w:szCs w:val="20"/>
                <w:color w:val="auto"/>
              </w:rPr>
            </w:pPr>
            <w:r>
              <w:rPr>
                <w:rFonts w:ascii="Arial" w:cs="Arial" w:eastAsia="Arial" w:hAnsi="Arial"/>
                <w:sz w:val="18"/>
                <w:szCs w:val="18"/>
                <w:color w:val="auto"/>
              </w:rPr>
              <w:t>10.9†</w:t>
            </w:r>
          </w:p>
        </w:tc>
        <w:tc>
          <w:tcPr>
            <w:tcW w:w="9920" w:type="dxa"/>
            <w:vAlign w:val="bottom"/>
            <w:tcBorders>
              <w:bottom w:val="single" w:sz="8" w:color="0000EE"/>
            </w:tcBorders>
            <w:gridSpan w:val="21"/>
          </w:tcPr>
          <w:p>
            <w:pPr>
              <w:spacing w:after="0"/>
              <w:rPr>
                <w:rFonts w:ascii="Arial" w:cs="Arial" w:eastAsia="Arial" w:hAnsi="Arial"/>
                <w:sz w:val="18"/>
                <w:szCs w:val="18"/>
                <w:color w:val="0000EE"/>
                <w:w w:val="91"/>
              </w:rPr>
            </w:pPr>
            <w:hyperlink r:id="rId429">
              <w:r>
                <w:rPr>
                  <w:rFonts w:ascii="Arial" w:cs="Arial" w:eastAsia="Arial" w:hAnsi="Arial"/>
                  <w:sz w:val="18"/>
                  <w:szCs w:val="18"/>
                  <w:color w:val="0000EE"/>
                  <w:w w:val="91"/>
                </w:rPr>
                <w:t>Non-Exclusive License Agreement, dated as of August 3, 2015, by and between Immatics Biotechnologies GmbH and Stichting Sanquin</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429">
              <w:r>
                <w:rPr>
                  <w:rFonts w:ascii="Arial" w:cs="Arial" w:eastAsia="Arial" w:hAnsi="Arial"/>
                  <w:sz w:val="18"/>
                  <w:szCs w:val="18"/>
                  <w:color w:val="0000EE"/>
                  <w:w w:val="92"/>
                </w:rPr>
                <w:t>Bloedvoorziening (incorporated by reference to Exhibit 10.9 to the Registration Statement on Form F-4 (Reg. No. 333-237702), filed</w:t>
              </w:r>
            </w:hyperlink>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429">
              <w:r>
                <w:rPr>
                  <w:rFonts w:ascii="Arial" w:cs="Arial" w:eastAsia="Arial" w:hAnsi="Arial"/>
                  <w:sz w:val="18"/>
                  <w:szCs w:val="18"/>
                  <w:color w:val="0000EE"/>
                  <w:w w:val="93"/>
                </w:rPr>
                <w:t>with the SEC on April 16, 2020)</w:t>
              </w:r>
            </w:hyperlink>
          </w:p>
        </w:tc>
        <w:tc>
          <w:tcPr>
            <w:tcW w:w="76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gridSpan w:val="3"/>
          </w:tcPr>
          <w:p>
            <w:pPr>
              <w:spacing w:after="0"/>
              <w:rPr>
                <w:sz w:val="20"/>
                <w:szCs w:val="20"/>
                <w:color w:val="auto"/>
              </w:rPr>
            </w:pPr>
            <w:r>
              <w:rPr>
                <w:rFonts w:ascii="Arial" w:cs="Arial" w:eastAsia="Arial" w:hAnsi="Arial"/>
                <w:sz w:val="18"/>
                <w:szCs w:val="18"/>
                <w:color w:val="auto"/>
              </w:rPr>
              <w:t>10.10†</w:t>
            </w:r>
          </w:p>
        </w:tc>
        <w:tc>
          <w:tcPr>
            <w:tcW w:w="9960" w:type="dxa"/>
            <w:vAlign w:val="bottom"/>
            <w:tcBorders>
              <w:bottom w:val="single" w:sz="8" w:color="0000EE"/>
            </w:tcBorders>
            <w:gridSpan w:val="23"/>
          </w:tcPr>
          <w:p>
            <w:pPr>
              <w:spacing w:after="0"/>
              <w:rPr>
                <w:rFonts w:ascii="Arial" w:cs="Arial" w:eastAsia="Arial" w:hAnsi="Arial"/>
                <w:sz w:val="18"/>
                <w:szCs w:val="18"/>
                <w:color w:val="0000EE"/>
                <w:w w:val="90"/>
              </w:rPr>
            </w:pPr>
            <w:hyperlink r:id="rId430">
              <w:r>
                <w:rPr>
                  <w:rFonts w:ascii="Arial" w:cs="Arial" w:eastAsia="Arial" w:hAnsi="Arial"/>
                  <w:sz w:val="18"/>
                  <w:szCs w:val="18"/>
                  <w:color w:val="0000EE"/>
                  <w:w w:val="90"/>
                </w:rPr>
                <w:t>Facilities/Equipment Use and Services Agreement, dated as of September 1, 2015, by and between Immatics US, Inc. and The University</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20" w:type="dxa"/>
            <w:vAlign w:val="bottom"/>
            <w:gridSpan w:val="26"/>
          </w:tcPr>
          <w:p>
            <w:pPr>
              <w:spacing w:after="0" w:line="196" w:lineRule="exact"/>
              <w:rPr>
                <w:rFonts w:ascii="Arial" w:cs="Arial" w:eastAsia="Arial" w:hAnsi="Arial"/>
                <w:sz w:val="18"/>
                <w:szCs w:val="18"/>
                <w:color w:val="0000EE"/>
              </w:rPr>
            </w:pPr>
            <w:hyperlink r:id="rId430">
              <w:r>
                <w:rPr>
                  <w:rFonts w:ascii="Arial" w:cs="Arial" w:eastAsia="Arial" w:hAnsi="Arial"/>
                  <w:sz w:val="18"/>
                  <w:szCs w:val="18"/>
                  <w:color w:val="0000EE"/>
                </w:rPr>
                <w:t>of Texas Health Science Center at Houston (incorporated by reference to Exhibit 10.10 to the Registration Statement on</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430">
              <w:r>
                <w:rPr>
                  <w:rFonts w:ascii="Arial" w:cs="Arial" w:eastAsia="Arial" w:hAnsi="Arial"/>
                  <w:sz w:val="18"/>
                  <w:szCs w:val="18"/>
                  <w:color w:val="0000EE"/>
                </w:rPr>
                <w:t>Form F-4 (Reg. No. 333-237702), filed with the SEC on April 16, 2020)</w:t>
              </w:r>
            </w:hyperlink>
          </w:p>
        </w:tc>
        <w:tc>
          <w:tcPr>
            <w:tcW w:w="1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3"/>
          </w:tcPr>
          <w:p>
            <w:pPr>
              <w:spacing w:after="0"/>
              <w:rPr>
                <w:sz w:val="20"/>
                <w:szCs w:val="20"/>
                <w:color w:val="auto"/>
              </w:rPr>
            </w:pPr>
            <w:r>
              <w:rPr>
                <w:rFonts w:ascii="Arial" w:cs="Arial" w:eastAsia="Arial" w:hAnsi="Arial"/>
                <w:sz w:val="18"/>
                <w:szCs w:val="18"/>
                <w:color w:val="auto"/>
              </w:rPr>
              <w:t>10.11†</w:t>
            </w:r>
          </w:p>
        </w:tc>
        <w:tc>
          <w:tcPr>
            <w:tcW w:w="10020" w:type="dxa"/>
            <w:vAlign w:val="bottom"/>
            <w:tcBorders>
              <w:bottom w:val="single" w:sz="8" w:color="0000EE"/>
            </w:tcBorders>
            <w:gridSpan w:val="26"/>
          </w:tcPr>
          <w:p>
            <w:pPr>
              <w:spacing w:after="0"/>
              <w:rPr>
                <w:rFonts w:ascii="Arial" w:cs="Arial" w:eastAsia="Arial" w:hAnsi="Arial"/>
                <w:sz w:val="18"/>
                <w:szCs w:val="18"/>
                <w:color w:val="0000EE"/>
                <w:w w:val="90"/>
              </w:rPr>
            </w:pPr>
            <w:hyperlink r:id="rId431">
              <w:r>
                <w:rPr>
                  <w:rFonts w:ascii="Arial" w:cs="Arial" w:eastAsia="Arial" w:hAnsi="Arial"/>
                  <w:sz w:val="18"/>
                  <w:szCs w:val="18"/>
                  <w:color w:val="0000EE"/>
                  <w:w w:val="90"/>
                </w:rPr>
                <w:t>Amendment Number 1 — Facilities/Equipment Use and Services Agreement, dated as of February 1, 2016, by and between Immatics US,</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20" w:type="dxa"/>
            <w:vAlign w:val="bottom"/>
            <w:gridSpan w:val="26"/>
          </w:tcPr>
          <w:p>
            <w:pPr>
              <w:spacing w:after="0" w:line="196" w:lineRule="exact"/>
              <w:rPr>
                <w:rFonts w:ascii="Arial" w:cs="Arial" w:eastAsia="Arial" w:hAnsi="Arial"/>
                <w:sz w:val="18"/>
                <w:szCs w:val="18"/>
                <w:color w:val="0000EE"/>
                <w:w w:val="96"/>
              </w:rPr>
            </w:pPr>
            <w:hyperlink r:id="rId431">
              <w:r>
                <w:rPr>
                  <w:rFonts w:ascii="Arial" w:cs="Arial" w:eastAsia="Arial" w:hAnsi="Arial"/>
                  <w:sz w:val="18"/>
                  <w:szCs w:val="18"/>
                  <w:color w:val="0000EE"/>
                  <w:w w:val="96"/>
                </w:rPr>
                <w:t>Inc. and The University of Texas Health Science Center at Houston (incorporated by reference to Exhibit 10.11 to the Registration</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431">
              <w:r>
                <w:rPr>
                  <w:rFonts w:ascii="Arial" w:cs="Arial" w:eastAsia="Arial" w:hAnsi="Arial"/>
                  <w:sz w:val="18"/>
                  <w:szCs w:val="18"/>
                  <w:color w:val="0000EE"/>
                  <w:w w:val="91"/>
                </w:rPr>
                <w:t>Statement on Form F-4 (Reg. No. 333-237702), filed with the SEC on April 16, 2020)</w:t>
              </w:r>
            </w:hyperlink>
          </w:p>
        </w:tc>
        <w:tc>
          <w:tcPr>
            <w:tcW w:w="3160" w:type="dxa"/>
            <w:vAlign w:val="bottom"/>
            <w:tcBorders>
              <w:top w:val="single" w:sz="8" w:color="0000EE"/>
            </w:tcBorders>
            <w:gridSpan w:val="5"/>
          </w:tcPr>
          <w:p>
            <w:pPr>
              <w:spacing w:after="0"/>
              <w:rPr>
                <w:sz w:val="17"/>
                <w:szCs w:val="17"/>
                <w:color w:val="auto"/>
              </w:rPr>
            </w:pPr>
          </w:p>
        </w:tc>
        <w:tc>
          <w:tcPr>
            <w:tcW w:w="6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gridSpan w:val="3"/>
          </w:tcPr>
          <w:p>
            <w:pPr>
              <w:spacing w:after="0"/>
              <w:rPr>
                <w:sz w:val="20"/>
                <w:szCs w:val="20"/>
                <w:color w:val="auto"/>
              </w:rPr>
            </w:pPr>
            <w:r>
              <w:rPr>
                <w:rFonts w:ascii="Arial" w:cs="Arial" w:eastAsia="Arial" w:hAnsi="Arial"/>
                <w:sz w:val="18"/>
                <w:szCs w:val="18"/>
                <w:color w:val="auto"/>
              </w:rPr>
              <w:t>10.12†</w:t>
            </w:r>
          </w:p>
        </w:tc>
        <w:tc>
          <w:tcPr>
            <w:tcW w:w="9980" w:type="dxa"/>
            <w:vAlign w:val="bottom"/>
            <w:tcBorders>
              <w:bottom w:val="single" w:sz="8" w:color="0000EE"/>
            </w:tcBorders>
            <w:gridSpan w:val="24"/>
          </w:tcPr>
          <w:p>
            <w:pPr>
              <w:spacing w:after="0"/>
              <w:rPr>
                <w:rFonts w:ascii="Arial" w:cs="Arial" w:eastAsia="Arial" w:hAnsi="Arial"/>
                <w:sz w:val="18"/>
                <w:szCs w:val="18"/>
                <w:color w:val="0000EE"/>
                <w:w w:val="91"/>
              </w:rPr>
            </w:pPr>
            <w:hyperlink r:id="rId432">
              <w:r>
                <w:rPr>
                  <w:rFonts w:ascii="Arial" w:cs="Arial" w:eastAsia="Arial" w:hAnsi="Arial"/>
                  <w:sz w:val="18"/>
                  <w:szCs w:val="18"/>
                  <w:color w:val="0000EE"/>
                  <w:w w:val="91"/>
                </w:rPr>
                <w:t>Amendment Number 2 — Facilities/Equipment Use and Services Agreement, dated as of August 10, 2016, by and between Immatics US,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432">
              <w:r>
                <w:rPr>
                  <w:rFonts w:ascii="Arial" w:cs="Arial" w:eastAsia="Arial" w:hAnsi="Arial"/>
                  <w:sz w:val="18"/>
                  <w:szCs w:val="18"/>
                  <w:color w:val="0000EE"/>
                  <w:w w:val="90"/>
                </w:rPr>
                <w:t>Inc. and The University of Texas Health Science Center at Houston (incorporated by reference to Exhibit 10.12 to the Registration</w:t>
              </w:r>
            </w:hyperlink>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32">
              <w:r>
                <w:rPr>
                  <w:rFonts w:ascii="Arial" w:cs="Arial" w:eastAsia="Arial" w:hAnsi="Arial"/>
                  <w:sz w:val="18"/>
                  <w:szCs w:val="18"/>
                  <w:color w:val="0000EE"/>
                  <w:w w:val="91"/>
                </w:rPr>
                <w:t>Statement on Form F-4 (Reg. No. 333-237702), filed with the SEC on April 16, 2020)</w:t>
              </w:r>
            </w:hyperlink>
          </w:p>
        </w:tc>
        <w:tc>
          <w:tcPr>
            <w:tcW w:w="38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gridSpan w:val="3"/>
          </w:tcPr>
          <w:p>
            <w:pPr>
              <w:spacing w:after="0"/>
              <w:rPr>
                <w:sz w:val="20"/>
                <w:szCs w:val="20"/>
                <w:color w:val="auto"/>
              </w:rPr>
            </w:pPr>
            <w:r>
              <w:rPr>
                <w:rFonts w:ascii="Arial" w:cs="Arial" w:eastAsia="Arial" w:hAnsi="Arial"/>
                <w:sz w:val="18"/>
                <w:szCs w:val="18"/>
                <w:color w:val="auto"/>
              </w:rPr>
              <w:t>10.13†</w:t>
            </w:r>
          </w:p>
        </w:tc>
        <w:tc>
          <w:tcPr>
            <w:tcW w:w="10020" w:type="dxa"/>
            <w:vAlign w:val="bottom"/>
            <w:gridSpan w:val="26"/>
          </w:tcPr>
          <w:p>
            <w:pPr>
              <w:spacing w:after="0"/>
              <w:rPr>
                <w:rFonts w:ascii="Arial" w:cs="Arial" w:eastAsia="Arial" w:hAnsi="Arial"/>
                <w:sz w:val="18"/>
                <w:szCs w:val="18"/>
                <w:color w:val="0000EE"/>
                <w:w w:val="91"/>
              </w:rPr>
            </w:pPr>
            <w:hyperlink r:id="rId433">
              <w:r>
                <w:rPr>
                  <w:rFonts w:ascii="Arial" w:cs="Arial" w:eastAsia="Arial" w:hAnsi="Arial"/>
                  <w:sz w:val="18"/>
                  <w:szCs w:val="18"/>
                  <w:color w:val="0000EE"/>
                  <w:w w:val="91"/>
                </w:rPr>
                <w:t>Amendment Number 3 — Facilities/Equipment Use and Services Agreement, dated as of October 1, 2016, by and between Immatics US,</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433">
              <w:r>
                <w:rPr>
                  <w:rFonts w:ascii="Arial" w:cs="Arial" w:eastAsia="Arial" w:hAnsi="Arial"/>
                  <w:sz w:val="18"/>
                  <w:szCs w:val="18"/>
                  <w:color w:val="0000EE"/>
                  <w:w w:val="90"/>
                </w:rPr>
                <w:t>Inc. and The University of Texas Health Science Center at Houston (incorporated by reference to Exhibit 10.13 to the Registration</w:t>
              </w:r>
            </w:hyperlink>
          </w:p>
        </w:tc>
        <w:tc>
          <w:tcPr>
            <w:tcW w:w="540" w:type="dxa"/>
            <w:vAlign w:val="bottom"/>
            <w:tcBorders>
              <w:top w:val="single" w:sz="8" w:color="0000EE"/>
            </w:tcBorders>
            <w:gridSpan w:val="8"/>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33">
              <w:r>
                <w:rPr>
                  <w:rFonts w:ascii="Arial" w:cs="Arial" w:eastAsia="Arial" w:hAnsi="Arial"/>
                  <w:sz w:val="18"/>
                  <w:szCs w:val="18"/>
                  <w:color w:val="0000EE"/>
                  <w:w w:val="91"/>
                </w:rPr>
                <w:t>Statement on Form F-4 (Reg. No. 333-237702), filed with the SEC on April 16, 2020)</w:t>
              </w:r>
            </w:hyperlink>
          </w:p>
        </w:tc>
        <w:tc>
          <w:tcPr>
            <w:tcW w:w="38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gridSpan w:val="3"/>
          </w:tcPr>
          <w:p>
            <w:pPr>
              <w:spacing w:after="0"/>
              <w:rPr>
                <w:sz w:val="20"/>
                <w:szCs w:val="20"/>
                <w:color w:val="auto"/>
              </w:rPr>
            </w:pPr>
            <w:r>
              <w:rPr>
                <w:rFonts w:ascii="Arial" w:cs="Arial" w:eastAsia="Arial" w:hAnsi="Arial"/>
                <w:sz w:val="18"/>
                <w:szCs w:val="18"/>
                <w:color w:val="auto"/>
              </w:rPr>
              <w:t>10.14†</w:t>
            </w:r>
          </w:p>
        </w:tc>
        <w:tc>
          <w:tcPr>
            <w:tcW w:w="10020" w:type="dxa"/>
            <w:vAlign w:val="bottom"/>
            <w:gridSpan w:val="26"/>
          </w:tcPr>
          <w:p>
            <w:pPr>
              <w:spacing w:after="0"/>
              <w:rPr>
                <w:rFonts w:ascii="Arial" w:cs="Arial" w:eastAsia="Arial" w:hAnsi="Arial"/>
                <w:sz w:val="18"/>
                <w:szCs w:val="18"/>
                <w:color w:val="0000EE"/>
                <w:w w:val="94"/>
              </w:rPr>
            </w:pPr>
            <w:hyperlink r:id="rId434">
              <w:r>
                <w:rPr>
                  <w:rFonts w:ascii="Arial" w:cs="Arial" w:eastAsia="Arial" w:hAnsi="Arial"/>
                  <w:sz w:val="18"/>
                  <w:szCs w:val="18"/>
                  <w:color w:val="0000EE"/>
                  <w:w w:val="94"/>
                </w:rPr>
                <w:t>Amendment Number 4 — Facilities/Equipment Use and Services Agreement, dated as of April 1, 2017, by and between Immatics US,</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434">
              <w:r>
                <w:rPr>
                  <w:rFonts w:ascii="Arial" w:cs="Arial" w:eastAsia="Arial" w:hAnsi="Arial"/>
                  <w:sz w:val="18"/>
                  <w:szCs w:val="18"/>
                  <w:color w:val="0000EE"/>
                  <w:w w:val="90"/>
                </w:rPr>
                <w:t>Inc. and The University of Texas Health Science Center at Houston (incorporated by reference to Exhibit 10.14 to the Registration</w:t>
              </w:r>
            </w:hyperlink>
          </w:p>
        </w:tc>
        <w:tc>
          <w:tcPr>
            <w:tcW w:w="340" w:type="dxa"/>
            <w:vAlign w:val="bottom"/>
            <w:tcBorders>
              <w:top w:val="single" w:sz="8" w:color="0000EE"/>
            </w:tcBorders>
            <w:gridSpan w:val="4"/>
          </w:tcPr>
          <w:p>
            <w:pPr>
              <w:spacing w:after="0"/>
              <w:rPr>
                <w:sz w:val="17"/>
                <w:szCs w:val="17"/>
                <w:color w:val="auto"/>
              </w:rPr>
            </w:pPr>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34">
              <w:r>
                <w:rPr>
                  <w:rFonts w:ascii="Arial" w:cs="Arial" w:eastAsia="Arial" w:hAnsi="Arial"/>
                  <w:sz w:val="18"/>
                  <w:szCs w:val="18"/>
                  <w:color w:val="0000EE"/>
                  <w:w w:val="91"/>
                </w:rPr>
                <w:t>Statement on Form F-4 (Reg. No. 333-237702), filed with the SEC on April 16, 2020)</w:t>
              </w:r>
            </w:hyperlink>
          </w:p>
        </w:tc>
        <w:tc>
          <w:tcPr>
            <w:tcW w:w="38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gridSpan w:val="3"/>
          </w:tcPr>
          <w:p>
            <w:pPr>
              <w:spacing w:after="0"/>
              <w:rPr>
                <w:sz w:val="20"/>
                <w:szCs w:val="20"/>
                <w:color w:val="auto"/>
              </w:rPr>
            </w:pPr>
            <w:r>
              <w:rPr>
                <w:rFonts w:ascii="Arial" w:cs="Arial" w:eastAsia="Arial" w:hAnsi="Arial"/>
                <w:sz w:val="18"/>
                <w:szCs w:val="18"/>
                <w:color w:val="auto"/>
              </w:rPr>
              <w:t>10.15†</w:t>
            </w:r>
          </w:p>
        </w:tc>
        <w:tc>
          <w:tcPr>
            <w:tcW w:w="10020" w:type="dxa"/>
            <w:vAlign w:val="bottom"/>
            <w:gridSpan w:val="26"/>
          </w:tcPr>
          <w:p>
            <w:pPr>
              <w:spacing w:after="0"/>
              <w:rPr>
                <w:rFonts w:ascii="Arial" w:cs="Arial" w:eastAsia="Arial" w:hAnsi="Arial"/>
                <w:sz w:val="18"/>
                <w:szCs w:val="18"/>
                <w:color w:val="0000EE"/>
                <w:w w:val="91"/>
              </w:rPr>
            </w:pPr>
            <w:hyperlink r:id="rId435">
              <w:r>
                <w:rPr>
                  <w:rFonts w:ascii="Arial" w:cs="Arial" w:eastAsia="Arial" w:hAnsi="Arial"/>
                  <w:sz w:val="18"/>
                  <w:szCs w:val="18"/>
                  <w:color w:val="0000EE"/>
                  <w:w w:val="91"/>
                </w:rPr>
                <w:t>Amendment Number 5 — Facilities/Equipment Use and Services Agreement, dated as of July 1, 2018, by and between Immatics US, Inc.</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r:id="rId435">
              <w:r>
                <w:rPr>
                  <w:rFonts w:ascii="Arial" w:cs="Arial" w:eastAsia="Arial" w:hAnsi="Arial"/>
                  <w:sz w:val="18"/>
                  <w:szCs w:val="18"/>
                  <w:color w:val="0000EE"/>
                  <w:w w:val="90"/>
                </w:rPr>
                <w:t>and The University of Texas Health Science Center at Houston (incorporated by reference to Exhibit 10.15 to the Registration Statement</w:t>
              </w:r>
            </w:hyperlink>
          </w:p>
        </w:tc>
        <w:tc>
          <w:tcPr>
            <w:tcW w:w="140" w:type="dxa"/>
            <w:vAlign w:val="bottom"/>
            <w:tcBorders>
              <w:top w:val="single" w:sz="8" w:color="0000EE"/>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435">
              <w:r>
                <w:rPr>
                  <w:rFonts w:ascii="Arial" w:cs="Arial" w:eastAsia="Arial" w:hAnsi="Arial"/>
                  <w:sz w:val="18"/>
                  <w:szCs w:val="18"/>
                  <w:color w:val="0000EE"/>
                  <w:w w:val="92"/>
                </w:rPr>
                <w:t>on Form F-4 (Reg. No. 333-237702), filed with the SEC on April 16, 2020)</w:t>
              </w:r>
            </w:hyperlink>
          </w:p>
        </w:tc>
        <w:tc>
          <w:tcPr>
            <w:tcW w:w="45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gridSpan w:val="3"/>
          </w:tcPr>
          <w:p>
            <w:pPr>
              <w:spacing w:after="0"/>
              <w:rPr>
                <w:sz w:val="20"/>
                <w:szCs w:val="20"/>
                <w:color w:val="auto"/>
              </w:rPr>
            </w:pPr>
            <w:r>
              <w:rPr>
                <w:rFonts w:ascii="Arial" w:cs="Arial" w:eastAsia="Arial" w:hAnsi="Arial"/>
                <w:sz w:val="18"/>
                <w:szCs w:val="18"/>
                <w:color w:val="auto"/>
              </w:rPr>
              <w:t>10.16**</w:t>
            </w:r>
          </w:p>
        </w:tc>
        <w:tc>
          <w:tcPr>
            <w:tcW w:w="9860" w:type="dxa"/>
            <w:vAlign w:val="bottom"/>
            <w:tcBorders>
              <w:bottom w:val="single" w:sz="8" w:color="0000EE"/>
            </w:tcBorders>
            <w:gridSpan w:val="20"/>
          </w:tcPr>
          <w:p>
            <w:pPr>
              <w:spacing w:after="0"/>
              <w:rPr>
                <w:rFonts w:ascii="Arial" w:cs="Arial" w:eastAsia="Arial" w:hAnsi="Arial"/>
                <w:sz w:val="18"/>
                <w:szCs w:val="18"/>
                <w:color w:val="0000EE"/>
                <w:w w:val="90"/>
              </w:rPr>
            </w:pPr>
            <w:hyperlink r:id="rId436">
              <w:r>
                <w:rPr>
                  <w:rFonts w:ascii="Arial" w:cs="Arial" w:eastAsia="Arial" w:hAnsi="Arial"/>
                  <w:sz w:val="18"/>
                  <w:szCs w:val="18"/>
                  <w:color w:val="0000EE"/>
                  <w:w w:val="90"/>
                </w:rPr>
                <w:t>2020 Stock Option Incentive Plan and forms of award agreements thereunder (incorporated by reference to Exhibit 10.16 to Amendment</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9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436">
              <w:r>
                <w:rPr>
                  <w:rFonts w:ascii="Arial" w:cs="Arial" w:eastAsia="Arial" w:hAnsi="Arial"/>
                  <w:sz w:val="18"/>
                  <w:szCs w:val="18"/>
                  <w:color w:val="0000EE"/>
                  <w:w w:val="90"/>
                </w:rPr>
                <w:t>No. 3 to the Registration Statement on Form F-4 (Reg. No. 333-237702), filed with the SEC on June 8, 2020)</w:t>
              </w:r>
            </w:hyperlink>
          </w:p>
        </w:tc>
        <w:tc>
          <w:tcPr>
            <w:tcW w:w="21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21.1</w:t>
            </w:r>
          </w:p>
        </w:tc>
        <w:tc>
          <w:tcPr>
            <w:tcW w:w="480" w:type="dxa"/>
            <w:vAlign w:val="bottom"/>
          </w:tcPr>
          <w:p>
            <w:pPr>
              <w:spacing w:after="0"/>
              <w:rPr>
                <w:sz w:val="24"/>
                <w:szCs w:val="24"/>
                <w:color w:val="auto"/>
              </w:rPr>
            </w:pPr>
          </w:p>
        </w:tc>
        <w:tc>
          <w:tcPr>
            <w:tcW w:w="10020" w:type="dxa"/>
            <w:vAlign w:val="bottom"/>
            <w:gridSpan w:val="26"/>
          </w:tcPr>
          <w:p>
            <w:pPr>
              <w:spacing w:after="0"/>
              <w:rPr>
                <w:rFonts w:ascii="Arial" w:cs="Arial" w:eastAsia="Arial" w:hAnsi="Arial"/>
                <w:sz w:val="18"/>
                <w:szCs w:val="18"/>
                <w:color w:val="0000EE"/>
                <w:w w:val="94"/>
              </w:rPr>
            </w:pPr>
            <w:hyperlink r:id="rId437">
              <w:r>
                <w:rPr>
                  <w:rFonts w:ascii="Arial" w:cs="Arial" w:eastAsia="Arial" w:hAnsi="Arial"/>
                  <w:sz w:val="18"/>
                  <w:szCs w:val="18"/>
                  <w:color w:val="0000EE"/>
                  <w:w w:val="94"/>
                </w:rPr>
                <w:t>List of subsidiaries of Immatics N.V. (incorporated by reference to Exhibit 21.1 to Amendment No. 2 to the Registration Statement on</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437">
              <w:r>
                <w:rPr>
                  <w:rFonts w:ascii="Arial" w:cs="Arial" w:eastAsia="Arial" w:hAnsi="Arial"/>
                  <w:sz w:val="18"/>
                  <w:szCs w:val="18"/>
                  <w:color w:val="0000EE"/>
                </w:rPr>
                <w:t>Form F-4 (Reg. No. 333-237702), filed with the SEC on June 5, 2020)</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80" w:type="dxa"/>
            <w:vAlign w:val="bottom"/>
            <w:gridSpan w:val="3"/>
            <w:vMerge w:val="restart"/>
          </w:tcPr>
          <w:p>
            <w:pPr>
              <w:ind w:left="2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9380" w:type="dxa"/>
            <w:vAlign w:val="bottom"/>
            <w:gridSpan w:val="4"/>
          </w:tcPr>
          <w:p>
            <w:pPr>
              <w:spacing w:after="0"/>
              <w:rPr>
                <w:rFonts w:ascii="Arial" w:cs="Arial" w:eastAsia="Arial" w:hAnsi="Arial"/>
                <w:sz w:val="18"/>
                <w:szCs w:val="18"/>
                <w:u w:val="single" w:color="auto"/>
                <w:color w:val="0000EE"/>
              </w:rPr>
            </w:pPr>
            <w:hyperlink w:anchor="page415">
              <w:r>
                <w:rPr>
                  <w:rFonts w:ascii="Arial" w:cs="Arial" w:eastAsia="Arial" w:hAnsi="Arial"/>
                  <w:sz w:val="18"/>
                  <w:szCs w:val="18"/>
                  <w:u w:val="single" w:color="auto"/>
                  <w:color w:val="0000EE"/>
                </w:rPr>
                <w:t>Consent of CMS Derks Star Busmann N.V. (included in Exhibit 5.1 to this Registration Statement)</w:t>
              </w:r>
            </w:hyperlink>
          </w:p>
        </w:tc>
        <w:tc>
          <w:tcPr>
            <w:tcW w:w="0" w:type="dxa"/>
            <w:vAlign w:val="bottom"/>
          </w:tcPr>
          <w:p>
            <w:pPr>
              <w:spacing w:after="0"/>
              <w:rPr>
                <w:sz w:val="1"/>
                <w:szCs w:val="1"/>
                <w:color w:val="auto"/>
              </w:rPr>
            </w:pPr>
          </w:p>
        </w:tc>
      </w:tr>
      <w:tr>
        <w:trPr>
          <w:trHeight w:val="297"/>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93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69">
              <w:r>
                <w:rPr>
                  <w:rFonts w:ascii="Arial" w:cs="Arial" w:eastAsia="Arial" w:hAnsi="Arial"/>
                  <w:sz w:val="18"/>
                  <w:szCs w:val="18"/>
                  <w:color w:val="0000EE"/>
                  <w:w w:val="90"/>
                </w:rPr>
                <w:t>Consent of PricewaterhouseCoopers GmbH Wirtschaftsprüfungsgesellschaft, independent registered accounting firm for Immatics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469">
              <w:r>
                <w:rPr>
                  <w:rFonts w:ascii="Arial" w:cs="Arial" w:eastAsia="Arial" w:hAnsi="Arial"/>
                  <w:sz w:val="18"/>
                  <w:szCs w:val="18"/>
                  <w:color w:val="0000EE"/>
                  <w:w w:val="91"/>
                </w:rPr>
                <w:t>Biotechnologies GmbH</w:t>
              </w:r>
            </w:hyperlink>
          </w:p>
        </w:tc>
        <w:tc>
          <w:tcPr>
            <w:tcW w:w="76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23.3*</w:t>
            </w:r>
          </w:p>
        </w:tc>
        <w:tc>
          <w:tcPr>
            <w:tcW w:w="540" w:type="dxa"/>
            <w:vAlign w:val="bottom"/>
          </w:tcPr>
          <w:p>
            <w:pPr>
              <w:spacing w:after="0"/>
              <w:rPr>
                <w:sz w:val="24"/>
                <w:szCs w:val="24"/>
                <w:color w:val="auto"/>
              </w:rPr>
            </w:pPr>
          </w:p>
        </w:tc>
        <w:tc>
          <w:tcPr>
            <w:tcW w:w="9380" w:type="dxa"/>
            <w:vAlign w:val="bottom"/>
            <w:gridSpan w:val="4"/>
          </w:tcPr>
          <w:p>
            <w:pPr>
              <w:spacing w:after="0"/>
              <w:rPr>
                <w:rFonts w:ascii="Arial" w:cs="Arial" w:eastAsia="Arial" w:hAnsi="Arial"/>
                <w:sz w:val="18"/>
                <w:szCs w:val="18"/>
                <w:u w:val="single" w:color="auto"/>
                <w:color w:val="0000EE"/>
              </w:rPr>
            </w:pPr>
            <w:hyperlink w:anchor="page470">
              <w:r>
                <w:rPr>
                  <w:rFonts w:ascii="Arial" w:cs="Arial" w:eastAsia="Arial" w:hAnsi="Arial"/>
                  <w:sz w:val="18"/>
                  <w:szCs w:val="18"/>
                  <w:u w:val="single" w:color="auto"/>
                  <w:color w:val="0000EE"/>
                </w:rPr>
                <w:t>Consent of WithumSmith+Brown, PC, independent registered accounting firm of ARYA Sciences Acquisition Corp.</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9380" w:type="dxa"/>
            <w:vAlign w:val="bottom"/>
            <w:gridSpan w:val="4"/>
          </w:tcPr>
          <w:p>
            <w:pPr>
              <w:spacing w:after="0"/>
              <w:rPr>
                <w:rFonts w:ascii="Arial" w:cs="Arial" w:eastAsia="Arial" w:hAnsi="Arial"/>
                <w:sz w:val="18"/>
                <w:szCs w:val="18"/>
                <w:u w:val="single" w:color="auto"/>
                <w:color w:val="0000EE"/>
              </w:rPr>
            </w:pPr>
            <w:hyperlink w:anchor="page351">
              <w:r>
                <w:rPr>
                  <w:rFonts w:ascii="Arial" w:cs="Arial" w:eastAsia="Arial" w:hAnsi="Arial"/>
                  <w:sz w:val="18"/>
                  <w:szCs w:val="18"/>
                  <w:u w:val="single" w:color="auto"/>
                  <w:color w:val="0000EE"/>
                </w:rPr>
                <w:t>Power of attorney (included on the signature page to this Registration Statement)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9" w:lineRule="exact"/>
        <w:rPr>
          <w:sz w:val="20"/>
          <w:szCs w:val="20"/>
          <w:color w:val="auto"/>
        </w:rPr>
      </w:pPr>
    </w:p>
    <w:p>
      <w:pPr>
        <w:ind w:left="540" w:right="120" w:hanging="424"/>
        <w:spacing w:after="0" w:line="260" w:lineRule="auto"/>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Certain information has been excluded from the exhibit because such information (i) is not material and (ii) would likely cause competitive harm to the registrant if publicly disclosed.</w:t>
      </w:r>
    </w:p>
    <w:p>
      <w:pPr>
        <w:spacing w:after="0" w:line="212" w:lineRule="exact"/>
        <w:rPr>
          <w:sz w:val="20"/>
          <w:szCs w:val="20"/>
          <w:color w:val="auto"/>
        </w:rPr>
      </w:pPr>
    </w:p>
    <w:p>
      <w:pPr>
        <w:ind w:left="540" w:hanging="424"/>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All schedules have been omitted because they are not required, are not applicable or the information is otherwise set forth in the financial statements or notes thereto.</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540" w:hanging="424"/>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540" w:right="40" w:hanging="439"/>
        <w:spacing w:after="0" w:line="272" w:lineRule="auto"/>
        <w:tabs>
          <w:tab w:leader="none" w:pos="1540" w:val="left"/>
        </w:tabs>
        <w:numPr>
          <w:ilvl w:val="2"/>
          <w:numId w:val="21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2" w:lineRule="exact"/>
        <w:rPr>
          <w:rFonts w:ascii="Arial" w:cs="Arial" w:eastAsia="Arial" w:hAnsi="Arial"/>
          <w:sz w:val="17"/>
          <w:szCs w:val="17"/>
          <w:color w:val="auto"/>
        </w:rPr>
      </w:pPr>
    </w:p>
    <w:p>
      <w:pPr>
        <w:ind w:left="1540" w:right="180" w:hanging="439"/>
        <w:spacing w:after="0" w:line="277" w:lineRule="auto"/>
        <w:tabs>
          <w:tab w:leader="none" w:pos="154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 provided, however, that:</w:t>
      </w:r>
    </w:p>
    <w:p>
      <w:pPr>
        <w:spacing w:after="0" w:line="62"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Paragraphs (i), (ii) and (iii) do not apply if the information required to be included in a post-effective amendment by those paragraphs is contained in reports filed with or furnished to the SEC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92" w:lineRule="exact"/>
        <w:rPr>
          <w:sz w:val="20"/>
          <w:szCs w:val="20"/>
          <w:color w:val="auto"/>
        </w:rPr>
      </w:pPr>
    </w:p>
    <w:p>
      <w:pPr>
        <w:ind w:left="1080" w:hanging="532"/>
        <w:spacing w:after="0" w:line="263" w:lineRule="auto"/>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90" w:lineRule="auto"/>
        <w:tabs>
          <w:tab w:leader="none" w:pos="108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70" w:lineRule="exact"/>
        <w:rPr>
          <w:rFonts w:ascii="Arial" w:cs="Arial" w:eastAsia="Arial" w:hAnsi="Arial"/>
          <w:sz w:val="16"/>
          <w:szCs w:val="16"/>
          <w:color w:val="auto"/>
        </w:rPr>
      </w:pPr>
    </w:p>
    <w:p>
      <w:pPr>
        <w:ind w:left="1080" w:hanging="532"/>
        <w:spacing w:after="0"/>
        <w:tabs>
          <w:tab w:leader="none" w:pos="10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2"/>
          <w:numId w:val="218"/>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30" w:lineRule="exact"/>
        <w:rPr>
          <w:rFonts w:ascii="Arial" w:cs="Arial" w:eastAsia="Arial" w:hAnsi="Arial"/>
          <w:sz w:val="18"/>
          <w:szCs w:val="18"/>
          <w:color w:val="auto"/>
        </w:rPr>
      </w:pPr>
    </w:p>
    <w:p>
      <w:pPr>
        <w:ind w:left="2080" w:right="120" w:hanging="533"/>
        <w:spacing w:after="0" w:line="277" w:lineRule="auto"/>
        <w:tabs>
          <w:tab w:leader="none" w:pos="2080" w:val="left"/>
        </w:tabs>
        <w:numPr>
          <w:ilvl w:val="3"/>
          <w:numId w:val="21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2080" w:hanging="533"/>
        <w:spacing w:after="0" w:line="268" w:lineRule="auto"/>
        <w:tabs>
          <w:tab w:leader="none" w:pos="2080" w:val="left"/>
        </w:tabs>
        <w:numPr>
          <w:ilvl w:val="3"/>
          <w:numId w:val="218"/>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1" w:lineRule="exact"/>
        <w:rPr>
          <w:rFonts w:ascii="Arial" w:cs="Arial" w:eastAsia="Arial" w:hAnsi="Arial"/>
          <w:sz w:val="17"/>
          <w:szCs w:val="17"/>
          <w:color w:val="auto"/>
        </w:rPr>
      </w:pPr>
    </w:p>
    <w:p>
      <w:pPr>
        <w:ind w:left="2520" w:right="20" w:hanging="433"/>
        <w:spacing w:after="0" w:line="270" w:lineRule="auto"/>
        <w:tabs>
          <w:tab w:leader="none" w:pos="2520" w:val="left"/>
        </w:tabs>
        <w:numPr>
          <w:ilvl w:val="4"/>
          <w:numId w:val="218"/>
        </w:numPr>
        <w:rPr>
          <w:rFonts w:ascii="Arial" w:cs="Arial" w:eastAsia="Arial" w:hAnsi="Arial"/>
          <w:sz w:val="17"/>
          <w:szCs w:val="17"/>
          <w:color w:val="auto"/>
        </w:rPr>
      </w:pPr>
      <w:r>
        <w:rPr>
          <w:rFonts w:ascii="Arial" w:cs="Arial" w:eastAsia="Arial" w:hAnsi="Arial"/>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6" w:lineRule="exact"/>
        <w:rPr>
          <w:rFonts w:ascii="Arial" w:cs="Arial" w:eastAsia="Arial" w:hAnsi="Arial"/>
          <w:sz w:val="17"/>
          <w:szCs w:val="17"/>
          <w:color w:val="auto"/>
        </w:rPr>
      </w:pPr>
    </w:p>
    <w:p>
      <w:pPr>
        <w:ind w:left="540" w:right="40" w:hanging="424"/>
        <w:spacing w:after="0" w:line="279" w:lineRule="auto"/>
        <w:tabs>
          <w:tab w:leader="none" w:pos="5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00"/>
        <w:spacing w:after="0" w:line="279" w:lineRule="auto"/>
        <w:rPr>
          <w:sz w:val="20"/>
          <w:szCs w:val="20"/>
          <w:color w:val="auto"/>
        </w:rPr>
      </w:pPr>
      <w:r>
        <w:rPr>
          <w:rFonts w:ascii="Arial" w:cs="Arial" w:eastAsia="Arial" w:hAnsi="Arial"/>
          <w:sz w:val="17"/>
          <w:szCs w:val="17"/>
          <w:color w:val="auto"/>
        </w:rPr>
        <w:t>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7" w:lineRule="exact"/>
        <w:rPr>
          <w:sz w:val="20"/>
          <w:szCs w:val="20"/>
          <w:color w:val="auto"/>
        </w:rPr>
      </w:pPr>
    </w:p>
    <w:p>
      <w:pPr>
        <w:ind w:left="540" w:hanging="424"/>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jc w:val="both"/>
        <w:ind w:left="1080" w:right="40" w:hanging="532"/>
        <w:spacing w:after="0" w:line="291" w:lineRule="auto"/>
        <w:tabs>
          <w:tab w:leader="none" w:pos="108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080"/>
        <w:spacing w:after="0"/>
        <w:rPr>
          <w:rFonts w:ascii="Arial" w:cs="Arial" w:eastAsia="Arial" w:hAnsi="Arial"/>
          <w:sz w:val="16"/>
          <w:szCs w:val="16"/>
          <w:color w:val="auto"/>
        </w:rPr>
      </w:pPr>
      <w:r>
        <w:rPr>
          <w:rFonts w:ascii="Arial" w:cs="Arial" w:eastAsia="Arial" w:hAnsi="Arial"/>
          <w:sz w:val="16"/>
          <w:szCs w:val="16"/>
          <w:color w:val="auto"/>
        </w:rPr>
        <w:t>(1) or (4) or 497(h) under the Securities Act shall be deemed to be part of this registration statement as of the time it was declared effective.</w:t>
      </w:r>
    </w:p>
    <w:p>
      <w:pPr>
        <w:spacing w:after="0" w:line="139" w:lineRule="exact"/>
        <w:rPr>
          <w:rFonts w:ascii="Arial" w:cs="Arial" w:eastAsia="Arial" w:hAnsi="Arial"/>
          <w:sz w:val="16"/>
          <w:szCs w:val="16"/>
          <w:color w:val="auto"/>
        </w:rPr>
      </w:pPr>
    </w:p>
    <w:p>
      <w:pPr>
        <w:ind w:left="1080" w:right="160" w:hanging="532"/>
        <w:spacing w:after="0" w:line="263" w:lineRule="auto"/>
        <w:tabs>
          <w:tab w:leader="none" w:pos="10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F-1 and has duly caused this registration statement to be signed on its behalf by the undersigned, thereunto duly authorized, in the city of Tübingen, Germany, on the 31st day of July, 2020.</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N.V.</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Harpreet Singh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Harpreet Singh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Executive Officer and Managing Director</w:t>
            </w:r>
          </w:p>
        </w:tc>
      </w:tr>
    </w:tbl>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does hereby constitute and appoint Harpreet Singh, Thomas Ulmer and Edward A. Sturchio, and each of them singly,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subsequent registration statement filed by the registrant pursuant to Rule 462(b) of the Securities Act, and to file or cause to be filed the same, with all exhibits thereto, and other documents in connection therewith, with the SEC,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any of them, or their or his or her substitutes or substitutes, may lawfully do or cause to be done by virtue hereof.</w:t>
      </w:r>
    </w:p>
    <w:p>
      <w:pPr>
        <w:spacing w:after="0" w:line="18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5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90"/>
              </w:rPr>
              <w:t>Signature</w:t>
            </w:r>
          </w:p>
        </w:tc>
        <w:tc>
          <w:tcPr>
            <w:tcW w:w="1540" w:type="dxa"/>
            <w:vAlign w:val="bottom"/>
          </w:tcPr>
          <w:p>
            <w:pPr>
              <w:spacing w:after="0"/>
              <w:rPr>
                <w:sz w:val="14"/>
                <w:szCs w:val="14"/>
                <w:color w:val="auto"/>
              </w:rPr>
            </w:pPr>
          </w:p>
        </w:tc>
        <w:tc>
          <w:tcPr>
            <w:tcW w:w="5200" w:type="dxa"/>
            <w:vAlign w:val="bottom"/>
            <w:gridSpan w:val="3"/>
          </w:tcPr>
          <w:p>
            <w:pPr>
              <w:jc w:val="center"/>
              <w:ind w:left="132"/>
              <w:spacing w:after="0"/>
              <w:rPr>
                <w:sz w:val="20"/>
                <w:szCs w:val="20"/>
                <w:color w:val="auto"/>
              </w:rPr>
            </w:pPr>
            <w:r>
              <w:rPr>
                <w:rFonts w:ascii="Arial" w:cs="Arial" w:eastAsia="Arial" w:hAnsi="Arial"/>
                <w:sz w:val="14"/>
                <w:szCs w:val="14"/>
                <w:color w:val="auto"/>
                <w:w w:val="91"/>
              </w:rPr>
              <w:t>Capacity</w:t>
            </w:r>
          </w:p>
        </w:tc>
        <w:tc>
          <w:tcPr>
            <w:tcW w:w="1720" w:type="dxa"/>
            <w:vAlign w:val="bottom"/>
            <w:gridSpan w:val="3"/>
          </w:tcPr>
          <w:p>
            <w:pPr>
              <w:jc w:val="center"/>
              <w:ind w:left="673"/>
              <w:spacing w:after="0"/>
              <w:rPr>
                <w:sz w:val="20"/>
                <w:szCs w:val="20"/>
                <w:color w:val="auto"/>
              </w:rPr>
            </w:pPr>
            <w:r>
              <w:rPr>
                <w:rFonts w:ascii="Arial" w:cs="Arial" w:eastAsia="Arial" w:hAnsi="Arial"/>
                <w:sz w:val="14"/>
                <w:szCs w:val="14"/>
                <w:color w:val="auto"/>
                <w:w w:val="94"/>
              </w:rPr>
              <w:t>Date</w:t>
            </w:r>
          </w:p>
        </w:tc>
      </w:tr>
      <w:tr>
        <w:trPr>
          <w:trHeight w:val="20"/>
        </w:trPr>
        <w:tc>
          <w:tcPr>
            <w:tcW w:w="1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5"/>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Harpreet Singh</w:t>
            </w:r>
          </w:p>
        </w:tc>
        <w:tc>
          <w:tcPr>
            <w:tcW w:w="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32"/>
              <w:spacing w:after="0"/>
              <w:rPr>
                <w:sz w:val="20"/>
                <w:szCs w:val="20"/>
                <w:color w:val="auto"/>
              </w:rPr>
            </w:pPr>
            <w:r>
              <w:rPr>
                <w:rFonts w:ascii="Arial" w:cs="Arial" w:eastAsia="Arial" w:hAnsi="Arial"/>
                <w:sz w:val="18"/>
                <w:szCs w:val="18"/>
                <w:color w:val="auto"/>
                <w:w w:val="93"/>
              </w:rPr>
              <w:t>Chief Executive Officer and Managing Director</w:t>
            </w:r>
          </w:p>
        </w:tc>
        <w:tc>
          <w:tcPr>
            <w:tcW w:w="1720" w:type="dxa"/>
            <w:vAlign w:val="bottom"/>
            <w:gridSpan w:val="3"/>
          </w:tcPr>
          <w:p>
            <w:pPr>
              <w:jc w:val="center"/>
              <w:ind w:left="673"/>
              <w:spacing w:after="0"/>
              <w:rPr>
                <w:sz w:val="20"/>
                <w:szCs w:val="20"/>
                <w:color w:val="auto"/>
              </w:rPr>
            </w:pPr>
            <w:r>
              <w:rPr>
                <w:rFonts w:ascii="Arial" w:cs="Arial" w:eastAsia="Arial" w:hAnsi="Arial"/>
                <w:sz w:val="18"/>
                <w:szCs w:val="18"/>
                <w:color w:val="auto"/>
                <w:w w:val="89"/>
              </w:rPr>
              <w:t>July 31, 2020</w:t>
            </w:r>
          </w:p>
        </w:tc>
      </w:tr>
      <w:tr>
        <w:trPr>
          <w:trHeight w:val="224"/>
        </w:trPr>
        <w:tc>
          <w:tcPr>
            <w:tcW w:w="2100" w:type="dxa"/>
            <w:vAlign w:val="bottom"/>
            <w:gridSpan w:val="2"/>
          </w:tcPr>
          <w:p>
            <w:pPr>
              <w:spacing w:after="0"/>
              <w:rPr>
                <w:sz w:val="20"/>
                <w:szCs w:val="20"/>
                <w:color w:val="auto"/>
              </w:rPr>
            </w:pPr>
            <w:r>
              <w:rPr>
                <w:rFonts w:ascii="Arial" w:cs="Arial" w:eastAsia="Arial" w:hAnsi="Arial"/>
                <w:sz w:val="18"/>
                <w:szCs w:val="18"/>
                <w:color w:val="auto"/>
              </w:rPr>
              <w:t>Harpreet Singh</w:t>
            </w:r>
          </w:p>
        </w:tc>
        <w:tc>
          <w:tcPr>
            <w:tcW w:w="1540" w:type="dxa"/>
            <w:vAlign w:val="bottom"/>
          </w:tcPr>
          <w:p>
            <w:pPr>
              <w:spacing w:after="0"/>
              <w:rPr>
                <w:sz w:val="19"/>
                <w:szCs w:val="19"/>
                <w:color w:val="auto"/>
              </w:rPr>
            </w:pPr>
          </w:p>
        </w:tc>
        <w:tc>
          <w:tcPr>
            <w:tcW w:w="5200" w:type="dxa"/>
            <w:vAlign w:val="bottom"/>
            <w:gridSpan w:val="3"/>
          </w:tcPr>
          <w:p>
            <w:pPr>
              <w:jc w:val="center"/>
              <w:ind w:left="132"/>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Ulmer</w:t>
            </w:r>
          </w:p>
        </w:tc>
        <w:tc>
          <w:tcPr>
            <w:tcW w:w="154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32"/>
              <w:spacing w:after="0"/>
              <w:rPr>
                <w:sz w:val="20"/>
                <w:szCs w:val="20"/>
                <w:color w:val="auto"/>
              </w:rPr>
            </w:pPr>
            <w:r>
              <w:rPr>
                <w:rFonts w:ascii="Arial" w:cs="Arial" w:eastAsia="Arial" w:hAnsi="Arial"/>
                <w:sz w:val="18"/>
                <w:szCs w:val="18"/>
                <w:color w:val="auto"/>
                <w:w w:val="93"/>
              </w:rPr>
              <w:t>Chief Financial Officer</w:t>
            </w:r>
          </w:p>
        </w:tc>
        <w:tc>
          <w:tcPr>
            <w:tcW w:w="1720" w:type="dxa"/>
            <w:vAlign w:val="bottom"/>
            <w:gridSpan w:val="3"/>
          </w:tcPr>
          <w:p>
            <w:pPr>
              <w:jc w:val="center"/>
              <w:ind w:left="673"/>
              <w:spacing w:after="0"/>
              <w:rPr>
                <w:sz w:val="20"/>
                <w:szCs w:val="20"/>
                <w:color w:val="auto"/>
              </w:rPr>
            </w:pPr>
            <w:r>
              <w:rPr>
                <w:rFonts w:ascii="Arial" w:cs="Arial" w:eastAsia="Arial" w:hAnsi="Arial"/>
                <w:sz w:val="18"/>
                <w:szCs w:val="18"/>
                <w:color w:val="auto"/>
                <w:w w:val="89"/>
              </w:rPr>
              <w:t>July 31, 2020</w:t>
            </w:r>
          </w:p>
        </w:tc>
      </w:tr>
      <w:tr>
        <w:trPr>
          <w:trHeight w:val="224"/>
        </w:trPr>
        <w:tc>
          <w:tcPr>
            <w:tcW w:w="2100" w:type="dxa"/>
            <w:vAlign w:val="bottom"/>
            <w:gridSpan w:val="2"/>
          </w:tcPr>
          <w:p>
            <w:pPr>
              <w:spacing w:after="0"/>
              <w:rPr>
                <w:sz w:val="20"/>
                <w:szCs w:val="20"/>
                <w:color w:val="auto"/>
              </w:rPr>
            </w:pPr>
            <w:r>
              <w:rPr>
                <w:rFonts w:ascii="Arial" w:cs="Arial" w:eastAsia="Arial" w:hAnsi="Arial"/>
                <w:sz w:val="18"/>
                <w:szCs w:val="18"/>
                <w:color w:val="auto"/>
              </w:rPr>
              <w:t>Thomas Ulmer</w:t>
            </w:r>
          </w:p>
        </w:tc>
        <w:tc>
          <w:tcPr>
            <w:tcW w:w="1540" w:type="dxa"/>
            <w:vAlign w:val="bottom"/>
          </w:tcPr>
          <w:p>
            <w:pPr>
              <w:spacing w:after="0"/>
              <w:rPr>
                <w:sz w:val="19"/>
                <w:szCs w:val="19"/>
                <w:color w:val="auto"/>
              </w:rPr>
            </w:pPr>
          </w:p>
        </w:tc>
        <w:tc>
          <w:tcPr>
            <w:tcW w:w="5200" w:type="dxa"/>
            <w:vAlign w:val="bottom"/>
            <w:gridSpan w:val="3"/>
          </w:tcPr>
          <w:p>
            <w:pPr>
              <w:jc w:val="center"/>
              <w:ind w:left="112"/>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G. Atieh</w:t>
            </w:r>
          </w:p>
        </w:tc>
        <w:tc>
          <w:tcPr>
            <w:tcW w:w="154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Supervisory Director</w:t>
            </w:r>
          </w:p>
        </w:tc>
        <w:tc>
          <w:tcPr>
            <w:tcW w:w="1720" w:type="dxa"/>
            <w:vAlign w:val="bottom"/>
            <w:gridSpan w:val="3"/>
          </w:tcPr>
          <w:p>
            <w:pPr>
              <w:jc w:val="center"/>
              <w:ind w:left="673"/>
              <w:spacing w:after="0"/>
              <w:rPr>
                <w:sz w:val="20"/>
                <w:szCs w:val="20"/>
                <w:color w:val="auto"/>
              </w:rPr>
            </w:pPr>
            <w:r>
              <w:rPr>
                <w:rFonts w:ascii="Arial" w:cs="Arial" w:eastAsia="Arial" w:hAnsi="Arial"/>
                <w:sz w:val="18"/>
                <w:szCs w:val="18"/>
                <w:color w:val="auto"/>
                <w:w w:val="89"/>
              </w:rPr>
              <w:t>July 31, 2020</w:t>
            </w:r>
          </w:p>
        </w:tc>
      </w:tr>
      <w:tr>
        <w:trPr>
          <w:trHeight w:val="224"/>
        </w:trPr>
        <w:tc>
          <w:tcPr>
            <w:tcW w:w="2100" w:type="dxa"/>
            <w:vAlign w:val="bottom"/>
            <w:gridSpan w:val="2"/>
          </w:tcPr>
          <w:p>
            <w:pPr>
              <w:spacing w:after="0"/>
              <w:rPr>
                <w:sz w:val="20"/>
                <w:szCs w:val="20"/>
                <w:color w:val="auto"/>
              </w:rPr>
            </w:pPr>
            <w:r>
              <w:rPr>
                <w:rFonts w:ascii="Arial" w:cs="Arial" w:eastAsia="Arial" w:hAnsi="Arial"/>
                <w:sz w:val="18"/>
                <w:szCs w:val="18"/>
                <w:color w:val="auto"/>
              </w:rPr>
              <w:t>Michael G. Atieh</w:t>
            </w:r>
          </w:p>
        </w:tc>
        <w:tc>
          <w:tcPr>
            <w:tcW w:w="1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R. Carter</w:t>
            </w:r>
          </w:p>
        </w:tc>
        <w:tc>
          <w:tcPr>
            <w:tcW w:w="154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Supervisory Director</w:t>
            </w:r>
          </w:p>
        </w:tc>
        <w:tc>
          <w:tcPr>
            <w:tcW w:w="1720" w:type="dxa"/>
            <w:vAlign w:val="bottom"/>
            <w:gridSpan w:val="3"/>
          </w:tcPr>
          <w:p>
            <w:pPr>
              <w:jc w:val="center"/>
              <w:ind w:left="673"/>
              <w:spacing w:after="0"/>
              <w:rPr>
                <w:sz w:val="20"/>
                <w:szCs w:val="20"/>
                <w:color w:val="auto"/>
              </w:rPr>
            </w:pPr>
            <w:r>
              <w:rPr>
                <w:rFonts w:ascii="Arial" w:cs="Arial" w:eastAsia="Arial" w:hAnsi="Arial"/>
                <w:sz w:val="18"/>
                <w:szCs w:val="18"/>
                <w:color w:val="auto"/>
                <w:w w:val="89"/>
              </w:rPr>
              <w:t>July 31, 2020</w:t>
            </w:r>
          </w:p>
        </w:tc>
      </w:tr>
      <w:tr>
        <w:trPr>
          <w:trHeight w:val="224"/>
        </w:trPr>
        <w:tc>
          <w:tcPr>
            <w:tcW w:w="2100" w:type="dxa"/>
            <w:vAlign w:val="bottom"/>
            <w:gridSpan w:val="2"/>
          </w:tcPr>
          <w:p>
            <w:pPr>
              <w:spacing w:after="0"/>
              <w:rPr>
                <w:sz w:val="20"/>
                <w:szCs w:val="20"/>
                <w:color w:val="auto"/>
              </w:rPr>
            </w:pPr>
            <w:r>
              <w:rPr>
                <w:rFonts w:ascii="Arial" w:cs="Arial" w:eastAsia="Arial" w:hAnsi="Arial"/>
                <w:sz w:val="18"/>
                <w:szCs w:val="18"/>
                <w:color w:val="auto"/>
              </w:rPr>
              <w:t>Paul R. Carter</w:t>
            </w:r>
          </w:p>
        </w:tc>
        <w:tc>
          <w:tcPr>
            <w:tcW w:w="1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Chambré</w:t>
            </w:r>
          </w:p>
        </w:tc>
        <w:tc>
          <w:tcPr>
            <w:tcW w:w="154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Supervisory Director</w:t>
            </w:r>
          </w:p>
        </w:tc>
        <w:tc>
          <w:tcPr>
            <w:tcW w:w="1720" w:type="dxa"/>
            <w:vAlign w:val="bottom"/>
            <w:gridSpan w:val="3"/>
          </w:tcPr>
          <w:p>
            <w:pPr>
              <w:jc w:val="center"/>
              <w:ind w:left="673"/>
              <w:spacing w:after="0"/>
              <w:rPr>
                <w:sz w:val="20"/>
                <w:szCs w:val="20"/>
                <w:color w:val="auto"/>
              </w:rPr>
            </w:pPr>
            <w:r>
              <w:rPr>
                <w:rFonts w:ascii="Arial" w:cs="Arial" w:eastAsia="Arial" w:hAnsi="Arial"/>
                <w:sz w:val="18"/>
                <w:szCs w:val="18"/>
                <w:color w:val="auto"/>
                <w:w w:val="89"/>
              </w:rPr>
              <w:t>July 31, 2020</w:t>
            </w:r>
          </w:p>
        </w:tc>
      </w:tr>
      <w:tr>
        <w:trPr>
          <w:trHeight w:val="224"/>
        </w:trPr>
        <w:tc>
          <w:tcPr>
            <w:tcW w:w="2100" w:type="dxa"/>
            <w:vAlign w:val="bottom"/>
            <w:gridSpan w:val="2"/>
          </w:tcPr>
          <w:p>
            <w:pPr>
              <w:spacing w:after="0"/>
              <w:rPr>
                <w:sz w:val="20"/>
                <w:szCs w:val="20"/>
                <w:color w:val="auto"/>
              </w:rPr>
            </w:pPr>
            <w:r>
              <w:rPr>
                <w:rFonts w:ascii="Arial" w:cs="Arial" w:eastAsia="Arial" w:hAnsi="Arial"/>
                <w:sz w:val="18"/>
                <w:szCs w:val="18"/>
                <w:color w:val="auto"/>
              </w:rPr>
              <w:t>Peter Chambré</w:t>
            </w:r>
          </w:p>
        </w:tc>
        <w:tc>
          <w:tcPr>
            <w:tcW w:w="1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Christof Hettich</w:t>
            </w:r>
          </w:p>
        </w:tc>
        <w:tc>
          <w:tcPr>
            <w:tcW w:w="1540" w:type="dxa"/>
            <w:vAlign w:val="bottom"/>
            <w:tcBorders>
              <w:bottom w:val="single" w:sz="8" w:color="auto"/>
            </w:tcBorders>
          </w:tcPr>
          <w:p>
            <w:pPr>
              <w:spacing w:after="0"/>
              <w:rPr>
                <w:sz w:val="24"/>
                <w:szCs w:val="24"/>
                <w:color w:val="auto"/>
              </w:rPr>
            </w:pPr>
          </w:p>
        </w:tc>
        <w:tc>
          <w:tcPr>
            <w:tcW w:w="520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Supervisory Director</w:t>
            </w:r>
          </w:p>
        </w:tc>
        <w:tc>
          <w:tcPr>
            <w:tcW w:w="1720" w:type="dxa"/>
            <w:vAlign w:val="bottom"/>
            <w:gridSpan w:val="3"/>
          </w:tcPr>
          <w:p>
            <w:pPr>
              <w:jc w:val="center"/>
              <w:ind w:left="673"/>
              <w:spacing w:after="0"/>
              <w:rPr>
                <w:sz w:val="20"/>
                <w:szCs w:val="20"/>
                <w:color w:val="auto"/>
              </w:rPr>
            </w:pPr>
            <w:r>
              <w:rPr>
                <w:rFonts w:ascii="Arial" w:cs="Arial" w:eastAsia="Arial" w:hAnsi="Arial"/>
                <w:sz w:val="18"/>
                <w:szCs w:val="18"/>
                <w:color w:val="auto"/>
                <w:w w:val="89"/>
              </w:rPr>
              <w:t>July 31, 2020</w:t>
            </w:r>
          </w:p>
        </w:tc>
      </w:tr>
      <w:tr>
        <w:trPr>
          <w:trHeight w:val="224"/>
        </w:trPr>
        <w:tc>
          <w:tcPr>
            <w:tcW w:w="2100" w:type="dxa"/>
            <w:vAlign w:val="bottom"/>
            <w:gridSpan w:val="2"/>
          </w:tcPr>
          <w:p>
            <w:pPr>
              <w:spacing w:after="0"/>
              <w:rPr>
                <w:sz w:val="20"/>
                <w:szCs w:val="20"/>
                <w:color w:val="auto"/>
              </w:rPr>
            </w:pPr>
            <w:r>
              <w:rPr>
                <w:rFonts w:ascii="Arial" w:cs="Arial" w:eastAsia="Arial" w:hAnsi="Arial"/>
                <w:sz w:val="18"/>
                <w:szCs w:val="18"/>
                <w:color w:val="auto"/>
              </w:rPr>
              <w:t>Christof Hettich</w:t>
            </w:r>
          </w:p>
        </w:tc>
        <w:tc>
          <w:tcPr>
            <w:tcW w:w="1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5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90"/>
              </w:rPr>
              <w:t>Signature</w:t>
            </w:r>
          </w:p>
        </w:tc>
        <w:tc>
          <w:tcPr>
            <w:tcW w:w="1540" w:type="dxa"/>
            <w:vAlign w:val="bottom"/>
          </w:tcPr>
          <w:p>
            <w:pPr>
              <w:spacing w:after="0"/>
              <w:rPr>
                <w:sz w:val="14"/>
                <w:szCs w:val="14"/>
                <w:color w:val="auto"/>
              </w:rPr>
            </w:pPr>
          </w:p>
        </w:tc>
        <w:tc>
          <w:tcPr>
            <w:tcW w:w="4700" w:type="dxa"/>
            <w:vAlign w:val="bottom"/>
            <w:gridSpan w:val="3"/>
          </w:tcPr>
          <w:p>
            <w:pPr>
              <w:jc w:val="center"/>
              <w:ind w:left="636"/>
              <w:spacing w:after="0"/>
              <w:rPr>
                <w:sz w:val="20"/>
                <w:szCs w:val="20"/>
                <w:color w:val="auto"/>
              </w:rPr>
            </w:pPr>
            <w:r>
              <w:rPr>
                <w:rFonts w:ascii="Arial" w:cs="Arial" w:eastAsia="Arial" w:hAnsi="Arial"/>
                <w:sz w:val="14"/>
                <w:szCs w:val="14"/>
                <w:color w:val="auto"/>
                <w:w w:val="91"/>
              </w:rPr>
              <w:t>Capacity</w:t>
            </w:r>
          </w:p>
        </w:tc>
        <w:tc>
          <w:tcPr>
            <w:tcW w:w="2220" w:type="dxa"/>
            <w:vAlign w:val="bottom"/>
            <w:gridSpan w:val="3"/>
          </w:tcPr>
          <w:p>
            <w:pPr>
              <w:jc w:val="center"/>
              <w:ind w:left="1176"/>
              <w:spacing w:after="0"/>
              <w:rPr>
                <w:sz w:val="20"/>
                <w:szCs w:val="20"/>
                <w:color w:val="auto"/>
              </w:rPr>
            </w:pPr>
            <w:r>
              <w:rPr>
                <w:rFonts w:ascii="Arial" w:cs="Arial" w:eastAsia="Arial" w:hAnsi="Arial"/>
                <w:sz w:val="14"/>
                <w:szCs w:val="14"/>
                <w:color w:val="auto"/>
                <w:w w:val="94"/>
              </w:rPr>
              <w:t>Date</w:t>
            </w:r>
          </w:p>
        </w:tc>
      </w:tr>
      <w:tr>
        <w:trPr>
          <w:trHeight w:val="20"/>
        </w:trPr>
        <w:tc>
          <w:tcPr>
            <w:tcW w:w="1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3"/>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Heather L. Mason</w:t>
            </w:r>
          </w:p>
        </w:tc>
        <w:tc>
          <w:tcPr>
            <w:tcW w:w="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700" w:type="dxa"/>
            <w:vAlign w:val="bottom"/>
            <w:gridSpan w:val="3"/>
          </w:tcPr>
          <w:p>
            <w:pPr>
              <w:jc w:val="center"/>
              <w:ind w:left="636"/>
              <w:spacing w:after="0"/>
              <w:rPr>
                <w:sz w:val="20"/>
                <w:szCs w:val="20"/>
                <w:color w:val="auto"/>
              </w:rPr>
            </w:pPr>
            <w:r>
              <w:rPr>
                <w:rFonts w:ascii="Arial" w:cs="Arial" w:eastAsia="Arial" w:hAnsi="Arial"/>
                <w:sz w:val="18"/>
                <w:szCs w:val="18"/>
                <w:color w:val="auto"/>
                <w:w w:val="91"/>
              </w:rPr>
              <w:t>Supervisory Director</w:t>
            </w:r>
          </w:p>
        </w:tc>
        <w:tc>
          <w:tcPr>
            <w:tcW w:w="2220" w:type="dxa"/>
            <w:vAlign w:val="bottom"/>
            <w:gridSpan w:val="3"/>
          </w:tcPr>
          <w:p>
            <w:pPr>
              <w:jc w:val="center"/>
              <w:ind w:left="1176"/>
              <w:spacing w:after="0"/>
              <w:rPr>
                <w:sz w:val="20"/>
                <w:szCs w:val="20"/>
                <w:color w:val="auto"/>
              </w:rPr>
            </w:pPr>
            <w:r>
              <w:rPr>
                <w:rFonts w:ascii="Arial" w:cs="Arial" w:eastAsia="Arial" w:hAnsi="Arial"/>
                <w:sz w:val="18"/>
                <w:szCs w:val="18"/>
                <w:color w:val="auto"/>
                <w:w w:val="89"/>
              </w:rPr>
              <w:t>July 31, 2020</w:t>
            </w:r>
          </w:p>
        </w:tc>
      </w:tr>
      <w:tr>
        <w:trPr>
          <w:trHeight w:val="224"/>
        </w:trPr>
        <w:tc>
          <w:tcPr>
            <w:tcW w:w="2100" w:type="dxa"/>
            <w:vAlign w:val="bottom"/>
            <w:gridSpan w:val="2"/>
          </w:tcPr>
          <w:p>
            <w:pPr>
              <w:spacing w:after="0"/>
              <w:rPr>
                <w:sz w:val="20"/>
                <w:szCs w:val="20"/>
                <w:color w:val="auto"/>
              </w:rPr>
            </w:pPr>
            <w:r>
              <w:rPr>
                <w:rFonts w:ascii="Arial" w:cs="Arial" w:eastAsia="Arial" w:hAnsi="Arial"/>
                <w:sz w:val="18"/>
                <w:szCs w:val="18"/>
                <w:color w:val="auto"/>
              </w:rPr>
              <w:t>Heather L. Mason</w:t>
            </w:r>
          </w:p>
        </w:tc>
        <w:tc>
          <w:tcPr>
            <w:tcW w:w="1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1"/>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Adam Stone</w:t>
            </w:r>
          </w:p>
        </w:tc>
        <w:tc>
          <w:tcPr>
            <w:tcW w:w="1540" w:type="dxa"/>
            <w:vAlign w:val="bottom"/>
            <w:tcBorders>
              <w:bottom w:val="single" w:sz="8" w:color="auto"/>
            </w:tcBorders>
          </w:tcPr>
          <w:p>
            <w:pPr>
              <w:spacing w:after="0"/>
              <w:rPr>
                <w:sz w:val="24"/>
                <w:szCs w:val="24"/>
                <w:color w:val="auto"/>
              </w:rPr>
            </w:pPr>
          </w:p>
        </w:tc>
        <w:tc>
          <w:tcPr>
            <w:tcW w:w="4700" w:type="dxa"/>
            <w:vAlign w:val="bottom"/>
            <w:gridSpan w:val="3"/>
          </w:tcPr>
          <w:p>
            <w:pPr>
              <w:jc w:val="center"/>
              <w:ind w:left="636"/>
              <w:spacing w:after="0"/>
              <w:rPr>
                <w:sz w:val="20"/>
                <w:szCs w:val="20"/>
                <w:color w:val="auto"/>
              </w:rPr>
            </w:pPr>
            <w:r>
              <w:rPr>
                <w:rFonts w:ascii="Arial" w:cs="Arial" w:eastAsia="Arial" w:hAnsi="Arial"/>
                <w:sz w:val="18"/>
                <w:szCs w:val="18"/>
                <w:color w:val="auto"/>
                <w:w w:val="91"/>
              </w:rPr>
              <w:t>Supervisory Director</w:t>
            </w:r>
          </w:p>
        </w:tc>
        <w:tc>
          <w:tcPr>
            <w:tcW w:w="2220" w:type="dxa"/>
            <w:vAlign w:val="bottom"/>
            <w:gridSpan w:val="3"/>
          </w:tcPr>
          <w:p>
            <w:pPr>
              <w:jc w:val="center"/>
              <w:ind w:left="1176"/>
              <w:spacing w:after="0"/>
              <w:rPr>
                <w:sz w:val="20"/>
                <w:szCs w:val="20"/>
                <w:color w:val="auto"/>
              </w:rPr>
            </w:pPr>
            <w:r>
              <w:rPr>
                <w:rFonts w:ascii="Arial" w:cs="Arial" w:eastAsia="Arial" w:hAnsi="Arial"/>
                <w:sz w:val="18"/>
                <w:szCs w:val="18"/>
                <w:color w:val="auto"/>
                <w:w w:val="89"/>
              </w:rPr>
              <w:t>July 31, 2020</w:t>
            </w:r>
          </w:p>
        </w:tc>
      </w:tr>
      <w:tr>
        <w:trPr>
          <w:trHeight w:val="224"/>
        </w:trPr>
        <w:tc>
          <w:tcPr>
            <w:tcW w:w="2100" w:type="dxa"/>
            <w:vAlign w:val="bottom"/>
            <w:gridSpan w:val="2"/>
          </w:tcPr>
          <w:p>
            <w:pPr>
              <w:spacing w:after="0"/>
              <w:rPr>
                <w:sz w:val="20"/>
                <w:szCs w:val="20"/>
                <w:color w:val="auto"/>
              </w:rPr>
            </w:pPr>
            <w:r>
              <w:rPr>
                <w:rFonts w:ascii="Arial" w:cs="Arial" w:eastAsia="Arial" w:hAnsi="Arial"/>
                <w:sz w:val="18"/>
                <w:szCs w:val="18"/>
                <w:color w:val="auto"/>
              </w:rPr>
              <w:t>Adam Stone</w:t>
            </w:r>
          </w:p>
        </w:tc>
        <w:tc>
          <w:tcPr>
            <w:tcW w:w="1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ectPr>
          <w:pgSz w:w="11900" w:h="16838" w:orient="portrait"/>
          <w:cols w:equalWidth="0" w:num="1">
            <w:col w:w="10680"/>
          </w:cols>
          <w:pgMar w:left="320" w:top="459" w:right="89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AUTHORIZED REPRESENTATIVE</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 of the Securities Act, the undersigned, the duly undersigned representative in the United States of Immatics N.V., has signed this registration statement in the city of Houston, United States, on the 31st day of July, 2020.</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N.V.</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A. Sturchio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Edward A. Sturchio</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Authorized Representative in the United States</w:t>
      </w:r>
    </w:p>
    <w:p>
      <w:pPr>
        <w:sectPr>
          <w:pgSz w:w="11900" w:h="16838" w:orient="portrait"/>
          <w:cols w:equalWidth="0" w:num="1">
            <w:col w:w="11100"/>
          </w:cols>
          <w:pgMar w:left="320" w:top="459" w:right="479" w:bottom="1440" w:gutter="0" w:footer="0" w:header="0"/>
        </w:sectPr>
      </w:pPr>
    </w:p>
    <w:bookmarkStart w:id="353" w:name="page354"/>
    <w:bookmarkEnd w:id="353"/>
    <w:p>
      <w:pPr>
        <w:ind w:left="10184"/>
        <w:spacing w:after="0"/>
        <w:rPr>
          <w:sz w:val="20"/>
          <w:szCs w:val="20"/>
          <w:color w:val="auto"/>
        </w:rPr>
      </w:pPr>
      <w:r>
        <w:rPr>
          <w:rFonts w:ascii="Arial" w:cs="Arial" w:eastAsia="Arial" w:hAnsi="Arial"/>
          <w:sz w:val="16"/>
          <w:szCs w:val="16"/>
          <w:b w:val="1"/>
          <w:bCs w:val="1"/>
          <w:color w:val="auto"/>
        </w:rPr>
        <w:t>Exhibit 3.1</w:t>
      </w:r>
    </w:p>
    <w:p>
      <w:pPr>
        <w:spacing w:after="0" w:line="252" w:lineRule="exact"/>
        <w:rPr>
          <w:sz w:val="20"/>
          <w:szCs w:val="20"/>
          <w:color w:val="auto"/>
        </w:rPr>
      </w:pPr>
    </w:p>
    <w:p>
      <w:pPr>
        <w:ind w:left="4" w:right="180"/>
        <w:spacing w:after="0" w:line="255" w:lineRule="auto"/>
        <w:rPr>
          <w:sz w:val="20"/>
          <w:szCs w:val="20"/>
          <w:color w:val="auto"/>
        </w:rPr>
      </w:pPr>
      <w:r>
        <w:rPr>
          <w:rFonts w:ascii="Arial" w:cs="Arial" w:eastAsia="Arial" w:hAnsi="Arial"/>
          <w:sz w:val="18"/>
          <w:szCs w:val="18"/>
          <w:color w:val="auto"/>
        </w:rPr>
        <w:t>This document is an unofficial English translation of a document prepared in Dutch. In preparing this document, an attempt has been made to translate as literally as possible without jeopardising the overall continuity of the text, except that, for convenience, the definitions set out in article 1.1 of the articles of association contained in this document have been placed in the English alphabetical order. Inevitably, however, differences may occur in translation and if they do, the Dutch text will govern by law. In this translation, Dutch legal concepts are expressed in English terms and not in their original Dutch terms. The concepts concerned may not be identical to concepts described by the English terms as such terms may be understood under the laws of other jurisdictions.</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DEED OF CONVERSION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IMMATICS B.V.</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(new name: Immatics N.V.)</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the first day of July two thousand and twenty appears before me, Martijn Michiel, civil law notary in Amsterdam, the Netherlands:</w:t>
      </w:r>
    </w:p>
    <w:p>
      <w:pPr>
        <w:spacing w:after="0" w:line="117"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Elainne Maria Lassooij, candidate civil law notary, born in Nieuwerkerk aan den Ijssel, the Netherlands, on the fourth day of January nineteen hundred and ninety-four, having her office address at Parnassusweg 737, 1077 DG Amsterdam, the Netherlands.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person appearing declares:</w:t>
      </w:r>
    </w:p>
    <w:p>
      <w:pPr>
        <w:spacing w:after="0" w:line="127" w:lineRule="exact"/>
        <w:rPr>
          <w:sz w:val="20"/>
          <w:szCs w:val="20"/>
          <w:color w:val="auto"/>
        </w:rPr>
      </w:pPr>
    </w:p>
    <w:p>
      <w:pPr>
        <w:ind w:left="544" w:right="80" w:hanging="544"/>
        <w:spacing w:after="0" w:line="256" w:lineRule="auto"/>
        <w:tabs>
          <w:tab w:leader="none" w:pos="54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On the thirtieth day of June two thousand and twenty the general meeting of </w:t>
      </w:r>
      <w:r>
        <w:rPr>
          <w:rFonts w:ascii="Arial" w:cs="Arial" w:eastAsia="Arial" w:hAnsi="Arial"/>
          <w:sz w:val="18"/>
          <w:szCs w:val="18"/>
          <w:b w:val="1"/>
          <w:bCs w:val="1"/>
          <w:color w:val="auto"/>
        </w:rPr>
        <w:t>Immatics B.V.</w:t>
      </w:r>
      <w:r>
        <w:rPr>
          <w:rFonts w:ascii="Arial" w:cs="Arial" w:eastAsia="Arial" w:hAnsi="Arial"/>
          <w:sz w:val="18"/>
          <w:szCs w:val="18"/>
          <w:color w:val="auto"/>
        </w:rPr>
        <w:t>, a private company with limited liability under Dutch law, having its seat in Amsterdam, the Netherlands, and its address at Paul-Ehrlich-Strasse 15, 72076 Tübingen, Germany, registered with the Dutch trade register under number 77595726 (the “</w:t>
      </w:r>
      <w:r>
        <w:rPr>
          <w:rFonts w:ascii="Arial" w:cs="Arial" w:eastAsia="Arial" w:hAnsi="Arial"/>
          <w:sz w:val="18"/>
          <w:szCs w:val="18"/>
          <w:b w:val="1"/>
          <w:bCs w:val="1"/>
          <w:color w:val="auto"/>
        </w:rPr>
        <w:t>Company</w:t>
      </w:r>
      <w:r>
        <w:rPr>
          <w:rFonts w:ascii="Arial" w:cs="Arial" w:eastAsia="Arial" w:hAnsi="Arial"/>
          <w:sz w:val="18"/>
          <w:szCs w:val="18"/>
          <w:color w:val="auto"/>
        </w:rPr>
        <w:t>”), resolved to convert the Company into a public company, to amend the articles of association of the Company and to authorise the person appearing to execute the deed of conversion. The resolutions to convert the Company, amend the articles of association and authorise the person appearing are evidenced by a document, which is attached to this deed (</w:t>
      </w:r>
      <w:r>
        <w:rPr>
          <w:rFonts w:ascii="Arial" w:cs="Arial" w:eastAsia="Arial" w:hAnsi="Arial"/>
          <w:sz w:val="18"/>
          <w:szCs w:val="18"/>
          <w:u w:val="single" w:color="auto"/>
          <w:color w:val="auto"/>
        </w:rPr>
        <w:t>annex</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544" w:right="40" w:hanging="544"/>
        <w:spacing w:after="0" w:line="277" w:lineRule="auto"/>
        <w:tabs>
          <w:tab w:leader="none" w:pos="54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Company was incorporated by deed, executed on the tenth day of March two thousand and twenty before M.M. van der Bie, civil law notary in Amsterdam, the Netherlands. The articles of association of the Company have never been amended.</w:t>
      </w:r>
    </w:p>
    <w:p>
      <w:pPr>
        <w:spacing w:after="0" w:line="170" w:lineRule="exact"/>
        <w:rPr>
          <w:sz w:val="20"/>
          <w:szCs w:val="20"/>
          <w:color w:val="auto"/>
        </w:rPr>
      </w:pPr>
    </w:p>
    <w:p>
      <w:pPr>
        <w:jc w:val="both"/>
        <w:ind w:left="4" w:right="300"/>
        <w:spacing w:after="0" w:line="263" w:lineRule="auto"/>
        <w:rPr>
          <w:sz w:val="20"/>
          <w:szCs w:val="20"/>
          <w:color w:val="auto"/>
        </w:rPr>
      </w:pPr>
      <w:r>
        <w:rPr>
          <w:rFonts w:ascii="Arial" w:cs="Arial" w:eastAsia="Arial" w:hAnsi="Arial"/>
          <w:sz w:val="18"/>
          <w:szCs w:val="18"/>
          <w:color w:val="auto"/>
        </w:rPr>
        <w:t>In order to implement the aforementioned resolutions to convert the Company and to amend the articles of association, the person appearing declares that the Company is hereby converted into a public company and that the articles of association of the Company are hereby amended such that these shall read in full as follows: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ARTICLES OF ASSOCIATION</w:t>
      </w:r>
    </w:p>
    <w:p>
      <w:pPr>
        <w:spacing w:after="0" w:line="131" w:lineRule="exact"/>
        <w:rPr>
          <w:sz w:val="20"/>
          <w:szCs w:val="20"/>
          <w:color w:val="auto"/>
        </w:rPr>
      </w:pPr>
    </w:p>
    <w:p>
      <w:pPr>
        <w:ind w:left="544" w:hanging="544"/>
        <w:spacing w:after="0"/>
        <w:tabs>
          <w:tab w:leader="none" w:pos="544"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these Articles of Association the following terms shall have the following meanings:</w:t>
      </w:r>
    </w:p>
    <w:p>
      <w:pPr>
        <w:spacing w:after="0" w:line="11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Accounts</w:t>
      </w:r>
      <w:r>
        <w:rPr>
          <w:rFonts w:ascii="Arial" w:cs="Arial" w:eastAsia="Arial" w:hAnsi="Arial"/>
          <w:sz w:val="18"/>
          <w:szCs w:val="18"/>
          <w:color w:val="auto"/>
        </w:rPr>
        <w:t>” means the annual accounts referred to in section 2:361 of the Dutch Civil Code;</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54" w:name="page355"/>
    <w:bookmarkEnd w:id="35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Articles of Association</w:t>
      </w:r>
      <w:r>
        <w:rPr>
          <w:rFonts w:ascii="Arial" w:cs="Arial" w:eastAsia="Arial" w:hAnsi="Arial"/>
          <w:sz w:val="18"/>
          <w:szCs w:val="18"/>
          <w:color w:val="auto"/>
        </w:rPr>
        <w:t>” means these articles of association;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Associate</w:t>
      </w:r>
      <w:r>
        <w:rPr>
          <w:rFonts w:ascii="Arial" w:cs="Arial" w:eastAsia="Arial" w:hAnsi="Arial"/>
          <w:sz w:val="18"/>
          <w:szCs w:val="18"/>
          <w:color w:val="auto"/>
        </w:rPr>
        <w:t>” means, with respect to any person:</w:t>
      </w:r>
    </w:p>
    <w:p>
      <w:pPr>
        <w:spacing w:after="0" w:line="135" w:lineRule="exact"/>
        <w:rPr>
          <w:sz w:val="20"/>
          <w:szCs w:val="20"/>
          <w:color w:val="auto"/>
        </w:rPr>
      </w:pPr>
    </w:p>
    <w:p>
      <w:pPr>
        <w:ind w:left="644" w:right="220" w:hanging="644"/>
        <w:spacing w:after="0" w:line="277" w:lineRule="auto"/>
        <w:tabs>
          <w:tab w:leader="none" w:pos="64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trust or other estate in which such person has a substantial beneficial interest or as to which such person serves as trustee or in a similar fiduciary capacity, and</w:t>
      </w:r>
    </w:p>
    <w:p>
      <w:pPr>
        <w:spacing w:after="0" w:line="75" w:lineRule="exact"/>
        <w:rPr>
          <w:rFonts w:ascii="Arial" w:cs="Arial" w:eastAsia="Arial" w:hAnsi="Arial"/>
          <w:sz w:val="18"/>
          <w:szCs w:val="18"/>
          <w:color w:val="auto"/>
        </w:rPr>
      </w:pPr>
    </w:p>
    <w:p>
      <w:pPr>
        <w:ind w:left="644" w:right="220" w:hanging="644"/>
        <w:spacing w:after="0" w:line="277" w:lineRule="auto"/>
        <w:tabs>
          <w:tab w:leader="none" w:pos="64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relative or spouse of such person, or any relative of such spouse, who has the same home as such person or who is an Executive Officer or a Supervisory Director;</w:t>
      </w:r>
    </w:p>
    <w:p>
      <w:pPr>
        <w:spacing w:after="0" w:line="58"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 means an auditor as referred to in section 2:393 subsection 1 of the Dutch Civil Code, or an organisation within which such auditors cooperate;</w:t>
      </w:r>
    </w:p>
    <w:p>
      <w:pPr>
        <w:spacing w:after="0" w:line="54"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Chief Executive Officer</w:t>
      </w:r>
      <w:r>
        <w:rPr>
          <w:rFonts w:ascii="Arial" w:cs="Arial" w:eastAsia="Arial" w:hAnsi="Arial"/>
          <w:sz w:val="18"/>
          <w:szCs w:val="18"/>
          <w:color w:val="auto"/>
        </w:rPr>
        <w:t>” means the Managing Director having, or having been granted, the title of Chief Executive Officer pursuant to these Articles of Association;</w:t>
      </w:r>
    </w:p>
    <w:p>
      <w:pPr>
        <w:spacing w:after="0" w:line="54" w:lineRule="exact"/>
        <w:rPr>
          <w:sz w:val="20"/>
          <w:szCs w:val="20"/>
          <w:color w:val="auto"/>
        </w:rPr>
      </w:pPr>
    </w:p>
    <w:p>
      <w:pPr>
        <w:ind w:left="4" w:right="248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the public company under Dutch law which is governed by these Articles of Association; “</w:t>
      </w:r>
      <w:r>
        <w:rPr>
          <w:rFonts w:ascii="Arial" w:cs="Arial" w:eastAsia="Arial" w:hAnsi="Arial"/>
          <w:sz w:val="16"/>
          <w:szCs w:val="16"/>
          <w:b w:val="1"/>
          <w:bCs w:val="1"/>
          <w:color w:val="auto"/>
        </w:rPr>
        <w:t>Convertible Reserve</w:t>
      </w:r>
      <w:r>
        <w:rPr>
          <w:rFonts w:ascii="Arial" w:cs="Arial" w:eastAsia="Arial" w:hAnsi="Arial"/>
          <w:sz w:val="16"/>
          <w:szCs w:val="16"/>
          <w:color w:val="auto"/>
        </w:rPr>
        <w:t>” means a reserve referred to in sections 2:389 or 2:390 of the Dutch Civil Code;</w:t>
      </w:r>
    </w:p>
    <w:p>
      <w:pPr>
        <w:spacing w:after="0" w:line="1" w:lineRule="exact"/>
        <w:rPr>
          <w:sz w:val="20"/>
          <w:szCs w:val="20"/>
          <w:color w:val="auto"/>
        </w:rPr>
      </w:pPr>
    </w:p>
    <w:p>
      <w:pPr>
        <w:ind w:left="4"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Distributable Reserve</w:t>
      </w:r>
      <w:r>
        <w:rPr>
          <w:rFonts w:ascii="Arial" w:cs="Arial" w:eastAsia="Arial" w:hAnsi="Arial"/>
          <w:sz w:val="18"/>
          <w:szCs w:val="18"/>
          <w:color w:val="auto"/>
        </w:rPr>
        <w:t>” means a distributable reserve other than a share premium reserve maintained by the Company for the benefit of the holders of a series of Financing Preferred Shares pursuant to these Articles of Association;</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Committee</w:t>
      </w:r>
      <w:r>
        <w:rPr>
          <w:rFonts w:ascii="Arial" w:cs="Arial" w:eastAsia="Arial" w:hAnsi="Arial"/>
          <w:sz w:val="18"/>
          <w:szCs w:val="18"/>
          <w:color w:val="auto"/>
        </w:rPr>
        <w:t>” means the executive committee of the Company;</w:t>
      </w:r>
    </w:p>
    <w:p>
      <w:pPr>
        <w:spacing w:after="0" w:line="117"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Officer</w:t>
      </w:r>
      <w:r>
        <w:rPr>
          <w:rFonts w:ascii="Arial" w:cs="Arial" w:eastAsia="Arial" w:hAnsi="Arial"/>
          <w:sz w:val="18"/>
          <w:szCs w:val="18"/>
          <w:color w:val="auto"/>
        </w:rPr>
        <w:t>” means a member of the Executive Committee, including each Managing Director and each other member of the Executive Committee, unless the context otherwise requires;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Preferred Share</w:t>
      </w:r>
      <w:r>
        <w:rPr>
          <w:rFonts w:ascii="Arial" w:cs="Arial" w:eastAsia="Arial" w:hAnsi="Arial"/>
          <w:sz w:val="18"/>
          <w:szCs w:val="18"/>
          <w:color w:val="auto"/>
        </w:rPr>
        <w:t>” means a financing preferred share in the share capital of the Company;</w:t>
      </w:r>
    </w:p>
    <w:p>
      <w:pPr>
        <w:spacing w:after="0" w:line="117" w:lineRule="exact"/>
        <w:rPr>
          <w:sz w:val="20"/>
          <w:szCs w:val="20"/>
          <w:color w:val="auto"/>
        </w:rPr>
      </w:pPr>
    </w:p>
    <w:p>
      <w:pPr>
        <w:ind w:left="4"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Meeting</w:t>
      </w:r>
      <w:r>
        <w:rPr>
          <w:rFonts w:ascii="Arial" w:cs="Arial" w:eastAsia="Arial" w:hAnsi="Arial"/>
          <w:sz w:val="18"/>
          <w:szCs w:val="18"/>
          <w:color w:val="auto"/>
        </w:rPr>
        <w:t>” means the body of the Company consisting of the Persons with Meeting Rights, or a meeting of Persons with Meeting Rights, in each case, as the context may require;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a group as referred to in section 2:24b of the Dutch Civil Code;</w:t>
      </w:r>
    </w:p>
    <w:p>
      <w:pPr>
        <w:spacing w:after="0" w:line="117"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Company</w:t>
      </w:r>
      <w:r>
        <w:rPr>
          <w:rFonts w:ascii="Arial" w:cs="Arial" w:eastAsia="Arial" w:hAnsi="Arial"/>
          <w:sz w:val="18"/>
          <w:szCs w:val="18"/>
          <w:color w:val="auto"/>
        </w:rPr>
        <w:t>” means a legal person or company affiliated with the Company in a group as referred to in section 2:24b of the Dutch Civil Code;</w:t>
      </w:r>
    </w:p>
    <w:p>
      <w:pPr>
        <w:spacing w:after="0" w:line="54" w:lineRule="exact"/>
        <w:rPr>
          <w:sz w:val="20"/>
          <w:szCs w:val="20"/>
          <w:color w:val="auto"/>
        </w:rPr>
      </w:pPr>
    </w:p>
    <w:p>
      <w:pPr>
        <w:ind w:left="4" w:right="410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Indemnitee</w:t>
      </w:r>
      <w:r>
        <w:rPr>
          <w:rFonts w:ascii="Arial" w:cs="Arial" w:eastAsia="Arial" w:hAnsi="Arial"/>
          <w:sz w:val="17"/>
          <w:szCs w:val="17"/>
          <w:color w:val="auto"/>
        </w:rPr>
        <w:t>” means any current or former Executive Officer or Supervisory Director; “</w:t>
      </w:r>
      <w:r>
        <w:rPr>
          <w:rFonts w:ascii="Arial" w:cs="Arial" w:eastAsia="Arial" w:hAnsi="Arial"/>
          <w:sz w:val="17"/>
          <w:szCs w:val="17"/>
          <w:b w:val="1"/>
          <w:bCs w:val="1"/>
          <w:color w:val="auto"/>
        </w:rPr>
        <w:t>Management Board</w:t>
      </w:r>
      <w:r>
        <w:rPr>
          <w:rFonts w:ascii="Arial" w:cs="Arial" w:eastAsia="Arial" w:hAnsi="Arial"/>
          <w:sz w:val="17"/>
          <w:szCs w:val="17"/>
          <w:color w:val="auto"/>
        </w:rPr>
        <w:t>” means the management board of the Company;</w:t>
      </w:r>
    </w:p>
    <w:p>
      <w:pPr>
        <w:spacing w:after="0" w:line="1" w:lineRule="exact"/>
        <w:rPr>
          <w:sz w:val="20"/>
          <w:szCs w:val="20"/>
          <w:color w:val="auto"/>
        </w:rPr>
      </w:pPr>
    </w:p>
    <w:p>
      <w:pPr>
        <w:ind w:left="4924" w:right="2580" w:hanging="4911"/>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Report</w:t>
      </w:r>
      <w:r>
        <w:rPr>
          <w:rFonts w:ascii="Arial" w:cs="Arial" w:eastAsia="Arial" w:hAnsi="Arial"/>
          <w:sz w:val="18"/>
          <w:szCs w:val="18"/>
          <w:color w:val="auto"/>
        </w:rPr>
        <w:t>” means the management report referred to in section 2:391 of the Dutch Civil Code; 2</w:t>
      </w:r>
    </w:p>
    <w:p>
      <w:pPr>
        <w:sectPr>
          <w:pgSz w:w="11900" w:h="16838" w:orient="portrait"/>
          <w:cols w:equalWidth="0" w:num="1">
            <w:col w:w="10364"/>
          </w:cols>
          <w:pgMar w:left="976" w:top="270" w:right="559" w:bottom="1440" w:gutter="0" w:footer="0" w:header="0"/>
        </w:sectPr>
      </w:pPr>
    </w:p>
    <w:bookmarkStart w:id="355" w:name="page356"/>
    <w:bookmarkEnd w:id="355"/>
    <w:p>
      <w:pPr>
        <w:ind w:left="5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Managing Director</w:t>
      </w:r>
      <w:r>
        <w:rPr>
          <w:rFonts w:ascii="Arial" w:cs="Arial" w:eastAsia="Arial" w:hAnsi="Arial"/>
          <w:sz w:val="18"/>
          <w:szCs w:val="18"/>
          <w:color w:val="auto"/>
        </w:rPr>
        <w:t>” means a managing director of the Company;</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w:t>
      </w:r>
      <w:r>
        <w:rPr>
          <w:rFonts w:ascii="Arial" w:cs="Arial" w:eastAsia="Arial" w:hAnsi="Arial"/>
          <w:sz w:val="18"/>
          <w:szCs w:val="18"/>
          <w:color w:val="auto"/>
        </w:rPr>
        <w:t>” means an ordinary share in the share capital of the Company;</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Interest</w:t>
      </w:r>
      <w:r>
        <w:rPr>
          <w:rFonts w:ascii="Arial" w:cs="Arial" w:eastAsia="Arial" w:hAnsi="Arial"/>
          <w:sz w:val="18"/>
          <w:szCs w:val="18"/>
          <w:color w:val="auto"/>
        </w:rPr>
        <w:t>” means a participating interest as referred to in section 2:24c of the Dutch Civil Code;</w:t>
      </w:r>
    </w:p>
    <w:p>
      <w:pPr>
        <w:spacing w:after="0" w:line="117" w:lineRule="exact"/>
        <w:rPr>
          <w:sz w:val="20"/>
          <w:szCs w:val="20"/>
          <w:color w:val="auto"/>
        </w:rPr>
      </w:pPr>
    </w:p>
    <w:p>
      <w:pPr>
        <w:ind w:left="544" w:right="16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 with Meeting Rights</w:t>
      </w:r>
      <w:r>
        <w:rPr>
          <w:rFonts w:ascii="Arial" w:cs="Arial" w:eastAsia="Arial" w:hAnsi="Arial"/>
          <w:sz w:val="18"/>
          <w:szCs w:val="18"/>
          <w:color w:val="auto"/>
        </w:rPr>
        <w:t>” means a Shareholder and a Usufructuary and Pledgee who are entitled to the voting rights; “</w:t>
      </w:r>
      <w:r>
        <w:rPr>
          <w:rFonts w:ascii="Arial" w:cs="Arial" w:eastAsia="Arial" w:hAnsi="Arial"/>
          <w:sz w:val="18"/>
          <w:szCs w:val="18"/>
          <w:b w:val="1"/>
          <w:bCs w:val="1"/>
          <w:color w:val="auto"/>
        </w:rPr>
        <w:t>Pledgee</w:t>
      </w:r>
      <w:r>
        <w:rPr>
          <w:rFonts w:ascii="Arial" w:cs="Arial" w:eastAsia="Arial" w:hAnsi="Arial"/>
          <w:sz w:val="18"/>
          <w:szCs w:val="18"/>
          <w:color w:val="auto"/>
        </w:rPr>
        <w:t>” means a holder of a right of pledge on one or more Shares;</w:t>
      </w:r>
    </w:p>
    <w:p>
      <w:pPr>
        <w:spacing w:after="0" w:line="1" w:lineRule="exact"/>
        <w:rPr>
          <w:sz w:val="20"/>
          <w:szCs w:val="20"/>
          <w:color w:val="auto"/>
        </w:rPr>
      </w:pPr>
    </w:p>
    <w:p>
      <w:pPr>
        <w:ind w:left="544"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in the share capital of the Company, including each Ordinary Share and each Financing Preferred Share, unless the context otherwise requires;</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means a holder of one or more Shares;</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Affiliate</w:t>
      </w:r>
      <w:r>
        <w:rPr>
          <w:rFonts w:ascii="Arial" w:cs="Arial" w:eastAsia="Arial" w:hAnsi="Arial"/>
          <w:sz w:val="18"/>
          <w:szCs w:val="18"/>
          <w:color w:val="auto"/>
        </w:rPr>
        <w:t>” means, with respect to any Shareholder:</w:t>
      </w:r>
    </w:p>
    <w:p>
      <w:pPr>
        <w:spacing w:after="0" w:line="135" w:lineRule="exact"/>
        <w:rPr>
          <w:sz w:val="20"/>
          <w:szCs w:val="20"/>
          <w:color w:val="auto"/>
        </w:rPr>
      </w:pPr>
    </w:p>
    <w:p>
      <w:pPr>
        <w:ind w:left="1184" w:hanging="644"/>
        <w:spacing w:after="0"/>
        <w:tabs>
          <w:tab w:leader="none" w:pos="118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person controlling, directly or indirectly, or acting in concert with, such Shareholder;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beneficial owner of Shares owned of record or beneficially by such Shareholder, or</w:t>
      </w:r>
    </w:p>
    <w:p>
      <w:pPr>
        <w:spacing w:after="0" w:line="117" w:lineRule="exact"/>
        <w:rPr>
          <w:sz w:val="20"/>
          <w:szCs w:val="20"/>
          <w:color w:val="auto"/>
        </w:rPr>
      </w:pPr>
    </w:p>
    <w:p>
      <w:pPr>
        <w:ind w:left="544" w:right="2680"/>
        <w:spacing w:after="0" w:line="374" w:lineRule="auto"/>
        <w:rPr>
          <w:sz w:val="20"/>
          <w:szCs w:val="20"/>
          <w:color w:val="auto"/>
        </w:rPr>
      </w:pPr>
      <w:r>
        <w:rPr>
          <w:rFonts w:ascii="Arial" w:cs="Arial" w:eastAsia="Arial" w:hAnsi="Arial"/>
          <w:sz w:val="18"/>
          <w:szCs w:val="18"/>
          <w:color w:val="auto"/>
        </w:rPr>
        <w:t>any person directly or indirectly controlling, controlled by or under common control with such Shareholder; “</w:t>
      </w:r>
      <w:r>
        <w:rPr>
          <w:rFonts w:ascii="Arial" w:cs="Arial" w:eastAsia="Arial" w:hAnsi="Arial"/>
          <w:sz w:val="18"/>
          <w:szCs w:val="18"/>
          <w:b w:val="1"/>
          <w:bCs w:val="1"/>
          <w:color w:val="auto"/>
        </w:rPr>
        <w:t>Subsidiary</w:t>
      </w:r>
      <w:r>
        <w:rPr>
          <w:rFonts w:ascii="Arial" w:cs="Arial" w:eastAsia="Arial" w:hAnsi="Arial"/>
          <w:sz w:val="18"/>
          <w:szCs w:val="18"/>
          <w:color w:val="auto"/>
        </w:rPr>
        <w:t>” means a subsidiary as referred to in section 2:24a of the Dutch Civil Code; “</w:t>
      </w:r>
      <w:r>
        <w:rPr>
          <w:rFonts w:ascii="Arial" w:cs="Arial" w:eastAsia="Arial" w:hAnsi="Arial"/>
          <w:sz w:val="18"/>
          <w:szCs w:val="18"/>
          <w:b w:val="1"/>
          <w:bCs w:val="1"/>
          <w:color w:val="auto"/>
        </w:rPr>
        <w:t>Supervisory Board</w:t>
      </w:r>
      <w:r>
        <w:rPr>
          <w:rFonts w:ascii="Arial" w:cs="Arial" w:eastAsia="Arial" w:hAnsi="Arial"/>
          <w:sz w:val="18"/>
          <w:szCs w:val="18"/>
          <w:color w:val="auto"/>
        </w:rPr>
        <w:t>” means the supervisory board of the Company;</w:t>
      </w:r>
    </w:p>
    <w:p>
      <w:pPr>
        <w:ind w:left="544"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Supervisory Director</w:t>
      </w:r>
      <w:r>
        <w:rPr>
          <w:rFonts w:ascii="Arial" w:cs="Arial" w:eastAsia="Arial" w:hAnsi="Arial"/>
          <w:sz w:val="18"/>
          <w:szCs w:val="18"/>
          <w:color w:val="auto"/>
        </w:rPr>
        <w:t>” means a supervisory director of the Company, including each Supervisory Director I, each Supervisory Director II and each Supervisory Director III, unless the context otherwise requires;</w:t>
      </w:r>
    </w:p>
    <w:p>
      <w:pPr>
        <w:spacing w:after="0" w:line="54" w:lineRule="exact"/>
        <w:rPr>
          <w:sz w:val="20"/>
          <w:szCs w:val="20"/>
          <w:color w:val="auto"/>
        </w:rPr>
      </w:pPr>
    </w:p>
    <w:p>
      <w:pPr>
        <w:ind w:left="54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Supervisory Director I</w:t>
      </w:r>
      <w:r>
        <w:rPr>
          <w:rFonts w:ascii="Arial" w:cs="Arial" w:eastAsia="Arial" w:hAnsi="Arial"/>
          <w:sz w:val="18"/>
          <w:szCs w:val="18"/>
          <w:color w:val="auto"/>
        </w:rPr>
        <w:t>” means a Supervisory Director designated by the Supervisory Board as supervisory director I pursuant to these Articles of Association;</w:t>
      </w:r>
    </w:p>
    <w:p>
      <w:pPr>
        <w:spacing w:after="0" w:line="54" w:lineRule="exact"/>
        <w:rPr>
          <w:sz w:val="20"/>
          <w:szCs w:val="20"/>
          <w:color w:val="auto"/>
        </w:rPr>
      </w:pPr>
    </w:p>
    <w:p>
      <w:pPr>
        <w:ind w:left="544"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Supervisory Director II</w:t>
      </w:r>
      <w:r>
        <w:rPr>
          <w:rFonts w:ascii="Arial" w:cs="Arial" w:eastAsia="Arial" w:hAnsi="Arial"/>
          <w:sz w:val="18"/>
          <w:szCs w:val="18"/>
          <w:color w:val="auto"/>
        </w:rPr>
        <w:t>” means a Supervisory Director designated by the Supervisory Board as supervisory director II pursuant to these Articles of Association;</w:t>
      </w:r>
    </w:p>
    <w:p>
      <w:pPr>
        <w:spacing w:after="0" w:line="54" w:lineRule="exact"/>
        <w:rPr>
          <w:sz w:val="20"/>
          <w:szCs w:val="20"/>
          <w:color w:val="auto"/>
        </w:rPr>
      </w:pPr>
    </w:p>
    <w:p>
      <w:pPr>
        <w:ind w:left="544"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Supervisory Director III</w:t>
      </w:r>
      <w:r>
        <w:rPr>
          <w:rFonts w:ascii="Arial" w:cs="Arial" w:eastAsia="Arial" w:hAnsi="Arial"/>
          <w:sz w:val="18"/>
          <w:szCs w:val="18"/>
          <w:color w:val="auto"/>
        </w:rPr>
        <w:t>” means a Supervisory Director designated by the Supervisory Board as supervisory director II pursuant to these Articles of Association;</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Date</w:t>
      </w:r>
      <w:r>
        <w:rPr>
          <w:rFonts w:ascii="Arial" w:cs="Arial" w:eastAsia="Arial" w:hAnsi="Arial"/>
          <w:sz w:val="18"/>
          <w:szCs w:val="18"/>
          <w:color w:val="auto"/>
        </w:rPr>
        <w:t>” means first day of July two thousand and twenty-one;</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Usufructuary</w:t>
      </w:r>
      <w:r>
        <w:rPr>
          <w:rFonts w:ascii="Arial" w:cs="Arial" w:eastAsia="Arial" w:hAnsi="Arial"/>
          <w:sz w:val="18"/>
          <w:szCs w:val="18"/>
          <w:color w:val="auto"/>
        </w:rPr>
        <w:t>” means a holder of a right of usufruct on one or more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these Articles of Association references to Articles are to articles of these Articles of Association, unless otherwise specified.</w:t>
      </w:r>
    </w:p>
    <w:p>
      <w:pPr>
        <w:spacing w:after="0" w:line="370" w:lineRule="exact"/>
        <w:rPr>
          <w:sz w:val="20"/>
          <w:szCs w:val="20"/>
          <w:color w:val="auto"/>
        </w:rPr>
      </w:pPr>
    </w:p>
    <w:p>
      <w:pPr>
        <w:ind w:left="544" w:hanging="544"/>
        <w:spacing w:after="0"/>
        <w:tabs>
          <w:tab w:leader="none" w:pos="54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Name and seat</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name of the Company is: Immatics N.V.</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Company has its seat in Amsterdam, the Netherlands.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56" w:name="page357"/>
    <w:bookmarkEnd w:id="356"/>
    <w:p>
      <w:pPr>
        <w:ind w:left="544" w:hanging="544"/>
        <w:spacing w:after="0"/>
        <w:tabs>
          <w:tab w:leader="none" w:pos="544"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Objects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objects of the Company are:</w:t>
      </w:r>
    </w:p>
    <w:p>
      <w:pPr>
        <w:spacing w:after="0" w:line="130" w:lineRule="exact"/>
        <w:rPr>
          <w:rFonts w:ascii="Arial" w:cs="Arial" w:eastAsia="Arial" w:hAnsi="Arial"/>
          <w:sz w:val="18"/>
          <w:szCs w:val="18"/>
          <w:b w:val="1"/>
          <w:bCs w:val="1"/>
          <w:color w:val="auto"/>
        </w:rPr>
      </w:pPr>
    </w:p>
    <w:p>
      <w:pPr>
        <w:ind w:left="1184" w:right="360" w:hanging="644"/>
        <w:spacing w:after="0" w:line="277" w:lineRule="auto"/>
        <w:tabs>
          <w:tab w:leader="none" w:pos="118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to research, develop, manufacture and commercialise products for the detection, prevention and treatment of human diseases and conditions and to render advice and services in connection therewith;</w:t>
      </w:r>
    </w:p>
    <w:p>
      <w:pPr>
        <w:spacing w:after="0" w:line="75" w:lineRule="exact"/>
        <w:rPr>
          <w:rFonts w:ascii="Arial" w:cs="Arial" w:eastAsia="Arial" w:hAnsi="Arial"/>
          <w:sz w:val="18"/>
          <w:szCs w:val="18"/>
          <w:color w:val="auto"/>
        </w:rPr>
      </w:pPr>
    </w:p>
    <w:p>
      <w:pPr>
        <w:ind w:left="1184" w:right="220" w:hanging="644"/>
        <w:spacing w:after="0" w:line="277" w:lineRule="auto"/>
        <w:tabs>
          <w:tab w:leader="none" w:pos="118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to participate in, to take an interest in any other way in, to conduct the management of and to finance other businesses, of whatever nature;</w:t>
      </w:r>
    </w:p>
    <w:p>
      <w:pPr>
        <w:spacing w:after="0" w:line="75" w:lineRule="exact"/>
        <w:rPr>
          <w:rFonts w:ascii="Arial" w:cs="Arial" w:eastAsia="Arial" w:hAnsi="Arial"/>
          <w:sz w:val="18"/>
          <w:szCs w:val="18"/>
          <w:color w:val="auto"/>
        </w:rPr>
      </w:pPr>
    </w:p>
    <w:p>
      <w:pPr>
        <w:ind w:left="1184" w:right="400" w:hanging="644"/>
        <w:spacing w:after="0" w:line="277" w:lineRule="auto"/>
        <w:tabs>
          <w:tab w:leader="none" w:pos="118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to provide security, to give guarantees and to bind itself in any other way for its own debts and obligations and for those of other persons;</w:t>
      </w:r>
    </w:p>
    <w:p>
      <w:pPr>
        <w:spacing w:after="0" w:line="75" w:lineRule="exact"/>
        <w:rPr>
          <w:rFonts w:ascii="Arial" w:cs="Arial" w:eastAsia="Arial" w:hAnsi="Arial"/>
          <w:sz w:val="18"/>
          <w:szCs w:val="18"/>
          <w:color w:val="auto"/>
        </w:rPr>
      </w:pPr>
    </w:p>
    <w:p>
      <w:pPr>
        <w:ind w:left="1184" w:right="500" w:hanging="644"/>
        <w:spacing w:after="0" w:line="277" w:lineRule="auto"/>
        <w:tabs>
          <w:tab w:leader="none" w:pos="118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to borrow, to lend and to raise funds, including the issue of bonds, debt instruments and other securities, as well as to enter into agreements in connection therewith;</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to acquire, manage, exploit and dispose of immovable property and other registered property;</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to trade in currencies and securities, as well as in items of property in general;</w:t>
      </w:r>
    </w:p>
    <w:p>
      <w:pPr>
        <w:spacing w:after="0" w:line="130" w:lineRule="exact"/>
        <w:rPr>
          <w:rFonts w:ascii="Arial" w:cs="Arial" w:eastAsia="Arial" w:hAnsi="Arial"/>
          <w:sz w:val="18"/>
          <w:szCs w:val="18"/>
          <w:color w:val="auto"/>
        </w:rPr>
      </w:pPr>
    </w:p>
    <w:p>
      <w:pPr>
        <w:ind w:left="1184" w:right="220" w:hanging="644"/>
        <w:spacing w:after="0" w:line="277" w:lineRule="auto"/>
        <w:tabs>
          <w:tab w:leader="none" w:pos="118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to develop, exploit and trade in patents, trademarks, licenses, know-how, copyrights, database rights and other intellectual property rights;</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to perform all activities of an industrial, financial or commercial nature,</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as well as all activities which are incidental to or which may be conducive to any of the foregoing in the broadest sense.</w:t>
      </w:r>
    </w:p>
    <w:p>
      <w:pPr>
        <w:spacing w:after="0" w:line="370" w:lineRule="exact"/>
        <w:rPr>
          <w:sz w:val="20"/>
          <w:szCs w:val="20"/>
          <w:color w:val="auto"/>
        </w:rPr>
      </w:pPr>
    </w:p>
    <w:p>
      <w:pPr>
        <w:ind w:left="544" w:hanging="544"/>
        <w:spacing w:after="0"/>
        <w:tabs>
          <w:tab w:leader="none" w:pos="544"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 and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authorised share capital of the Company amounts to three million euros (EUR 3,000,000) and is divided into:</w:t>
      </w:r>
    </w:p>
    <w:p>
      <w:pPr>
        <w:spacing w:after="0" w:line="131" w:lineRule="exact"/>
        <w:rPr>
          <w:sz w:val="20"/>
          <w:szCs w:val="20"/>
          <w:color w:val="auto"/>
        </w:rPr>
      </w:pPr>
    </w:p>
    <w:p>
      <w:pPr>
        <w:ind w:left="1184" w:hanging="644"/>
        <w:spacing w:after="0"/>
        <w:tabs>
          <w:tab w:leader="none" w:pos="1184"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two hundred and eighty-five million (285,000,000) Ordinary Shares with a nominal value of one eurocent (EUR 0.01) each; and</w:t>
      </w:r>
    </w:p>
    <w:p>
      <w:pPr>
        <w:spacing w:after="0" w:line="142" w:lineRule="exact"/>
        <w:rPr>
          <w:rFonts w:ascii="Arial" w:cs="Arial" w:eastAsia="Arial" w:hAnsi="Arial"/>
          <w:sz w:val="17"/>
          <w:szCs w:val="17"/>
          <w:color w:val="auto"/>
        </w:rPr>
      </w:pPr>
    </w:p>
    <w:p>
      <w:pPr>
        <w:ind w:left="1184" w:hanging="644"/>
        <w:spacing w:after="0" w:line="342" w:lineRule="auto"/>
        <w:tabs>
          <w:tab w:leader="none" w:pos="118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fifteen million (15,000,000) Financing Preferred Shares with a nominal value of one eurocent (EUR 0.01) each, which are convertible into Ordinary Shares on the terms and subject to the conditions determined in accordance with Article 5.2, divided into:</w:t>
      </w:r>
    </w:p>
    <w:p>
      <w:pPr>
        <w:spacing w:after="0" w:line="29" w:lineRule="exact"/>
        <w:rPr>
          <w:rFonts w:ascii="Arial" w:cs="Arial" w:eastAsia="Arial" w:hAnsi="Arial"/>
          <w:sz w:val="16"/>
          <w:szCs w:val="16"/>
          <w:color w:val="auto"/>
        </w:rPr>
      </w:pPr>
    </w:p>
    <w:p>
      <w:pPr>
        <w:ind w:left="1624" w:hanging="423"/>
        <w:spacing w:after="0"/>
        <w:tabs>
          <w:tab w:leader="none" w:pos="162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 series A consisting of three million (3,000,000) Financing Preferred Shares;</w:t>
      </w:r>
    </w:p>
    <w:p>
      <w:pPr>
        <w:spacing w:after="0" w:line="130" w:lineRule="exact"/>
        <w:rPr>
          <w:rFonts w:ascii="Arial" w:cs="Arial" w:eastAsia="Arial" w:hAnsi="Arial"/>
          <w:sz w:val="18"/>
          <w:szCs w:val="18"/>
          <w:color w:val="auto"/>
        </w:rPr>
      </w:pPr>
    </w:p>
    <w:p>
      <w:pPr>
        <w:ind w:left="1624" w:hanging="423"/>
        <w:spacing w:after="0"/>
        <w:tabs>
          <w:tab w:leader="none" w:pos="162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 series B consisting of three million (3,000,000) Financing Preferred Shares;</w:t>
      </w:r>
    </w:p>
    <w:p>
      <w:pPr>
        <w:spacing w:after="0" w:line="130" w:lineRule="exact"/>
        <w:rPr>
          <w:rFonts w:ascii="Arial" w:cs="Arial" w:eastAsia="Arial" w:hAnsi="Arial"/>
          <w:sz w:val="18"/>
          <w:szCs w:val="18"/>
          <w:color w:val="auto"/>
        </w:rPr>
      </w:pPr>
    </w:p>
    <w:p>
      <w:pPr>
        <w:ind w:left="1624" w:hanging="423"/>
        <w:spacing w:after="0"/>
        <w:tabs>
          <w:tab w:leader="none" w:pos="162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 series C consisting of three million (3,000,000) Financing Preferred Shares;</w:t>
      </w:r>
    </w:p>
    <w:p>
      <w:pPr>
        <w:spacing w:after="0" w:line="158"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4"/>
          </w:cols>
          <w:pgMar w:left="436" w:top="270" w:right="639" w:bottom="1440" w:gutter="0" w:footer="0" w:header="0"/>
        </w:sectPr>
      </w:pPr>
    </w:p>
    <w:bookmarkStart w:id="357" w:name="page358"/>
    <w:bookmarkEnd w:id="357"/>
    <w:p>
      <w:pPr>
        <w:ind w:left="1624" w:hanging="423"/>
        <w:spacing w:after="0"/>
        <w:tabs>
          <w:tab w:leader="none" w:pos="16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series D consisting of three million (3,000,000) Financing Preferred Shares; and</w:t>
      </w:r>
    </w:p>
    <w:p>
      <w:pPr>
        <w:spacing w:after="0" w:line="130" w:lineRule="exact"/>
        <w:rPr>
          <w:rFonts w:ascii="Arial" w:cs="Arial" w:eastAsia="Arial" w:hAnsi="Arial"/>
          <w:sz w:val="18"/>
          <w:szCs w:val="18"/>
          <w:color w:val="auto"/>
        </w:rPr>
      </w:pPr>
    </w:p>
    <w:p>
      <w:pPr>
        <w:ind w:left="1624" w:hanging="423"/>
        <w:spacing w:after="0"/>
        <w:tabs>
          <w:tab w:leader="none" w:pos="16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series E consisting of three million (3,000,000) Financing Preferred Shares.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Each series of Financing Preferred Shares shall constitute a separate class.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Shares shall be in registered form and shall be numbered in such a manner that they can be distinguished from each other at any time.</w:t>
      </w:r>
    </w:p>
    <w:p>
      <w:pPr>
        <w:spacing w:after="0" w:line="131" w:lineRule="exact"/>
        <w:rPr>
          <w:sz w:val="20"/>
          <w:szCs w:val="20"/>
          <w:color w:val="auto"/>
        </w:rPr>
      </w:pPr>
    </w:p>
    <w:p>
      <w:pPr>
        <w:ind w:left="544" w:hanging="539"/>
        <w:spacing w:after="0" w:line="257" w:lineRule="auto"/>
        <w:tabs>
          <w:tab w:leader="none" w:pos="52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The Shares shall be uncertificated and shall be registered in the register of shareholders, provided that the Board may determine that certain or all of the Shares shall be represented by share certificates. Share certificates shall be issued in such form, and shall be signed by a Managing Director or such other persons, as the Board may determine, and shall be numbered in such manner as the Board may determine to be necessary to distinguish the share certificates from each other. The Board may, in its sole discretion, establish further rules with respect to the issue of share certificates.</w:t>
      </w:r>
    </w:p>
    <w:p>
      <w:pPr>
        <w:spacing w:after="0" w:line="332" w:lineRule="exact"/>
        <w:rPr>
          <w:sz w:val="20"/>
          <w:szCs w:val="20"/>
          <w:color w:val="auto"/>
        </w:rPr>
      </w:pPr>
    </w:p>
    <w:p>
      <w:pPr>
        <w:ind w:left="544" w:hanging="544"/>
        <w:spacing w:after="0"/>
        <w:tabs>
          <w:tab w:leader="none" w:pos="544"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Financing Preferred Shares</w:t>
      </w:r>
    </w:p>
    <w:p>
      <w:pPr>
        <w:spacing w:after="0" w:line="135" w:lineRule="exact"/>
        <w:rPr>
          <w:sz w:val="20"/>
          <w:szCs w:val="20"/>
          <w:color w:val="auto"/>
        </w:rPr>
      </w:pPr>
    </w:p>
    <w:p>
      <w:pPr>
        <w:ind w:left="544" w:right="420" w:hanging="539"/>
        <w:spacing w:after="0" w:line="277"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Financing Preferred Shares may, at the request of the holder, be converted into Ordinary Shares pursuant to a resolution of the Management Board.</w:t>
      </w:r>
    </w:p>
    <w:p>
      <w:pPr>
        <w:spacing w:after="0" w:line="76" w:lineRule="exact"/>
        <w:rPr>
          <w:sz w:val="20"/>
          <w:szCs w:val="20"/>
          <w:color w:val="auto"/>
        </w:rPr>
      </w:pPr>
    </w:p>
    <w:p>
      <w:pPr>
        <w:ind w:left="544" w:right="60" w:hanging="539"/>
        <w:spacing w:after="0" w:line="255" w:lineRule="auto"/>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conditions for conversion and the further terms and conditions related to the Financing Preferred Shares shall be determined by the Management Board, subject to the prior approval of the Supervisory Board, the General Meeting and the meeting of holders of the series of Financing Preferred Shares concerned, if Financing Preferred Shares of such series have been issued and are held by persons other than the Company and provided that in no event may any Financing Preferred Share be converted into more than ten Ordinary Shares. The preceding sentence shall apply by analogy to any amendments of or supplementations to the terms and conditions related to the Financing Preferred Shares determined in accordance with that sentence.</w:t>
      </w:r>
    </w:p>
    <w:p>
      <w:pPr>
        <w:spacing w:after="0" w:line="98"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The Management Board shall implement the conversion of any Financing Preferred Shares in accordance with the applicable conditions for such conversion, as determined in accordance with Article 5.2.</w:t>
      </w:r>
    </w:p>
    <w:p>
      <w:pPr>
        <w:spacing w:after="0" w:line="76" w:lineRule="exact"/>
        <w:rPr>
          <w:sz w:val="20"/>
          <w:szCs w:val="20"/>
          <w:color w:val="auto"/>
        </w:rPr>
      </w:pPr>
    </w:p>
    <w:p>
      <w:pPr>
        <w:ind w:left="544" w:hanging="539"/>
        <w:spacing w:after="0" w:line="301" w:lineRule="auto"/>
        <w:tabs>
          <w:tab w:leader="none" w:pos="52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Any obligation to pay up Ordinary Shares arising from a conversion of Financing Preferred Shares into Ordinary Shares shall be charged to the share premium reserve maintained by the Company for the benefit of the holders of the series of Financing Preferred Shares that are converted; if this reserve is insufficient, the difference shall be charged to the Distributable Reserves or the Convertible Reserves determined by the Management Board; if these reserves are insufficient, the difference shall be satisfied by the holder of the Ordinary Shares by payment in cash.</w:t>
      </w:r>
    </w:p>
    <w:p>
      <w:pPr>
        <w:spacing w:after="0" w:line="63" w:lineRule="exact"/>
        <w:rPr>
          <w:sz w:val="20"/>
          <w:szCs w:val="20"/>
          <w:color w:val="auto"/>
        </w:rPr>
      </w:pPr>
    </w:p>
    <w:p>
      <w:pPr>
        <w:ind w:left="544" w:right="300" w:hanging="539"/>
        <w:spacing w:after="0" w:line="259" w:lineRule="auto"/>
        <w:tabs>
          <w:tab w:leader="none" w:pos="52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If Financing Preferred Shares of a particular series are converted into Ordinary Shares, the pro-rata entitlement to the balance of the share premium reserve maintained by the Company for the benefit of the holders of such Financing Preferred Shares, minus the amount charged to such share premium reserve by way of application of Article 5.4 shall be added to the Distributable Reserves determined by the Management Board.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58" w:name="page359"/>
    <w:bookmarkEnd w:id="358"/>
    <w:p>
      <w:pPr>
        <w:ind w:left="544" w:hanging="544"/>
        <w:spacing w:after="0"/>
        <w:tabs>
          <w:tab w:leader="none" w:pos="544"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Issue of Shares</w:t>
      </w:r>
    </w:p>
    <w:p>
      <w:pPr>
        <w:spacing w:after="0" w:line="135" w:lineRule="exact"/>
        <w:rPr>
          <w:sz w:val="20"/>
          <w:szCs w:val="20"/>
          <w:color w:val="auto"/>
        </w:rPr>
      </w:pPr>
    </w:p>
    <w:p>
      <w:pPr>
        <w:ind w:left="544" w:hanging="539"/>
        <w:spacing w:after="0" w:line="273"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Shares may be issued pursuant to a resolution of the General Meeting or of the Management Board, if the Management Board has been authorised by a resolution of the General Meeting to issue Shares for a specified period not exceeding five years. The resolution of the General Meeting granting the authorisation shall specify the number of Shares that may be issued by the Management Board. The authorisation may from time to time be extended, in each case, for a period not exceeding five years. Unless otherwise specified in the resolution of the General Meeting granting the authorisation, the authorisation may not be revoked. For as long as and to the extent that the Management Board is authorised to issue Shares, the General Meeting shall not have the authority to issue Shares.</w:t>
      </w:r>
    </w:p>
    <w:p>
      <w:pPr>
        <w:spacing w:after="0" w:line="83" w:lineRule="exact"/>
        <w:rPr>
          <w:sz w:val="20"/>
          <w:szCs w:val="20"/>
          <w:color w:val="auto"/>
        </w:rPr>
      </w:pPr>
    </w:p>
    <w:p>
      <w:pPr>
        <w:ind w:left="544" w:right="200" w:hanging="539"/>
        <w:spacing w:after="0" w:line="277"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If the General Meeting is authorised to issue Shares, it may only do so on the proposal of the Management Board, which proposal shall require the prior approval of the Supervisory Board.</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A resolution of the Management Board to issue Shares shall require the prior approval of the Supervisory Board.</w:t>
      </w:r>
    </w:p>
    <w:p>
      <w:pPr>
        <w:spacing w:after="0" w:line="131" w:lineRule="exact"/>
        <w:rPr>
          <w:sz w:val="20"/>
          <w:szCs w:val="20"/>
          <w:color w:val="auto"/>
        </w:rPr>
      </w:pPr>
    </w:p>
    <w:p>
      <w:pPr>
        <w:ind w:left="544" w:right="80" w:hanging="539"/>
        <w:spacing w:after="0" w:line="308" w:lineRule="auto"/>
        <w:tabs>
          <w:tab w:leader="none" w:pos="524"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The validity of a resolution of the General Meeting to issue Shares or to authorise the Management Board to issue Shares shall require a prior or simultaneous approving resolution of each group of holders of Shares of a same class whose rights are prejudiced by such issue.</w:t>
      </w:r>
    </w:p>
    <w:p>
      <w:pPr>
        <w:spacing w:after="0" w:line="52"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Articles 6.1 up to and including 6.4 shall apply by analogy to a grant of rights to subscribe for Shares, but shall not apply to the issue of Shares to a person who exercises a previously acquired right to subscribe for Shares.</w:t>
      </w:r>
    </w:p>
    <w:p>
      <w:pPr>
        <w:spacing w:after="0" w:line="315" w:lineRule="exact"/>
        <w:rPr>
          <w:sz w:val="20"/>
          <w:szCs w:val="20"/>
          <w:color w:val="auto"/>
        </w:rPr>
      </w:pPr>
    </w:p>
    <w:p>
      <w:pPr>
        <w:ind w:left="544" w:hanging="544"/>
        <w:spacing w:after="0"/>
        <w:tabs>
          <w:tab w:leader="none" w:pos="544"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Pre-emption rights upon issue of Shares</w:t>
      </w:r>
    </w:p>
    <w:p>
      <w:pPr>
        <w:spacing w:after="0" w:line="135"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Upon the issue of Ordinary Shares, each holder of Ordinary Shares shall have a pre-emption right in proportion to the aggregate amount of the Ordinary Shares held by such holder, subject to Article 7.2.</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A holder of Ordinary Shares shall have no pre-emption right in respect of:</w:t>
      </w:r>
    </w:p>
    <w:p>
      <w:pPr>
        <w:spacing w:after="0" w:line="131" w:lineRule="exact"/>
        <w:rPr>
          <w:sz w:val="20"/>
          <w:szCs w:val="20"/>
          <w:color w:val="auto"/>
        </w:rPr>
      </w:pPr>
    </w:p>
    <w:p>
      <w:pPr>
        <w:ind w:left="1184" w:hanging="644"/>
        <w:spacing w:after="0"/>
        <w:tabs>
          <w:tab w:leader="none" w:pos="118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Ordinary Shares which are issued against payment in a form of consideration other than cash;</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Ordinary Shares which are issued to employees of the Company or of a Group Company;</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Financing Preferred Shares to be issued.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Holders of Financing Preferred Shares shall have no pre-emption right in respect of Shares to be issued.</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359" w:name="page360"/>
    <w:bookmarkEnd w:id="359"/>
    <w:p>
      <w:pPr>
        <w:ind w:left="544" w:right="40" w:hanging="539"/>
        <w:spacing w:after="0" w:line="255"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7.4</w:t>
      </w:r>
      <w:r>
        <w:rPr>
          <w:sz w:val="20"/>
          <w:szCs w:val="20"/>
          <w:color w:val="auto"/>
        </w:rPr>
        <w:tab/>
      </w:r>
      <w:r>
        <w:rPr>
          <w:rFonts w:ascii="Arial" w:cs="Arial" w:eastAsia="Arial" w:hAnsi="Arial"/>
          <w:sz w:val="18"/>
          <w:szCs w:val="18"/>
          <w:color w:val="auto"/>
        </w:rPr>
        <w:t>Pre-emption rights may be limited or excluded by a resolution of the General Meeting or of the Management Board, if the Management Board has been authorised by a resolution of the General Meeting to limit or exclude pre-emption rights for a specified period not exceeding five years. The authorisation may from time to time be extended, in each case for a period not exceeding five years. Unless otherwise specified in the resolution of the General Meeting granting the authorisation, the authorisation may not be revoked. For as long as and to the extent that the Management Board is authorised to limit or exclude pre-emption rights, the General Meeting shall not have the authority to limit or exclude pre-emption rights.</w:t>
      </w:r>
    </w:p>
    <w:p>
      <w:pPr>
        <w:spacing w:after="0" w:line="98" w:lineRule="exact"/>
        <w:rPr>
          <w:sz w:val="20"/>
          <w:szCs w:val="20"/>
          <w:color w:val="auto"/>
        </w:rPr>
      </w:pPr>
    </w:p>
    <w:p>
      <w:pPr>
        <w:jc w:val="center"/>
        <w:ind w:left="440"/>
        <w:spacing w:after="0" w:line="342" w:lineRule="auto"/>
        <w:rPr>
          <w:sz w:val="20"/>
          <w:szCs w:val="20"/>
          <w:color w:val="auto"/>
        </w:rPr>
      </w:pPr>
      <w:r>
        <w:rPr>
          <w:rFonts w:ascii="Arial" w:cs="Arial" w:eastAsia="Arial" w:hAnsi="Arial"/>
          <w:sz w:val="16"/>
          <w:szCs w:val="16"/>
          <w:color w:val="auto"/>
        </w:rPr>
        <w:t>7.5    A resolution of the General Meeting to limit or exclude pre-emption rights or to authorise the Management Board to limit or exclude pre-emption rights shall require a majority of at least two thirds of the votes cast, if less than half the issued share capital is represented at the meeting.</w:t>
      </w:r>
    </w:p>
    <w:p>
      <w:pPr>
        <w:spacing w:after="0" w:line="29"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If the General Meeting is authorised to limit or exclude pre-emption rights, it may only do so on the proposal of the Management Board, which proposal shall require the prior approval of the Supervisory Board.</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A resolution of the Management Board to limit or exclude pre-emption rights shall require the prior approval of the Supervisory Board.</w:t>
      </w:r>
    </w:p>
    <w:p>
      <w:pPr>
        <w:spacing w:after="0" w:line="131"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The Company shall announce an issue of Shares where pre-emption rights apply in accordance with applicable law. Such announcement shall include the period within which such pre-emption rights may be exercised.</w:t>
      </w:r>
    </w:p>
    <w:p>
      <w:pPr>
        <w:spacing w:after="0" w:line="76"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color w:val="auto"/>
        </w:rPr>
        <w:t>Articles 7.1 up to and including 7.8 shall apply by analogy to a grant of rights to subscribe for Shares, but shall not apply to an issue of Shares to a person who exercises a previously acquired right to subscribe for Shares.</w:t>
      </w:r>
    </w:p>
    <w:p>
      <w:pPr>
        <w:spacing w:after="0" w:line="315" w:lineRule="exact"/>
        <w:rPr>
          <w:sz w:val="20"/>
          <w:szCs w:val="20"/>
          <w:color w:val="auto"/>
        </w:rPr>
      </w:pPr>
    </w:p>
    <w:p>
      <w:pPr>
        <w:ind w:left="544" w:hanging="544"/>
        <w:spacing w:after="0"/>
        <w:tabs>
          <w:tab w:leader="none" w:pos="544"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Shares</w:t>
      </w:r>
    </w:p>
    <w:p>
      <w:pPr>
        <w:spacing w:after="0" w:line="135" w:lineRule="exact"/>
        <w:rPr>
          <w:sz w:val="20"/>
          <w:szCs w:val="20"/>
          <w:color w:val="auto"/>
        </w:rPr>
      </w:pPr>
    </w:p>
    <w:p>
      <w:pPr>
        <w:jc w:val="center"/>
        <w:ind w:right="16"/>
        <w:spacing w:after="0"/>
        <w:tabs>
          <w:tab w:leader="none" w:pos="3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Without prejudice to section 2:80 subsection 2 of the Dutch Civil Code, upon any subscription for Shares, the full nominal value must be paid up</w:t>
      </w:r>
    </w:p>
    <w:p>
      <w:pPr>
        <w:spacing w:after="0" w:line="23" w:lineRule="exact"/>
        <w:rPr>
          <w:sz w:val="20"/>
          <w:szCs w:val="20"/>
          <w:color w:val="auto"/>
        </w:rPr>
      </w:pPr>
    </w:p>
    <w:p>
      <w:pPr>
        <w:ind w:left="544" w:right="580"/>
        <w:spacing w:after="0" w:line="260" w:lineRule="auto"/>
        <w:rPr>
          <w:sz w:val="20"/>
          <w:szCs w:val="20"/>
          <w:color w:val="auto"/>
        </w:rPr>
      </w:pPr>
      <w:r>
        <w:rPr>
          <w:rFonts w:ascii="Arial" w:cs="Arial" w:eastAsia="Arial" w:hAnsi="Arial"/>
          <w:sz w:val="18"/>
          <w:szCs w:val="18"/>
          <w:color w:val="auto"/>
        </w:rPr>
        <w:t>on such Shares and, in the event that the subscription price of such Shares is greater than the nominal value of such Shares, the difference between the nominal value and such higher amount.</w:t>
      </w:r>
    </w:p>
    <w:p>
      <w:pPr>
        <w:spacing w:after="0" w:line="9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 resolution of the Management Board to call any further payments on Shares shall require the prior approval of the Supervisory Board.</w:t>
      </w:r>
    </w:p>
    <w:p>
      <w:pPr>
        <w:spacing w:after="0" w:line="131" w:lineRule="exact"/>
        <w:rPr>
          <w:sz w:val="20"/>
          <w:szCs w:val="20"/>
          <w:color w:val="auto"/>
        </w:rPr>
      </w:pPr>
    </w:p>
    <w:p>
      <w:pPr>
        <w:ind w:left="544" w:right="200" w:hanging="539"/>
        <w:spacing w:after="0" w:line="277"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Payment must be made in cash, unless an alternative contribution has been agreed. Payment in a form of consideration other than cash shall be made with due observance of sections 2:80b and 2:94b of the Dutch Civil Code.</w:t>
      </w:r>
    </w:p>
    <w:p>
      <w:pPr>
        <w:spacing w:after="0" w:line="76" w:lineRule="exact"/>
        <w:rPr>
          <w:sz w:val="20"/>
          <w:szCs w:val="20"/>
          <w:color w:val="auto"/>
        </w:rPr>
      </w:pPr>
    </w:p>
    <w:p>
      <w:pPr>
        <w:ind w:left="544" w:right="640" w:hanging="539"/>
        <w:spacing w:after="0" w:line="277" w:lineRule="auto"/>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Payment in a currency other than the euro may only be made with the consent of the Company and with due observance of section 2:80a subsection 3 of the Dutch Civil Code.</w:t>
      </w:r>
    </w:p>
    <w:p>
      <w:pPr>
        <w:spacing w:after="0" w:line="76" w:lineRule="exact"/>
        <w:rPr>
          <w:sz w:val="20"/>
          <w:szCs w:val="20"/>
          <w:color w:val="auto"/>
        </w:rPr>
      </w:pPr>
    </w:p>
    <w:p>
      <w:pPr>
        <w:jc w:val="both"/>
        <w:ind w:left="544" w:right="260" w:hanging="539"/>
        <w:spacing w:after="0" w:line="263" w:lineRule="auto"/>
        <w:tabs>
          <w:tab w:leader="none" w:pos="524"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Ordinary Shares which are issued to current or former Executive Officers, Supervisory Directors, employees or other service providers of the Company or any of its Group Companies under any equity incentive plan or other program may be paid up at the expense of the Distributable Reserves or the Convertible Reserves determined by the Management Board.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360" w:name="page361"/>
    <w:bookmarkEnd w:id="360"/>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8.6</w:t>
      </w:r>
      <w:r>
        <w:rPr>
          <w:sz w:val="20"/>
          <w:szCs w:val="20"/>
          <w:color w:val="auto"/>
        </w:rPr>
        <w:tab/>
      </w:r>
      <w:r>
        <w:rPr>
          <w:rFonts w:ascii="Arial" w:cs="Arial" w:eastAsia="Arial" w:hAnsi="Arial"/>
          <w:sz w:val="18"/>
          <w:szCs w:val="18"/>
          <w:color w:val="auto"/>
        </w:rPr>
        <w:t>The Management Board shall be authorised to perform the legal acts referred to in section 2:94 subsection 1 of the Dutch Civil Code without the prior approval of the General Meeting.</w:t>
      </w:r>
    </w:p>
    <w:p>
      <w:pPr>
        <w:spacing w:after="0" w:line="315" w:lineRule="exact"/>
        <w:rPr>
          <w:sz w:val="20"/>
          <w:szCs w:val="20"/>
          <w:color w:val="auto"/>
        </w:rPr>
      </w:pPr>
    </w:p>
    <w:p>
      <w:pPr>
        <w:ind w:left="544" w:hanging="544"/>
        <w:spacing w:after="0"/>
        <w:tabs>
          <w:tab w:leader="none" w:pos="544"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Shares by the Company</w:t>
      </w:r>
    </w:p>
    <w:p>
      <w:pPr>
        <w:spacing w:after="0" w:line="135" w:lineRule="exact"/>
        <w:rPr>
          <w:sz w:val="20"/>
          <w:szCs w:val="20"/>
          <w:color w:val="auto"/>
        </w:rPr>
      </w:pPr>
    </w:p>
    <w:p>
      <w:pPr>
        <w:ind w:left="544" w:right="20" w:hanging="539"/>
        <w:spacing w:after="0" w:line="255"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Without prejudice to Article 9.2, the Company may only acquire fully paid up Shares for consideration if and to the extent the General Meeting has authorised the Management Board to acquire Shares. Such authorisation shall be valid for a period not exceeding eighteen months. The resolution of the General Meeting granting the authorisation shall specify the number of Shares that may be acquired, the manner in which such Shares may be acquired and the limits within which the price must be set. The authorisation may from time to time be extended, in each case for a period not exceeding eighteen months. Unless otherwise specified in the resolution of the General Meeting granting the authorisation, the authorisation may not be revoked.</w:t>
      </w:r>
    </w:p>
    <w:p>
      <w:pPr>
        <w:spacing w:after="0" w:line="98" w:lineRule="exact"/>
        <w:rPr>
          <w:sz w:val="20"/>
          <w:szCs w:val="20"/>
          <w:color w:val="auto"/>
        </w:rPr>
      </w:pPr>
    </w:p>
    <w:p>
      <w:pPr>
        <w:ind w:left="544" w:right="280" w:hanging="539"/>
        <w:spacing w:after="0" w:line="263"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authorisation of the General Meeting shall not be required if the Company acquires Shares for the purpose of transferring such Shares to employees of the Company or of a Group Company by virtue of any equity incentive plan or other program applicable to such employees, provided that such Shares are listed on any stock exchange.</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A resolution of the Management Board to acquire Shares shall require the prior approval of the Supervisory Board.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Any acquisition of Shares by the Company shall be effected with due observance of section 2:98 of the Dutch Civil Code.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If depositary receipts for Shares have been issued, such depositary receipts for Shares shall be put on par with Shares for the purpose of Articles</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9.1 up to and including 9.4.</w:t>
      </w:r>
    </w:p>
    <w:p>
      <w:pPr>
        <w:spacing w:after="0" w:line="355" w:lineRule="exact"/>
        <w:rPr>
          <w:sz w:val="20"/>
          <w:szCs w:val="20"/>
          <w:color w:val="auto"/>
        </w:rPr>
      </w:pPr>
    </w:p>
    <w:p>
      <w:pPr>
        <w:ind w:left="544" w:hanging="544"/>
        <w:spacing w:after="0"/>
        <w:tabs>
          <w:tab w:leader="none" w:pos="544"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assistance</w:t>
      </w:r>
    </w:p>
    <w:p>
      <w:pPr>
        <w:spacing w:after="0" w:line="135"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10.1</w:t>
        <w:tab/>
        <w:t>In respect of the subscription for or acquisition of Shares or depositary receipts thereof by other persons, the Company may not provide security, give a guarantee as to the price of the Shares, give guarantees in any other manner and may not bind itself either jointly or severally in addition to or for other persons. This prohibition shall also apply to its Subsidiaries.</w:t>
      </w:r>
    </w:p>
    <w:p>
      <w:pPr>
        <w:spacing w:after="0" w:line="89" w:lineRule="exact"/>
        <w:rPr>
          <w:sz w:val="20"/>
          <w:szCs w:val="20"/>
          <w:color w:val="auto"/>
        </w:rPr>
      </w:pPr>
    </w:p>
    <w:p>
      <w:pPr>
        <w:ind w:left="544" w:right="80" w:hanging="539"/>
        <w:spacing w:after="0" w:line="308" w:lineRule="auto"/>
        <w:tabs>
          <w:tab w:leader="none" w:pos="52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In respect of the subscription for or acquisition of Shares or depositary receipts thereof by other persons, the Company and its Subsidiaries may only grant loans with due observance of section 2:98c subsections 2 up to and including 7 of the Dutch Civil Code.</w:t>
      </w:r>
    </w:p>
    <w:p>
      <w:pPr>
        <w:spacing w:after="0" w:line="52"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10.3</w:t>
        <w:tab/>
        <w:t>Articles 10.1 and 10.2 shall not apply if Shares are subscribed for or acquired by or for the account of employees of the Company or of a Group Company.</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4"/>
          </w:cols>
          <w:pgMar w:left="436" w:top="274" w:right="519" w:bottom="1440" w:gutter="0" w:footer="0" w:header="0"/>
        </w:sectPr>
      </w:pPr>
    </w:p>
    <w:bookmarkStart w:id="361" w:name="page362"/>
    <w:bookmarkEnd w:id="361"/>
    <w:p>
      <w:pPr>
        <w:ind w:left="544" w:hanging="544"/>
        <w:spacing w:after="0"/>
        <w:tabs>
          <w:tab w:leader="none" w:pos="544"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Reduction of share capital</w:t>
      </w:r>
    </w:p>
    <w:p>
      <w:pPr>
        <w:spacing w:after="0" w:line="135" w:lineRule="exact"/>
        <w:rPr>
          <w:sz w:val="20"/>
          <w:szCs w:val="20"/>
          <w:color w:val="auto"/>
        </w:rPr>
      </w:pPr>
    </w:p>
    <w:p>
      <w:pPr>
        <w:ind w:left="544" w:right="140" w:hanging="539"/>
        <w:spacing w:after="0" w:line="259" w:lineRule="auto"/>
        <w:tabs>
          <w:tab w:leader="none" w:pos="524" w:val="left"/>
        </w:tabs>
        <w:rPr>
          <w:sz w:val="20"/>
          <w:szCs w:val="20"/>
          <w:color w:val="auto"/>
        </w:rPr>
      </w:pPr>
      <w:r>
        <w:rPr>
          <w:rFonts w:ascii="Arial" w:cs="Arial" w:eastAsia="Arial" w:hAnsi="Arial"/>
          <w:sz w:val="18"/>
          <w:szCs w:val="18"/>
          <w:color w:val="auto"/>
        </w:rPr>
        <w:t>11.1</w:t>
        <w:tab/>
        <w:t>The General Meeting may resolve to reduce the issued share capital by cancelling Shares or by reducing the nominal value of Shares by an amendment of the Articles of Association. The resolution shall specify the Shares to which the resolution applies and shall describe how such a resolution shall be implemented. The amount of the issued share capital may not fall below the minimum share capital as required by law in effect at the time of the resolution.</w:t>
      </w:r>
    </w:p>
    <w:p>
      <w:pPr>
        <w:spacing w:after="0" w:line="92"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11.2</w:t>
        <w:tab/>
        <w:t>The General Meeting may only resolve to reduce the issued share capital on the proposal of the Management Board, which proposal shall require the prior approval of the Supervisory Board.</w:t>
      </w:r>
    </w:p>
    <w:p>
      <w:pPr>
        <w:spacing w:after="0" w:line="76" w:lineRule="exact"/>
        <w:rPr>
          <w:sz w:val="20"/>
          <w:szCs w:val="20"/>
          <w:color w:val="auto"/>
        </w:rPr>
      </w:pPr>
    </w:p>
    <w:p>
      <w:pPr>
        <w:ind w:left="544" w:right="640" w:hanging="539"/>
        <w:spacing w:after="0" w:line="277" w:lineRule="auto"/>
        <w:tabs>
          <w:tab w:leader="none" w:pos="524" w:val="left"/>
        </w:tabs>
        <w:rPr>
          <w:sz w:val="20"/>
          <w:szCs w:val="20"/>
          <w:color w:val="auto"/>
        </w:rPr>
      </w:pPr>
      <w:r>
        <w:rPr>
          <w:rFonts w:ascii="Arial" w:cs="Arial" w:eastAsia="Arial" w:hAnsi="Arial"/>
          <w:sz w:val="18"/>
          <w:szCs w:val="18"/>
          <w:color w:val="auto"/>
        </w:rPr>
        <w:t>11.3</w:t>
        <w:tab/>
        <w:t>A resolution to cancel Shares may only apply to Shares which are held by the Company itself or to Shares for which the Company holds depositary receipts or to all Financing Preferred Shares of a particular series.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Cancellation of Financing Preferred Shares which are held by another person than the Company shall be effected against:</w:t>
      </w:r>
    </w:p>
    <w:p>
      <w:pPr>
        <w:spacing w:after="0" w:line="131" w:lineRule="exact"/>
        <w:rPr>
          <w:sz w:val="20"/>
          <w:szCs w:val="20"/>
          <w:color w:val="auto"/>
        </w:rPr>
      </w:pPr>
    </w:p>
    <w:p>
      <w:pPr>
        <w:ind w:left="1184" w:hanging="644"/>
        <w:spacing w:after="0"/>
        <w:tabs>
          <w:tab w:leader="none" w:pos="118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repayment of the amount paid up on such Financing Preferred Shares;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simultaneous distribution of an amount equal to:</w:t>
      </w:r>
    </w:p>
    <w:p>
      <w:pPr>
        <w:spacing w:after="0" w:line="130" w:lineRule="exact"/>
        <w:rPr>
          <w:rFonts w:ascii="Arial" w:cs="Arial" w:eastAsia="Arial" w:hAnsi="Arial"/>
          <w:sz w:val="18"/>
          <w:szCs w:val="18"/>
          <w:color w:val="auto"/>
        </w:rPr>
      </w:pPr>
    </w:p>
    <w:p>
      <w:pPr>
        <w:ind w:left="1624" w:right="360" w:hanging="423"/>
        <w:spacing w:after="0" w:line="277" w:lineRule="auto"/>
        <w:tabs>
          <w:tab w:leader="none" w:pos="162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balance of the share premium reserve maintained by the Company for the benefit of the holders of the series of Financing Preferred Shares that is cancelled;</w:t>
      </w:r>
    </w:p>
    <w:p>
      <w:pPr>
        <w:spacing w:after="0" w:line="75" w:lineRule="exact"/>
        <w:rPr>
          <w:rFonts w:ascii="Arial" w:cs="Arial" w:eastAsia="Arial" w:hAnsi="Arial"/>
          <w:sz w:val="18"/>
          <w:szCs w:val="18"/>
          <w:color w:val="auto"/>
        </w:rPr>
      </w:pPr>
    </w:p>
    <w:p>
      <w:pPr>
        <w:ind w:left="1624" w:hanging="423"/>
        <w:spacing w:after="0"/>
        <w:tabs>
          <w:tab w:leader="none" w:pos="162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deficit, referred to in Article 44.2; and</w:t>
      </w:r>
    </w:p>
    <w:p>
      <w:pPr>
        <w:spacing w:after="0" w:line="130" w:lineRule="exact"/>
        <w:rPr>
          <w:rFonts w:ascii="Arial" w:cs="Arial" w:eastAsia="Arial" w:hAnsi="Arial"/>
          <w:sz w:val="18"/>
          <w:szCs w:val="18"/>
          <w:color w:val="auto"/>
        </w:rPr>
      </w:pPr>
    </w:p>
    <w:p>
      <w:pPr>
        <w:ind w:left="1624" w:right="740" w:hanging="423"/>
        <w:spacing w:after="0" w:line="277" w:lineRule="auto"/>
        <w:tabs>
          <w:tab w:leader="none" w:pos="1624"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amount, referred to in Article 44.2 under (a), calculated up to the date on which such Financing Preferred Shares are cancelled,</w:t>
      </w:r>
    </w:p>
    <w:p>
      <w:pPr>
        <w:spacing w:after="0" w:line="62"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all with due observance of Articles 45.5 and 45.6.</w:t>
      </w:r>
    </w:p>
    <w:p>
      <w:pPr>
        <w:spacing w:after="0" w:line="131"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11.5</w:t>
        <w:tab/>
        <w:t>Repayment in implementation of a resolution to reduce the nominal value of the Shares shall be made pro rata on all Shares or exclusively on all Shares of a same class.</w:t>
      </w:r>
    </w:p>
    <w:p>
      <w:pPr>
        <w:spacing w:after="0" w:line="76" w:lineRule="exact"/>
        <w:rPr>
          <w:sz w:val="20"/>
          <w:szCs w:val="20"/>
          <w:color w:val="auto"/>
        </w:rPr>
      </w:pPr>
    </w:p>
    <w:p>
      <w:pPr>
        <w:ind w:left="544" w:right="180" w:hanging="539"/>
        <w:spacing w:after="0" w:line="308" w:lineRule="auto"/>
        <w:tabs>
          <w:tab w:leader="none" w:pos="524"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The validity of a resolution of the General Meeting to reduce the issued share capital shall require a prior or simultaneous approving resolution of each group of holders of Shares of a same class whose rights are prejudiced by such share capital reduction.</w:t>
      </w:r>
    </w:p>
    <w:p>
      <w:pPr>
        <w:spacing w:after="0" w:line="52" w:lineRule="exact"/>
        <w:rPr>
          <w:sz w:val="20"/>
          <w:szCs w:val="20"/>
          <w:color w:val="auto"/>
        </w:rPr>
      </w:pPr>
    </w:p>
    <w:p>
      <w:pPr>
        <w:ind w:left="544" w:right="120" w:hanging="539"/>
        <w:spacing w:after="0" w:line="277" w:lineRule="auto"/>
        <w:tabs>
          <w:tab w:leader="none" w:pos="524" w:val="left"/>
        </w:tabs>
        <w:rPr>
          <w:sz w:val="20"/>
          <w:szCs w:val="20"/>
          <w:color w:val="auto"/>
        </w:rPr>
      </w:pPr>
      <w:r>
        <w:rPr>
          <w:rFonts w:ascii="Arial" w:cs="Arial" w:eastAsia="Arial" w:hAnsi="Arial"/>
          <w:sz w:val="18"/>
          <w:szCs w:val="18"/>
          <w:color w:val="auto"/>
        </w:rPr>
        <w:t>11.7</w:t>
        <w:tab/>
        <w:t>A resolution of the General Meeting to reduce the issued share capital shall require a majority of at least two thirds of the votes cast, if less than half the issued share capital is represented at the meeting.</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Reduction of the issued share capital shall be effected with due observance of sections 2:99 and 2:100 of the Dutch Civil Code.</w:t>
      </w:r>
    </w:p>
    <w:p>
      <w:pPr>
        <w:spacing w:after="0" w:line="370" w:lineRule="exact"/>
        <w:rPr>
          <w:sz w:val="20"/>
          <w:szCs w:val="20"/>
          <w:color w:val="auto"/>
        </w:rPr>
      </w:pPr>
    </w:p>
    <w:p>
      <w:pPr>
        <w:ind w:left="544" w:hanging="544"/>
        <w:spacing w:after="0"/>
        <w:tabs>
          <w:tab w:leader="none" w:pos="544"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Right of usufruct and right of pledge on Shares</w:t>
      </w:r>
    </w:p>
    <w:p>
      <w:pPr>
        <w:spacing w:after="0" w:line="135" w:lineRule="exact"/>
        <w:rPr>
          <w:sz w:val="20"/>
          <w:szCs w:val="20"/>
          <w:color w:val="auto"/>
        </w:rPr>
      </w:pPr>
    </w:p>
    <w:p>
      <w:pPr>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t>12.1</w:t>
        <w:tab/>
        <w:t>A right of usufruct may be created on Shares. The voting rights on the Shares encumbered with a right of usufruct shall accrue to the Shareholder. In derogation of the preceding sentence, the voting rights shall accrue to the Usufructuary if so provided at the time of the creation of the right of usufruct.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362" w:name="page363"/>
    <w:bookmarkEnd w:id="362"/>
    <w:p>
      <w:pPr>
        <w:jc w:val="right"/>
        <w:ind w:left="4"/>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12.2   A right of pledge may be created on Shares. The voting rights on the Shares encumbered with a right of pledge shall accrue to the Shareholder. In derogation of the preceding sentence, the voting rights shall accrue to the Pledgee if so provided at the time of the creation of the right of pledge.</w:t>
      </w:r>
    </w:p>
    <w:p>
      <w:pPr>
        <w:spacing w:after="0" w:line="29" w:lineRule="exact"/>
        <w:rPr>
          <w:sz w:val="20"/>
          <w:szCs w:val="20"/>
          <w:color w:val="auto"/>
        </w:rPr>
      </w:pPr>
    </w:p>
    <w:p>
      <w:pPr>
        <w:jc w:val="right"/>
        <w:ind w:left="4" w:right="140"/>
        <w:spacing w:after="0" w:line="342" w:lineRule="auto"/>
        <w:rPr>
          <w:sz w:val="20"/>
          <w:szCs w:val="20"/>
          <w:color w:val="auto"/>
        </w:rPr>
      </w:pPr>
      <w:r>
        <w:rPr>
          <w:rFonts w:ascii="Arial" w:cs="Arial" w:eastAsia="Arial" w:hAnsi="Arial"/>
          <w:sz w:val="16"/>
          <w:szCs w:val="16"/>
          <w:color w:val="auto"/>
        </w:rPr>
        <w:t>12.3   Any Shareholder who pursuant to a right of usufruct or a right of pledge is not entitled to voting rights and any Usufructuary or Pledgee who is entitled to voting rights shall have the rights conferred by law on holders of depositary receipts for shares issued with a company’s cooperation.</w:t>
      </w:r>
    </w:p>
    <w:p>
      <w:pPr>
        <w:spacing w:after="0" w:line="29"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12.4</w:t>
        <w:tab/>
        <w:t>Any Usufructuary or Pledgee who is not entitled to voting rights shall not have the rights conferred by law on holders of depositary receipts for shares issued with a company’s cooperation.</w:t>
      </w:r>
    </w:p>
    <w:p>
      <w:pPr>
        <w:spacing w:after="0" w:line="315" w:lineRule="exact"/>
        <w:rPr>
          <w:sz w:val="20"/>
          <w:szCs w:val="20"/>
          <w:color w:val="auto"/>
        </w:rPr>
      </w:pPr>
    </w:p>
    <w:p>
      <w:pPr>
        <w:ind w:left="544" w:hanging="544"/>
        <w:spacing w:after="0"/>
        <w:tabs>
          <w:tab w:leader="none" w:pos="544"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Depositary receipts for Shares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Company is not authorised to cooperate in the issue of depositary receipts for Shares.</w:t>
      </w:r>
    </w:p>
    <w:p>
      <w:pPr>
        <w:spacing w:after="0" w:line="369" w:lineRule="exact"/>
        <w:rPr>
          <w:rFonts w:ascii="Arial" w:cs="Arial" w:eastAsia="Arial" w:hAnsi="Arial"/>
          <w:sz w:val="18"/>
          <w:szCs w:val="18"/>
          <w:b w:val="1"/>
          <w:bCs w:val="1"/>
          <w:color w:val="auto"/>
        </w:rPr>
      </w:pPr>
    </w:p>
    <w:p>
      <w:pPr>
        <w:ind w:left="544" w:hanging="544"/>
        <w:spacing w:after="0"/>
        <w:tabs>
          <w:tab w:leader="none" w:pos="544"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register</w:t>
      </w:r>
    </w:p>
    <w:p>
      <w:pPr>
        <w:spacing w:after="0" w:line="135" w:lineRule="exact"/>
        <w:rPr>
          <w:sz w:val="20"/>
          <w:szCs w:val="20"/>
          <w:color w:val="auto"/>
        </w:rPr>
      </w:pPr>
    </w:p>
    <w:p>
      <w:pPr>
        <w:ind w:left="544" w:right="40" w:hanging="539"/>
        <w:spacing w:after="0" w:line="259" w:lineRule="auto"/>
        <w:tabs>
          <w:tab w:leader="none" w:pos="524" w:val="left"/>
        </w:tabs>
        <w:rPr>
          <w:sz w:val="20"/>
          <w:szCs w:val="20"/>
          <w:color w:val="auto"/>
        </w:rPr>
      </w:pPr>
      <w:r>
        <w:rPr>
          <w:rFonts w:ascii="Arial" w:cs="Arial" w:eastAsia="Arial" w:hAnsi="Arial"/>
          <w:sz w:val="18"/>
          <w:szCs w:val="18"/>
          <w:color w:val="auto"/>
        </w:rPr>
        <w:t>14.1</w:t>
        <w:tab/>
        <w:t>A register shall be kept by or on behalf of the Company in which the names and addresses of all Shareholders, Usufructuaries and Pledgees shall be recorded, stating the information that must be recorded pursuant to section 2:85 of the Dutch Civil Code and such further information as the Management Board may consider appropriate. Part of the register may be kept outside the Netherlands to comply with applicable law or stock exchange rules.</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The register shall be updated regularly.</w:t>
      </w:r>
    </w:p>
    <w:p>
      <w:pPr>
        <w:spacing w:after="0" w:line="370" w:lineRule="exact"/>
        <w:rPr>
          <w:sz w:val="20"/>
          <w:szCs w:val="20"/>
          <w:color w:val="auto"/>
        </w:rPr>
      </w:pPr>
    </w:p>
    <w:p>
      <w:pPr>
        <w:ind w:left="544" w:hanging="544"/>
        <w:spacing w:after="0"/>
        <w:tabs>
          <w:tab w:leader="none" w:pos="544"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Joint holding</w:t>
      </w:r>
    </w:p>
    <w:p>
      <w:pPr>
        <w:spacing w:after="0" w:line="135" w:lineRule="exact"/>
        <w:rPr>
          <w:sz w:val="20"/>
          <w:szCs w:val="20"/>
          <w:color w:val="auto"/>
        </w:rPr>
      </w:pPr>
    </w:p>
    <w:p>
      <w:pPr>
        <w:ind w:left="544" w:right="60" w:hanging="539"/>
        <w:spacing w:after="0" w:line="342" w:lineRule="auto"/>
        <w:tabs>
          <w:tab w:leader="none" w:pos="524"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If one or more Shares, or a right of usufruct or a right of pledge on one or more Shares, are jointly held by two or more persons, the joint holders may only be represented vis-à -vis the Company by a person who has been designated by such joint holders in writing for that purpose.</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The Management Board may, whether or not subject to certain conditions, grant an exemption from Article 15.1.</w:t>
      </w:r>
    </w:p>
    <w:p>
      <w:pPr>
        <w:spacing w:after="0" w:line="370" w:lineRule="exact"/>
        <w:rPr>
          <w:sz w:val="20"/>
          <w:szCs w:val="20"/>
          <w:color w:val="auto"/>
        </w:rPr>
      </w:pPr>
    </w:p>
    <w:p>
      <w:pPr>
        <w:ind w:left="544" w:hanging="544"/>
        <w:spacing w:after="0"/>
        <w:tabs>
          <w:tab w:leader="none" w:pos="54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135" w:lineRule="exact"/>
        <w:rPr>
          <w:sz w:val="20"/>
          <w:szCs w:val="20"/>
          <w:color w:val="auto"/>
        </w:rPr>
      </w:pPr>
    </w:p>
    <w:p>
      <w:pPr>
        <w:ind w:left="544" w:right="140" w:hanging="539"/>
        <w:spacing w:after="0" w:line="286" w:lineRule="auto"/>
        <w:tabs>
          <w:tab w:leader="none" w:pos="524"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color w:val="auto"/>
        </w:rPr>
        <w:t>Except as otherwise provided in these Articles of Association or permitted by applicable law, the transfer of Shares or of a right of usufruct on Shares, or the creation or release of a right of usufruct or a right of pledge on Shares, shall require an instrument intended for such purpose and, unless the Company is a party to the legal act, the written acknowledgement by the Company of such transfer.</w:t>
      </w:r>
    </w:p>
    <w:p>
      <w:pPr>
        <w:spacing w:after="0" w:line="71" w:lineRule="exact"/>
        <w:rPr>
          <w:sz w:val="20"/>
          <w:szCs w:val="20"/>
          <w:color w:val="auto"/>
        </w:rPr>
      </w:pPr>
    </w:p>
    <w:p>
      <w:pPr>
        <w:jc w:val="both"/>
        <w:ind w:left="544" w:right="220" w:hanging="539"/>
        <w:spacing w:after="0" w:line="263" w:lineRule="auto"/>
        <w:tabs>
          <w:tab w:leader="none" w:pos="524" w:val="left"/>
        </w:tabs>
        <w:rPr>
          <w:sz w:val="20"/>
          <w:szCs w:val="20"/>
          <w:color w:val="auto"/>
        </w:rPr>
      </w:pPr>
      <w:r>
        <w:rPr>
          <w:rFonts w:ascii="Arial" w:cs="Arial" w:eastAsia="Arial" w:hAnsi="Arial"/>
          <w:sz w:val="18"/>
          <w:szCs w:val="18"/>
          <w:color w:val="auto"/>
        </w:rPr>
        <w:t>16.2</w:t>
        <w:tab/>
        <w:t>The acknowledgement shall be made in the instrument or by a dated statement of acknowledgement on the instrument or on a copy or extract thereof signed as a true copy by the transferor. Service of such instrument, true copy or extract upon the Company shall be deemed to have the same effect as an acknowledgement.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363" w:name="page364"/>
    <w:bookmarkEnd w:id="363"/>
    <w:p>
      <w:pPr>
        <w:jc w:val="both"/>
        <w:ind w:left="544" w:right="100" w:hanging="539"/>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16.3</w:t>
        <w:tab/>
        <w:t>A right of pledge may also be created without acknowledgement by or service upon the Company. In such case section 3:239 of the Dutch Civil Code shall apply by analogy, whereby acknowledgement by or service upon the Company shall substitute the notice referred to in section 3:239 subsection 3 of the Dutch Civil Code.</w:t>
      </w:r>
    </w:p>
    <w:p>
      <w:pPr>
        <w:spacing w:after="0" w:line="89" w:lineRule="exact"/>
        <w:rPr>
          <w:sz w:val="20"/>
          <w:szCs w:val="20"/>
          <w:color w:val="auto"/>
        </w:rPr>
      </w:pPr>
    </w:p>
    <w:p>
      <w:pPr>
        <w:ind w:left="544" w:hanging="539"/>
        <w:spacing w:after="0" w:line="296" w:lineRule="auto"/>
        <w:tabs>
          <w:tab w:leader="none" w:pos="524"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For so long as one or more Shares are listed on the NASDAQ Stock Market or any other regulated foreign stock exchange, the Company may, by a resolution of the Management Board for that purpose, determine that the laws of the State of New York, United States of America, shall apply to the property law aspects of the Shares included in the part of the register of shareholders kept by the relevant transfer agent. Articles 16.1 up to and including 16.3 shall not apply to such Shares. Such resolution, as well as a resolution to revoke such designation, shall be made public in accordance with applicable law and shall be deposited at the offices of the Company and the Dutch trade register for inspection.</w:t>
      </w:r>
    </w:p>
    <w:p>
      <w:pPr>
        <w:spacing w:after="0" w:line="67" w:lineRule="exact"/>
        <w:rPr>
          <w:sz w:val="20"/>
          <w:szCs w:val="20"/>
          <w:color w:val="auto"/>
        </w:rPr>
      </w:pPr>
    </w:p>
    <w:p>
      <w:pPr>
        <w:ind w:left="544" w:right="820" w:hanging="539"/>
        <w:spacing w:after="0" w:line="277" w:lineRule="auto"/>
        <w:tabs>
          <w:tab w:leader="none" w:pos="524" w:val="left"/>
        </w:tabs>
        <w:rPr>
          <w:sz w:val="20"/>
          <w:szCs w:val="20"/>
          <w:color w:val="auto"/>
        </w:rPr>
      </w:pPr>
      <w:r>
        <w:rPr>
          <w:rFonts w:ascii="Arial" w:cs="Arial" w:eastAsia="Arial" w:hAnsi="Arial"/>
          <w:sz w:val="18"/>
          <w:szCs w:val="18"/>
          <w:color w:val="auto"/>
        </w:rPr>
        <w:t>16.5</w:t>
        <w:tab/>
        <w:t>A resolution of the Management Board to designate applicable law as referred to in Article 16.4 shall require the prior approval of the Supervisory Board.</w:t>
      </w:r>
    </w:p>
    <w:p>
      <w:pPr>
        <w:spacing w:after="0" w:line="315" w:lineRule="exact"/>
        <w:rPr>
          <w:sz w:val="20"/>
          <w:szCs w:val="20"/>
          <w:color w:val="auto"/>
        </w:rPr>
      </w:pPr>
    </w:p>
    <w:p>
      <w:pPr>
        <w:ind w:left="544" w:hanging="544"/>
        <w:spacing w:after="0"/>
        <w:tabs>
          <w:tab w:leader="none" w:pos="544"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Board</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 Management Board shall consist of such number of Managing Directors as the Supervisory Board may determine.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Managing Directors must be natural persons.</w:t>
      </w:r>
    </w:p>
    <w:p>
      <w:pPr>
        <w:spacing w:after="0" w:line="370" w:lineRule="exact"/>
        <w:rPr>
          <w:sz w:val="20"/>
          <w:szCs w:val="20"/>
          <w:color w:val="auto"/>
        </w:rPr>
      </w:pPr>
    </w:p>
    <w:p>
      <w:pPr>
        <w:ind w:left="544" w:hanging="544"/>
        <w:spacing w:after="0"/>
        <w:tabs>
          <w:tab w:leader="none" w:pos="544"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suspension and dismissal of Managing Directors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Managing Directors shall be appointed by the General Meeting on the basis of one or more binding nominations in accordance with Article 18.2.</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nomination shall specify the vacancy for which the nomination is made. Each nomination shall comprise one candidate.</w:t>
      </w:r>
    </w:p>
    <w:p>
      <w:pPr>
        <w:spacing w:after="0" w:line="116" w:lineRule="exact"/>
        <w:rPr>
          <w:sz w:val="20"/>
          <w:szCs w:val="20"/>
          <w:color w:val="auto"/>
        </w:rPr>
      </w:pPr>
    </w:p>
    <w:p>
      <w:pPr>
        <w:ind w:left="544" w:right="500" w:hanging="539"/>
        <w:spacing w:after="0" w:line="308" w:lineRule="auto"/>
        <w:tabs>
          <w:tab w:leader="none" w:pos="524"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Binding nominations may be made by the Supervisory Board or by one or more Shareholders who individually or jointly represent at least one-tenth of the issued share capital of the Company at the time of giving the notice referred to in Article 18.3.</w:t>
      </w:r>
    </w:p>
    <w:p>
      <w:pPr>
        <w:spacing w:after="0" w:line="52" w:lineRule="exact"/>
        <w:rPr>
          <w:sz w:val="20"/>
          <w:szCs w:val="20"/>
          <w:color w:val="auto"/>
        </w:rPr>
      </w:pPr>
    </w:p>
    <w:p>
      <w:pPr>
        <w:ind w:left="544" w:right="500" w:hanging="539"/>
        <w:spacing w:after="0" w:line="342" w:lineRule="auto"/>
        <w:tabs>
          <w:tab w:leader="none" w:pos="524"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A nomination made by Shareholders in accordance Article 18.2 shall only be binding if such Shareholders have given notice thereof to the Company in writing no later than on the sixtieth day prior to the date of the General Meeting at which the appointment is to be discussed.</w:t>
      </w:r>
    </w:p>
    <w:p>
      <w:pPr>
        <w:spacing w:after="0" w:line="29"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18.4</w:t>
        <w:tab/>
        <w:t>The General Meeting may at all times overrule the binding nature of each nomination by a resolution adopted by a majority of at least two thirds of the votes cast, representing more than half of the issued share capital.</w:t>
      </w:r>
    </w:p>
    <w:p>
      <w:pPr>
        <w:spacing w:after="0" w:line="76"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18.5</w:t>
        <w:tab/>
        <w:t>If there is only one nomination, a resolution on the nomination will result in the candidate having been appointed, unless the binding nature of the nomination is overruled in accordance with Article 18.4.</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64" w:name="page365"/>
    <w:bookmarkEnd w:id="364"/>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18.6</w:t>
        <w:tab/>
        <w:t>If there is more than one nomination, the candidate who obtained the highest number of votes shall be appointed, unless the binding nature of all nominations is overruled in accordance with Article 18.4.</w:t>
      </w:r>
    </w:p>
    <w:p>
      <w:pPr>
        <w:spacing w:after="0" w:line="76" w:lineRule="exact"/>
        <w:rPr>
          <w:sz w:val="20"/>
          <w:szCs w:val="20"/>
          <w:color w:val="auto"/>
        </w:rPr>
      </w:pPr>
    </w:p>
    <w:p>
      <w:pPr>
        <w:ind w:left="544" w:right="320" w:hanging="539"/>
        <w:spacing w:after="0" w:line="286" w:lineRule="auto"/>
        <w:tabs>
          <w:tab w:leader="none" w:pos="524"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7"/>
          <w:szCs w:val="17"/>
          <w:color w:val="auto"/>
        </w:rPr>
        <w:t>If none of the candidates are appointed, the Supervisory Board, or one or more Shareholders who individually or jointly represent at least one-tenth of the issued share capital, may, in accordance with Article 18.2, make a new nomination for the next General Meeting, unless the Supervisory Board resolves to reduce the number of Managing Directors in accordance with Article 17.1.</w:t>
      </w:r>
    </w:p>
    <w:p>
      <w:pPr>
        <w:spacing w:after="0" w:line="71" w:lineRule="exact"/>
        <w:rPr>
          <w:sz w:val="20"/>
          <w:szCs w:val="20"/>
          <w:color w:val="auto"/>
        </w:rPr>
      </w:pPr>
    </w:p>
    <w:p>
      <w:pPr>
        <w:ind w:left="544" w:right="40" w:hanging="539"/>
        <w:spacing w:after="0" w:line="259" w:lineRule="auto"/>
        <w:tabs>
          <w:tab w:leader="none" w:pos="524" w:val="left"/>
        </w:tabs>
        <w:rPr>
          <w:sz w:val="20"/>
          <w:szCs w:val="20"/>
          <w:color w:val="auto"/>
        </w:rPr>
      </w:pPr>
      <w:r>
        <w:rPr>
          <w:rFonts w:ascii="Arial" w:cs="Arial" w:eastAsia="Arial" w:hAnsi="Arial"/>
          <w:sz w:val="18"/>
          <w:szCs w:val="18"/>
          <w:color w:val="auto"/>
        </w:rPr>
        <w:t>18.8</w:t>
        <w:tab/>
        <w:t>The General Meeting may at any time suspend or dismiss a Managing Director. The General Meeting may only adopt a resolution to suspend or dismiss a Managing Director by a majority of at least two thirds of the votes cast, representing more than half of the issued share capital, or, in the case that such resolution is adopted on the proposal of the Supervisory Board, by an absolute majority of the votes cast, representing more than half of the issued share capital.</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color w:val="auto"/>
        </w:rPr>
        <w:t>The Supervisory Board shall be authorised to suspend a Managing Director at any time.</w:t>
      </w:r>
    </w:p>
    <w:p>
      <w:pPr>
        <w:spacing w:after="0" w:line="131" w:lineRule="exact"/>
        <w:rPr>
          <w:sz w:val="20"/>
          <w:szCs w:val="20"/>
          <w:color w:val="auto"/>
        </w:rPr>
      </w:pPr>
    </w:p>
    <w:p>
      <w:pPr>
        <w:jc w:val="both"/>
        <w:ind w:left="544" w:right="180" w:hanging="539"/>
        <w:spacing w:after="0" w:line="263" w:lineRule="auto"/>
        <w:rPr>
          <w:sz w:val="20"/>
          <w:szCs w:val="20"/>
          <w:color w:val="auto"/>
        </w:rPr>
      </w:pPr>
      <w:r>
        <w:rPr>
          <w:rFonts w:ascii="Arial" w:cs="Arial" w:eastAsia="Arial" w:hAnsi="Arial"/>
          <w:sz w:val="18"/>
          <w:szCs w:val="18"/>
          <w:color w:val="auto"/>
        </w:rPr>
        <w:t>18.10 If the General Meeting or the Supervisory Board has suspended a Managing Director, the General Meeting shall within three months after the suspension has taken effect resolve either to dismiss such Managing Director or to terminate the suspension, failing which the suspension will lapse.</w:t>
      </w:r>
    </w:p>
    <w:p>
      <w:pPr>
        <w:spacing w:after="0" w:line="328" w:lineRule="exact"/>
        <w:rPr>
          <w:sz w:val="20"/>
          <w:szCs w:val="20"/>
          <w:color w:val="auto"/>
        </w:rPr>
      </w:pPr>
    </w:p>
    <w:p>
      <w:pPr>
        <w:ind w:left="544" w:hanging="544"/>
        <w:spacing w:after="0"/>
        <w:tabs>
          <w:tab w:leader="none" w:pos="544"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Managing Directors</w:t>
      </w:r>
    </w:p>
    <w:p>
      <w:pPr>
        <w:spacing w:after="0" w:line="135"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color w:val="auto"/>
        </w:rPr>
        <w:t>19.1</w:t>
        <w:tab/>
        <w:t>The Company shall have a policy regarding remuneration of the Management Board. The policy shall be adopted by the General Meeting on the proposal of the Supervisory Board. The remuneration policy shall include the matters described in sections 2:383c up to and including 2:383e of the Dutch Civil Code, to the extent they apply to the Management Board.</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The remuneration of Managing Directors shall be determined by the Supervisory Board with due observance of the policy referred to in Article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19.1.</w:t>
      </w:r>
    </w:p>
    <w:p>
      <w:pPr>
        <w:spacing w:after="0" w:line="116" w:lineRule="exact"/>
        <w:rPr>
          <w:sz w:val="20"/>
          <w:szCs w:val="20"/>
          <w:color w:val="auto"/>
        </w:rPr>
      </w:pPr>
    </w:p>
    <w:p>
      <w:pPr>
        <w:ind w:left="544" w:right="140" w:hanging="539"/>
        <w:spacing w:after="0" w:line="263" w:lineRule="auto"/>
        <w:tabs>
          <w:tab w:leader="none" w:pos="524" w:val="left"/>
        </w:tabs>
        <w:rPr>
          <w:sz w:val="20"/>
          <w:szCs w:val="20"/>
          <w:color w:val="auto"/>
        </w:rPr>
      </w:pPr>
      <w:r>
        <w:rPr>
          <w:rFonts w:ascii="Arial" w:cs="Arial" w:eastAsia="Arial" w:hAnsi="Arial"/>
          <w:sz w:val="18"/>
          <w:szCs w:val="18"/>
          <w:color w:val="auto"/>
        </w:rPr>
        <w:t>19.3</w:t>
        <w:tab/>
        <w:t>The Supervisory Board shall submit proposals concerning arrangements for issuing Shares or granting rights to subscribe for Shares in accordance with the policy referred to in Article 19.1 to the General Meeting for approval. The proposal shall include the information required pursuant to section 2:135 subsection 5 of the Dutch Civil Code.</w:t>
      </w:r>
    </w:p>
    <w:p>
      <w:pPr>
        <w:spacing w:after="0" w:line="328" w:lineRule="exact"/>
        <w:rPr>
          <w:sz w:val="20"/>
          <w:szCs w:val="20"/>
          <w:color w:val="auto"/>
        </w:rPr>
      </w:pPr>
    </w:p>
    <w:p>
      <w:pPr>
        <w:ind w:left="544" w:hanging="544"/>
        <w:spacing w:after="0"/>
        <w:tabs>
          <w:tab w:leader="none" w:pos="544"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Duties, division of duties and decision-making of the Management Board</w:t>
      </w:r>
    </w:p>
    <w:p>
      <w:pPr>
        <w:spacing w:after="0" w:line="135" w:lineRule="exact"/>
        <w:rPr>
          <w:sz w:val="20"/>
          <w:szCs w:val="20"/>
          <w:color w:val="auto"/>
        </w:rPr>
      </w:pPr>
    </w:p>
    <w:p>
      <w:pPr>
        <w:ind w:left="544" w:right="560" w:hanging="539"/>
        <w:spacing w:after="0" w:line="342" w:lineRule="auto"/>
        <w:tabs>
          <w:tab w:leader="none" w:pos="524"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Subject to the limitations provided in these Articles of Association, the Management Board shall be charged with the management of the Company. In fulfilling their duties the Managing Directors shall serve the interest of the Company and the business connected with it.</w:t>
      </w:r>
    </w:p>
    <w:p>
      <w:pPr>
        <w:spacing w:after="0" w:line="29" w:lineRule="exact"/>
        <w:rPr>
          <w:sz w:val="20"/>
          <w:szCs w:val="20"/>
          <w:color w:val="auto"/>
        </w:rPr>
      </w:pPr>
    </w:p>
    <w:p>
      <w:pPr>
        <w:ind w:left="544" w:right="20" w:hanging="539"/>
        <w:spacing w:after="0" w:line="308" w:lineRule="auto"/>
        <w:tabs>
          <w:tab w:leader="none" w:pos="524"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7"/>
          <w:szCs w:val="17"/>
          <w:color w:val="auto"/>
        </w:rPr>
        <w:t>The Management Board may adopt rules with respect to the matters concerning the Management Board. A resolution of the Management Board to adopt, amend, supplement or terminate such rules shall require the prior approval of the Supervisory Board.</w:t>
      </w:r>
    </w:p>
    <w:p>
      <w:pPr>
        <w:spacing w:after="0" w:line="7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4"/>
          </w:cols>
          <w:pgMar w:left="436" w:top="274" w:right="519" w:bottom="1440" w:gutter="0" w:footer="0" w:header="0"/>
        </w:sectPr>
      </w:pPr>
    </w:p>
    <w:bookmarkStart w:id="365" w:name="page366"/>
    <w:bookmarkEnd w:id="365"/>
    <w:p>
      <w:pPr>
        <w:jc w:val="both"/>
        <w:ind w:left="540" w:right="200" w:hanging="539"/>
        <w:spacing w:after="0" w:line="263"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20.3</w:t>
        <w:tab/>
        <w:t>The Management Board may, whether or not by rule, determine the duties with which each Managing Director will be particularly charged. A resolution of the Management Board to determine the duties with which each Managing Director will be particularly charged shall require the prior approval of the Supervisory Board.</w:t>
      </w:r>
    </w:p>
    <w:p>
      <w:pPr>
        <w:spacing w:after="0" w:line="89" w:lineRule="exact"/>
        <w:rPr>
          <w:sz w:val="20"/>
          <w:szCs w:val="20"/>
          <w:color w:val="auto"/>
        </w:rPr>
      </w:pPr>
    </w:p>
    <w:p>
      <w:pPr>
        <w:ind w:left="540" w:right="120" w:hanging="539"/>
        <w:spacing w:after="0" w:line="263" w:lineRule="auto"/>
        <w:tabs>
          <w:tab w:leader="none" w:pos="520" w:val="left"/>
        </w:tabs>
        <w:rPr>
          <w:sz w:val="20"/>
          <w:szCs w:val="20"/>
          <w:color w:val="auto"/>
        </w:rPr>
      </w:pPr>
      <w:r>
        <w:rPr>
          <w:rFonts w:ascii="Arial" w:cs="Arial" w:eastAsia="Arial" w:hAnsi="Arial"/>
          <w:sz w:val="18"/>
          <w:szCs w:val="18"/>
          <w:color w:val="auto"/>
        </w:rPr>
        <w:t>20.4</w:t>
        <w:tab/>
        <w:t>If there is more than one Managing Director, the Supervisory Board shall appoint from among the Managing Directors a chairman. The Supervisory Board shall grant to a Managing Director the title of Chief Executive Officer. The offices of chairman and Chief Executive Officer are compatible.</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color w:val="auto"/>
        </w:rPr>
        <w:t>The Management Board shall meet whenever a Managing Director considers appropriate.</w:t>
      </w:r>
    </w:p>
    <w:p>
      <w:pPr>
        <w:spacing w:after="0" w:line="131" w:lineRule="exact"/>
        <w:rPr>
          <w:sz w:val="20"/>
          <w:szCs w:val="20"/>
          <w:color w:val="auto"/>
        </w:rPr>
      </w:pPr>
    </w:p>
    <w:p>
      <w:pPr>
        <w:ind w:left="540" w:right="340" w:hanging="539"/>
        <w:spacing w:after="0" w:line="277" w:lineRule="auto"/>
        <w:tabs>
          <w:tab w:leader="none" w:pos="520" w:val="left"/>
        </w:tabs>
        <w:rPr>
          <w:sz w:val="20"/>
          <w:szCs w:val="20"/>
          <w:color w:val="auto"/>
        </w:rPr>
      </w:pPr>
      <w:r>
        <w:rPr>
          <w:rFonts w:ascii="Arial" w:cs="Arial" w:eastAsia="Arial" w:hAnsi="Arial"/>
          <w:sz w:val="18"/>
          <w:szCs w:val="18"/>
          <w:color w:val="auto"/>
        </w:rPr>
        <w:t>20.6</w:t>
        <w:tab/>
        <w:t>A Managing Director may only be represented at a meeting by another Managing Director authorised in writing. The requirement of written form for the authorisation shall be met if the authorisation has been recorded electronically.</w:t>
      </w:r>
    </w:p>
    <w:p>
      <w:pPr>
        <w:spacing w:after="0" w:line="76" w:lineRule="exact"/>
        <w:rPr>
          <w:sz w:val="20"/>
          <w:szCs w:val="20"/>
          <w:color w:val="auto"/>
        </w:rPr>
      </w:pPr>
    </w:p>
    <w:p>
      <w:pPr>
        <w:ind w:left="540" w:hanging="539"/>
        <w:spacing w:after="0" w:line="342" w:lineRule="auto"/>
        <w:tabs>
          <w:tab w:leader="none" w:pos="52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color w:val="auto"/>
        </w:rPr>
        <w:t>Each Managing Director may participate in a meeting by electronic means of communication, provided that all Managing Directors participating in the meeting can hear each other simultaneously. A Managing Director so participating shall be deemed to be present at the meeting.</w:t>
      </w:r>
    </w:p>
    <w:p>
      <w:pPr>
        <w:spacing w:after="0" w:line="29" w:lineRule="exact"/>
        <w:rPr>
          <w:sz w:val="20"/>
          <w:szCs w:val="20"/>
          <w:color w:val="auto"/>
        </w:rPr>
      </w:pPr>
    </w:p>
    <w:p>
      <w:pPr>
        <w:ind w:left="540" w:right="20" w:hanging="539"/>
        <w:spacing w:after="0" w:line="277" w:lineRule="auto"/>
        <w:tabs>
          <w:tab w:leader="none" w:pos="520" w:val="left"/>
        </w:tabs>
        <w:rPr>
          <w:sz w:val="20"/>
          <w:szCs w:val="20"/>
          <w:color w:val="auto"/>
        </w:rPr>
      </w:pPr>
      <w:r>
        <w:rPr>
          <w:rFonts w:ascii="Arial" w:cs="Arial" w:eastAsia="Arial" w:hAnsi="Arial"/>
          <w:sz w:val="18"/>
          <w:szCs w:val="18"/>
          <w:color w:val="auto"/>
        </w:rPr>
        <w:t>20.8</w:t>
        <w:tab/>
        <w:t>Each Managing Director shall have one vote. All resolutions shall be adopted by an absolute majority of the votes cast. In the event of a tie vote, the Supervisory Board shall decide.</w:t>
      </w:r>
    </w:p>
    <w:p>
      <w:pPr>
        <w:spacing w:after="0" w:line="76" w:lineRule="exact"/>
        <w:rPr>
          <w:sz w:val="20"/>
          <w:szCs w:val="20"/>
          <w:color w:val="auto"/>
        </w:rPr>
      </w:pPr>
    </w:p>
    <w:p>
      <w:pPr>
        <w:ind w:left="540" w:right="80" w:hanging="539"/>
        <w:spacing w:after="0" w:line="279" w:lineRule="auto"/>
        <w:tabs>
          <w:tab w:leader="none" w:pos="52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7"/>
          <w:szCs w:val="17"/>
          <w:color w:val="auto"/>
        </w:rPr>
        <w:t>In the event that one or more Managing Directors have a direct or indirect personal interest that conflicts with the interest of the Company and the business connected with it, they shall not be authorised to participate in the discussion and the decision-making process. In the event that all Managing Directors have or the only Managing Director has a direct or indirect personal interest that conflicts with the interest of the Company and the business connected with it, the resolution shall be adopted by the Supervisory Board.</w:t>
      </w:r>
    </w:p>
    <w:p>
      <w:pPr>
        <w:spacing w:after="0" w:line="77" w:lineRule="exact"/>
        <w:rPr>
          <w:sz w:val="20"/>
          <w:szCs w:val="20"/>
          <w:color w:val="auto"/>
        </w:rPr>
      </w:pPr>
    </w:p>
    <w:p>
      <w:pPr>
        <w:ind w:left="540" w:right="600" w:hanging="539"/>
        <w:spacing w:after="0" w:line="277" w:lineRule="auto"/>
        <w:rPr>
          <w:sz w:val="20"/>
          <w:szCs w:val="20"/>
          <w:color w:val="auto"/>
        </w:rPr>
      </w:pPr>
      <w:r>
        <w:rPr>
          <w:rFonts w:ascii="Arial" w:cs="Arial" w:eastAsia="Arial" w:hAnsi="Arial"/>
          <w:sz w:val="18"/>
          <w:szCs w:val="18"/>
          <w:color w:val="auto"/>
        </w:rPr>
        <w:t>20.10 A written statement of the chairman of the meeting of the Management Board that the Management Board has adopted a resolution shall constitute proof of such resolution vis-à-vis third parties.</w:t>
      </w:r>
    </w:p>
    <w:p>
      <w:pPr>
        <w:spacing w:after="0" w:line="76" w:lineRule="exact"/>
        <w:rPr>
          <w:sz w:val="20"/>
          <w:szCs w:val="20"/>
          <w:color w:val="auto"/>
        </w:rPr>
      </w:pPr>
    </w:p>
    <w:p>
      <w:pPr>
        <w:jc w:val="both"/>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t>20.11</w:t>
        <w:tab/>
        <w:t>The Management Board may adopt resolutions without holding a meeting, provided that all Managing Directors have consented to this manner of adopting resolutions and the votes are cast in writing or by electronic means. Articles 20.8 and 20.9 shall apply by analogy to the adoption of resolutions by the Management Board without holding a meeting.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366" w:name="page367"/>
    <w:bookmarkEnd w:id="366"/>
    <w:p>
      <w:pPr>
        <w:ind w:left="544" w:hanging="544"/>
        <w:spacing w:after="0"/>
        <w:tabs>
          <w:tab w:leader="none" w:pos="544"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Approval of resolutions of the Management Board</w:t>
      </w:r>
    </w:p>
    <w:p>
      <w:pPr>
        <w:spacing w:after="0" w:line="135"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21.1</w:t>
        <w:tab/>
        <w:t>Resolutions of the Management Board with regard to an important change in the identity or character of the Company or the business connected with it are subject to the prior approval of the General Meeting, including in any case:</w:t>
      </w:r>
    </w:p>
    <w:p>
      <w:pPr>
        <w:spacing w:after="0" w:line="76" w:lineRule="exact"/>
        <w:rPr>
          <w:sz w:val="20"/>
          <w:szCs w:val="20"/>
          <w:color w:val="auto"/>
        </w:rPr>
      </w:pPr>
    </w:p>
    <w:p>
      <w:pPr>
        <w:ind w:left="1184" w:hanging="644"/>
        <w:spacing w:after="0"/>
        <w:tabs>
          <w:tab w:leader="none" w:pos="118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transfer of the business or almost the entire business to a third party;</w:t>
      </w:r>
    </w:p>
    <w:p>
      <w:pPr>
        <w:spacing w:after="0" w:line="130" w:lineRule="exact"/>
        <w:rPr>
          <w:rFonts w:ascii="Arial" w:cs="Arial" w:eastAsia="Arial" w:hAnsi="Arial"/>
          <w:sz w:val="18"/>
          <w:szCs w:val="18"/>
          <w:color w:val="auto"/>
        </w:rPr>
      </w:pPr>
    </w:p>
    <w:p>
      <w:pPr>
        <w:ind w:left="1184" w:right="40" w:hanging="644"/>
        <w:spacing w:after="0" w:line="263" w:lineRule="auto"/>
        <w:tabs>
          <w:tab w:leader="none" w:pos="118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entry into or termination of a long-term cooperation by the Company or a Subsidiary thereof with another legal person or partnership or as a fully liable partner in a limited or general partnership, if such cooperation or termination thereof is of far-reaching significance to the Company; and</w:t>
      </w:r>
    </w:p>
    <w:p>
      <w:pPr>
        <w:spacing w:after="0" w:line="89" w:lineRule="exact"/>
        <w:rPr>
          <w:rFonts w:ascii="Arial" w:cs="Arial" w:eastAsia="Arial" w:hAnsi="Arial"/>
          <w:sz w:val="18"/>
          <w:szCs w:val="18"/>
          <w:color w:val="auto"/>
        </w:rPr>
      </w:pPr>
    </w:p>
    <w:p>
      <w:pPr>
        <w:ind w:left="1184" w:right="120" w:hanging="644"/>
        <w:spacing w:after="0" w:line="259" w:lineRule="auto"/>
        <w:tabs>
          <w:tab w:leader="none" w:pos="118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acquisition or disposal by the Company or a Subsidiary thereof of a Participating Interest in the capital of a company with a value of at least one-third of the amount of the assets as shown in the balance sheet with explanatory notes or, if the Company prepares a consolidated balance sheet, as shown in the consolidated balance sheet with explanatory notes, according to the most recently adopted Annual Accounts of the Company.</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Without prejudice to Article 21.1, resolutions of the Management Board on the following matters are subject to the prior approval of the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Supervisory Board:</w:t>
      </w:r>
    </w:p>
    <w:p>
      <w:pPr>
        <w:spacing w:after="0" w:line="116" w:lineRule="exact"/>
        <w:rPr>
          <w:sz w:val="20"/>
          <w:szCs w:val="20"/>
          <w:color w:val="auto"/>
        </w:rPr>
      </w:pPr>
    </w:p>
    <w:p>
      <w:pPr>
        <w:ind w:left="1184" w:right="100" w:hanging="644"/>
        <w:spacing w:after="0" w:line="308" w:lineRule="auto"/>
        <w:tabs>
          <w:tab w:leader="none" w:pos="118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application for admission of securities issued by the Company to trading on the NASDAQ Stock Market or any other regulated foreign stock exchange located in the United States of America or elsewhere, or application for withdrawal of such admission;</w:t>
      </w:r>
    </w:p>
    <w:p>
      <w:pPr>
        <w:spacing w:after="0" w:line="51" w:lineRule="exact"/>
        <w:rPr>
          <w:rFonts w:ascii="Arial" w:cs="Arial" w:eastAsia="Arial" w:hAnsi="Arial"/>
          <w:sz w:val="17"/>
          <w:szCs w:val="17"/>
          <w:color w:val="auto"/>
        </w:rPr>
      </w:pPr>
    </w:p>
    <w:p>
      <w:pPr>
        <w:jc w:val="both"/>
        <w:ind w:left="1184" w:right="440" w:hanging="644"/>
        <w:spacing w:after="0" w:line="263" w:lineRule="auto"/>
        <w:tabs>
          <w:tab w:leader="none" w:pos="118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entry into or termination of a long-term cooperation by the Company or a Subsidiary of the Company with another legal person or company or as a fully liable partner in a limited partnership or general partnership, if such cooperation or termination thereof is of far-reaching significance to the Company or the Subsidiary of the Company;</w:t>
      </w:r>
    </w:p>
    <w:p>
      <w:pPr>
        <w:spacing w:after="0" w:line="89" w:lineRule="exact"/>
        <w:rPr>
          <w:rFonts w:ascii="Arial" w:cs="Arial" w:eastAsia="Arial" w:hAnsi="Arial"/>
          <w:sz w:val="18"/>
          <w:szCs w:val="18"/>
          <w:color w:val="auto"/>
        </w:rPr>
      </w:pPr>
    </w:p>
    <w:p>
      <w:pPr>
        <w:jc w:val="both"/>
        <w:ind w:left="1184" w:hanging="644"/>
        <w:spacing w:after="0" w:line="311" w:lineRule="auto"/>
        <w:tabs>
          <w:tab w:leader="none" w:pos="1184"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acquisition of a Participating Interest by the Company or a Subsidiary of the Company in the capital of another company with a value of at least five hundred thousand United States dollars (USD 500,000), or such higher amount as determined by the Supervisory Board and recorded in writing, as well as any far-reaching increase or decrease in the size of any such Participating Interest;</w:t>
      </w:r>
    </w:p>
    <w:p>
      <w:pPr>
        <w:spacing w:after="0" w:line="54" w:lineRule="exact"/>
        <w:rPr>
          <w:rFonts w:ascii="Arial" w:cs="Arial" w:eastAsia="Arial" w:hAnsi="Arial"/>
          <w:sz w:val="16"/>
          <w:szCs w:val="16"/>
          <w:color w:val="auto"/>
        </w:rPr>
      </w:pPr>
    </w:p>
    <w:p>
      <w:pPr>
        <w:ind w:left="1184" w:right="300" w:hanging="644"/>
        <w:spacing w:after="0" w:line="277" w:lineRule="auto"/>
        <w:tabs>
          <w:tab w:leader="none" w:pos="118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incurring debt by the Company or a Subsidiary of the Company in an amount of at least five hundred thousand United States dollars (USD 500,000), or such higher amount as determined by the Supervisory Board and recorded in writing;</w:t>
      </w:r>
    </w:p>
    <w:p>
      <w:pPr>
        <w:spacing w:after="0" w:line="75" w:lineRule="exact"/>
        <w:rPr>
          <w:rFonts w:ascii="Arial" w:cs="Arial" w:eastAsia="Arial" w:hAnsi="Arial"/>
          <w:sz w:val="18"/>
          <w:szCs w:val="18"/>
          <w:color w:val="auto"/>
        </w:rPr>
      </w:pPr>
    </w:p>
    <w:p>
      <w:pPr>
        <w:ind w:left="1184" w:hanging="644"/>
        <w:spacing w:after="0" w:line="308" w:lineRule="auto"/>
        <w:tabs>
          <w:tab w:leader="none" w:pos="118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capital investments by the Company or a Subsidiary of the Company requiring an amount equal to at least five hundred thousand United States dollars (USD 500,000), or such higher amount as determined by the Supervisory Board and recorded in writing;</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367" w:name="page368"/>
    <w:bookmarkEnd w:id="367"/>
    <w:p>
      <w:pPr>
        <w:ind w:left="644" w:right="200" w:hanging="644"/>
        <w:spacing w:after="0" w:line="259" w:lineRule="auto"/>
        <w:tabs>
          <w:tab w:leader="none" w:pos="644" w:val="left"/>
        </w:tabs>
        <w:numPr>
          <w:ilvl w:val="0"/>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acquisition, disposal or encumbrance of intellectual property rights and acquisition or granting of licences and sublicenses by the Company or a Subsidiary of the Company, if the interest or value of such intellectual property rights, licences or sublicenses to the Company or the Subsidiary amounts to at least five hundred thousand United States dollars (USD 500,000), or such higher amount as determined by the Supervisory Board and recorded in writing;</w:t>
      </w:r>
    </w:p>
    <w:p>
      <w:pPr>
        <w:spacing w:after="0" w:line="92" w:lineRule="exact"/>
        <w:rPr>
          <w:rFonts w:ascii="Arial" w:cs="Arial" w:eastAsia="Arial" w:hAnsi="Arial"/>
          <w:sz w:val="18"/>
          <w:szCs w:val="18"/>
          <w:color w:val="auto"/>
        </w:rPr>
      </w:pPr>
    </w:p>
    <w:p>
      <w:pPr>
        <w:ind w:left="644" w:right="420" w:hanging="644"/>
        <w:spacing w:after="0" w:line="277" w:lineRule="auto"/>
        <w:tabs>
          <w:tab w:leader="none" w:pos="64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entry into of any agreement, including any amendment or modification to any existing agreement, with or consummate, directly or indirectly, any transaction or series of related transactions with:</w:t>
      </w:r>
    </w:p>
    <w:p>
      <w:pPr>
        <w:spacing w:after="0" w:line="75" w:lineRule="exact"/>
        <w:rPr>
          <w:rFonts w:ascii="Arial" w:cs="Arial" w:eastAsia="Arial" w:hAnsi="Arial"/>
          <w:sz w:val="18"/>
          <w:szCs w:val="18"/>
          <w:color w:val="auto"/>
        </w:rPr>
      </w:pPr>
    </w:p>
    <w:p>
      <w:pPr>
        <w:ind w:left="1084" w:hanging="423"/>
        <w:spacing w:after="0" w:line="277" w:lineRule="auto"/>
        <w:tabs>
          <w:tab w:leader="none" w:pos="1084"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affiliate of the Company other than, in the case of the Company, any of its Subsidiaries or, in the case of any Subsidiary of the Company, the Company or another Subsidiary of the Company;</w:t>
      </w:r>
    </w:p>
    <w:p>
      <w:pPr>
        <w:spacing w:after="0" w:line="75" w:lineRule="exact"/>
        <w:rPr>
          <w:rFonts w:ascii="Arial" w:cs="Arial" w:eastAsia="Arial" w:hAnsi="Arial"/>
          <w:sz w:val="18"/>
          <w:szCs w:val="18"/>
          <w:color w:val="auto"/>
        </w:rPr>
      </w:pPr>
    </w:p>
    <w:p>
      <w:pPr>
        <w:ind w:left="1084" w:right="660" w:hanging="423"/>
        <w:spacing w:after="0" w:line="277" w:lineRule="auto"/>
        <w:tabs>
          <w:tab w:leader="none" w:pos="1084"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Shareholder that, along with any Shareholder Affiliates and Associates of such Shareholder, to the Company’s actual knowledge, beneficially owns at least five per cent (5.00%) of Shares;</w:t>
      </w:r>
    </w:p>
    <w:p>
      <w:pPr>
        <w:spacing w:after="0" w:line="75" w:lineRule="exact"/>
        <w:rPr>
          <w:rFonts w:ascii="Arial" w:cs="Arial" w:eastAsia="Arial" w:hAnsi="Arial"/>
          <w:sz w:val="18"/>
          <w:szCs w:val="18"/>
          <w:color w:val="auto"/>
        </w:rPr>
      </w:pPr>
    </w:p>
    <w:p>
      <w:pPr>
        <w:ind w:left="1084" w:right="540" w:hanging="423"/>
        <w:spacing w:after="0" w:line="259" w:lineRule="auto"/>
        <w:tabs>
          <w:tab w:leader="none" w:pos="1084"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person who is or was, since the beginning of the last financial year for which the General Meeting has adopted Annual Accounts, even if such person does not presently serve in that role, an Executive Officer or Supervisory Director, or, to the Company’s actual knowledge, any other person described under (i) or (ii) above or any nominee for Executive Officer or Supervisory Director; or</w:t>
      </w:r>
    </w:p>
    <w:p>
      <w:pPr>
        <w:spacing w:after="0" w:line="92" w:lineRule="exact"/>
        <w:rPr>
          <w:rFonts w:ascii="Arial" w:cs="Arial" w:eastAsia="Arial" w:hAnsi="Arial"/>
          <w:sz w:val="18"/>
          <w:szCs w:val="18"/>
          <w:color w:val="auto"/>
        </w:rPr>
      </w:pPr>
    </w:p>
    <w:p>
      <w:pPr>
        <w:ind w:left="1084" w:right="260" w:hanging="423"/>
        <w:spacing w:after="0" w:line="342" w:lineRule="auto"/>
        <w:tabs>
          <w:tab w:leader="none" w:pos="1084" w:val="left"/>
        </w:tabs>
        <w:numPr>
          <w:ilvl w:val="1"/>
          <w:numId w:val="250"/>
        </w:numPr>
        <w:rPr>
          <w:rFonts w:ascii="Arial" w:cs="Arial" w:eastAsia="Arial" w:hAnsi="Arial"/>
          <w:sz w:val="16"/>
          <w:szCs w:val="16"/>
          <w:color w:val="auto"/>
        </w:rPr>
      </w:pPr>
      <w:r>
        <w:rPr>
          <w:rFonts w:ascii="Arial" w:cs="Arial" w:eastAsia="Arial" w:hAnsi="Arial"/>
          <w:sz w:val="16"/>
          <w:szCs w:val="16"/>
          <w:color w:val="auto"/>
        </w:rPr>
        <w:t>any Associate, to the Company’s actual knowledge, of any person described under (i) or (ii) above, in each case other than any transaction involving one hundred and twenty thousand United States dollars (USD 120,000) or less in a financial year;</w:t>
      </w:r>
    </w:p>
    <w:p>
      <w:pPr>
        <w:spacing w:after="0" w:line="29" w:lineRule="exact"/>
        <w:rPr>
          <w:rFonts w:ascii="Arial" w:cs="Arial" w:eastAsia="Arial" w:hAnsi="Arial"/>
          <w:sz w:val="16"/>
          <w:szCs w:val="16"/>
          <w:color w:val="auto"/>
        </w:rPr>
      </w:pPr>
    </w:p>
    <w:p>
      <w:pPr>
        <w:ind w:left="644" w:right="160" w:hanging="644"/>
        <w:spacing w:after="0" w:line="342" w:lineRule="auto"/>
        <w:tabs>
          <w:tab w:leader="none" w:pos="64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adoption of an equity incentive plan or other program for the benefit of Executive Officers, Supervisory Directors, employees or other service providers of the Company or any of its Group Companies, as well as any material amendment or termination thereof;</w:t>
      </w:r>
    </w:p>
    <w:p>
      <w:pPr>
        <w:spacing w:after="0" w:line="29" w:lineRule="exact"/>
        <w:rPr>
          <w:rFonts w:ascii="Arial" w:cs="Arial" w:eastAsia="Arial" w:hAnsi="Arial"/>
          <w:sz w:val="16"/>
          <w:szCs w:val="16"/>
          <w:color w:val="auto"/>
        </w:rPr>
      </w:pPr>
    </w:p>
    <w:p>
      <w:pPr>
        <w:ind w:left="644" w:right="300" w:hanging="644"/>
        <w:spacing w:after="0" w:line="277" w:lineRule="auto"/>
        <w:tabs>
          <w:tab w:leader="none" w:pos="64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termination of the employment of a considerable number of employees of the Company and any of its Subsidiaries, determined on a consolidated basis, at the same time or within a short time span;</w:t>
      </w:r>
    </w:p>
    <w:p>
      <w:pPr>
        <w:spacing w:after="0" w:line="75" w:lineRule="exact"/>
        <w:rPr>
          <w:rFonts w:ascii="Arial" w:cs="Arial" w:eastAsia="Arial" w:hAnsi="Arial"/>
          <w:sz w:val="18"/>
          <w:szCs w:val="18"/>
          <w:color w:val="auto"/>
        </w:rPr>
      </w:pPr>
    </w:p>
    <w:p>
      <w:pPr>
        <w:ind w:left="644" w:right="300" w:hanging="644"/>
        <w:spacing w:after="0" w:line="277" w:lineRule="auto"/>
        <w:tabs>
          <w:tab w:leader="none" w:pos="64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 far-reaching change in the working conditions of a considerable number of employees of the Company and any of its Subsidiaries, determined on a consolidated basis;</w:t>
      </w:r>
    </w:p>
    <w:p>
      <w:pPr>
        <w:spacing w:after="0" w:line="75" w:lineRule="exact"/>
        <w:rPr>
          <w:rFonts w:ascii="Arial" w:cs="Arial" w:eastAsia="Arial" w:hAnsi="Arial"/>
          <w:sz w:val="18"/>
          <w:szCs w:val="18"/>
          <w:color w:val="auto"/>
        </w:rPr>
      </w:pPr>
    </w:p>
    <w:p>
      <w:pPr>
        <w:ind w:left="644" w:right="160" w:hanging="644"/>
        <w:spacing w:after="0" w:line="263" w:lineRule="auto"/>
        <w:tabs>
          <w:tab w:leader="none" w:pos="64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entry into any sale or disposition of all or substantially all of the Company’s assets determined on a consolidated basis, whether in one or more series of transactions and irrespective of how such sale or disposition is structured, including by sale, exchange or transfer of the Company’s consolidated assets or otherwise;</w:t>
      </w:r>
    </w:p>
    <w:p>
      <w:pPr>
        <w:spacing w:after="0" w:line="116"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64"/>
          </w:cols>
          <w:pgMar w:left="976" w:top="274" w:right="459" w:bottom="1440" w:gutter="0" w:footer="0" w:header="0"/>
        </w:sectPr>
      </w:pPr>
    </w:p>
    <w:bookmarkStart w:id="368" w:name="page369"/>
    <w:bookmarkEnd w:id="368"/>
    <w:p>
      <w:pPr>
        <w:jc w:val="both"/>
        <w:ind w:left="1184" w:hanging="644"/>
        <w:spacing w:after="0" w:line="311" w:lineRule="auto"/>
        <w:tabs>
          <w:tab w:leader="none" w:pos="1184" w:val="left"/>
        </w:tabs>
        <w:numPr>
          <w:ilvl w:val="0"/>
          <w:numId w:val="2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entry into any acquisition, whether in one or more series of transactions and irrespective of how such acquisition is structured, including by merger, exchange or transfer, by the Company or any of its Subsidiaries, if such transaction has a value of at least one million United States dollars (USD 1,000,000), or such higher or lower amount as determined by the Supervisory Board and recorded in writing;</w:t>
      </w:r>
    </w:p>
    <w:p>
      <w:pPr>
        <w:spacing w:after="0" w:line="54" w:lineRule="exact"/>
        <w:rPr>
          <w:rFonts w:ascii="Arial" w:cs="Arial" w:eastAsia="Arial" w:hAnsi="Arial"/>
          <w:sz w:val="16"/>
          <w:szCs w:val="16"/>
          <w:color w:val="auto"/>
        </w:rPr>
      </w:pPr>
    </w:p>
    <w:p>
      <w:pPr>
        <w:ind w:left="1184" w:right="40" w:hanging="644"/>
        <w:spacing w:after="0" w:line="263" w:lineRule="auto"/>
        <w:tabs>
          <w:tab w:leader="none" w:pos="118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entry into any agreement other than as referred to above by the Company or a Subsidiary of the Company the interest or value of which to the Company or the Subsidiary of the Company amounts to at least one million United States dollars (USD 1,000,000), or such higher or lower amount as determined by the Board and recorded in writing;</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dissolution or liquidation or a similar transaction involving the Company or a material Subsidiary of the Company;</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issue, sale, exchange, redemption, cancellation or purchase of Shares or shares in the share capital of any Subsidiary of the Company;</w:t>
      </w:r>
    </w:p>
    <w:p>
      <w:pPr>
        <w:spacing w:after="0" w:line="153" w:lineRule="exact"/>
        <w:rPr>
          <w:rFonts w:ascii="Arial" w:cs="Arial" w:eastAsia="Arial" w:hAnsi="Arial"/>
          <w:sz w:val="16"/>
          <w:szCs w:val="16"/>
          <w:color w:val="auto"/>
        </w:rPr>
      </w:pPr>
    </w:p>
    <w:p>
      <w:pPr>
        <w:ind w:left="1184" w:hanging="644"/>
        <w:spacing w:after="0"/>
        <w:tabs>
          <w:tab w:leader="none" w:pos="118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declaration of any distributions with respect to the Shares;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increasing or decreasing the monetary thresholds set out in this Article 21.2;</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such other resolutions as specified in writing from time to time by the Supervisory Board.</w:t>
      </w:r>
    </w:p>
    <w:p>
      <w:pPr>
        <w:spacing w:after="0" w:line="131" w:lineRule="exact"/>
        <w:rPr>
          <w:sz w:val="20"/>
          <w:szCs w:val="20"/>
          <w:color w:val="auto"/>
        </w:rPr>
      </w:pPr>
    </w:p>
    <w:p>
      <w:pPr>
        <w:ind w:left="544" w:right="20" w:hanging="539"/>
        <w:spacing w:after="0" w:line="342" w:lineRule="auto"/>
        <w:tabs>
          <w:tab w:leader="none" w:pos="524"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The absence of the approval of the General Meeting of a resolution as referred to in Article 21.1 or of the approval of the Supervisory Board of a resolution as referred to in Article 21.2 shall not affect the power of the Management Board or Managing Directors to represent the Company.</w:t>
      </w:r>
    </w:p>
    <w:p>
      <w:pPr>
        <w:spacing w:after="0" w:line="268" w:lineRule="exact"/>
        <w:rPr>
          <w:sz w:val="20"/>
          <w:szCs w:val="20"/>
          <w:color w:val="auto"/>
        </w:rPr>
      </w:pPr>
    </w:p>
    <w:p>
      <w:pPr>
        <w:ind w:left="544" w:hanging="544"/>
        <w:spacing w:after="0"/>
        <w:tabs>
          <w:tab w:leader="none" w:pos="544"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Committee</w:t>
      </w:r>
    </w:p>
    <w:p>
      <w:pPr>
        <w:spacing w:after="0" w:line="135" w:lineRule="exact"/>
        <w:rPr>
          <w:sz w:val="20"/>
          <w:szCs w:val="20"/>
          <w:color w:val="auto"/>
        </w:rPr>
      </w:pPr>
    </w:p>
    <w:p>
      <w:pPr>
        <w:ind w:left="544" w:right="120" w:hanging="539"/>
        <w:spacing w:after="0" w:line="277" w:lineRule="auto"/>
        <w:tabs>
          <w:tab w:leader="none" w:pos="524" w:val="left"/>
        </w:tabs>
        <w:rPr>
          <w:sz w:val="20"/>
          <w:szCs w:val="20"/>
          <w:color w:val="auto"/>
        </w:rPr>
      </w:pPr>
      <w:r>
        <w:rPr>
          <w:rFonts w:ascii="Arial" w:cs="Arial" w:eastAsia="Arial" w:hAnsi="Arial"/>
          <w:sz w:val="18"/>
          <w:szCs w:val="18"/>
          <w:color w:val="auto"/>
        </w:rPr>
        <w:t>22.1</w:t>
        <w:tab/>
        <w:t>The Company shall have an Executive Committee. The Executive Committee shall consist of all Managing Directors and such number of other Executive Officers as the Management Board may determine.</w:t>
      </w:r>
    </w:p>
    <w:p>
      <w:pPr>
        <w:spacing w:after="0" w:line="76" w:lineRule="exact"/>
        <w:rPr>
          <w:sz w:val="20"/>
          <w:szCs w:val="20"/>
          <w:color w:val="auto"/>
        </w:rPr>
      </w:pPr>
    </w:p>
    <w:p>
      <w:pPr>
        <w:ind w:left="544" w:right="360" w:hanging="539"/>
        <w:spacing w:after="0" w:line="277" w:lineRule="auto"/>
        <w:tabs>
          <w:tab w:leader="none" w:pos="524" w:val="left"/>
        </w:tabs>
        <w:rPr>
          <w:sz w:val="20"/>
          <w:szCs w:val="20"/>
          <w:color w:val="auto"/>
        </w:rPr>
      </w:pPr>
      <w:r>
        <w:rPr>
          <w:rFonts w:ascii="Arial" w:cs="Arial" w:eastAsia="Arial" w:hAnsi="Arial"/>
          <w:sz w:val="18"/>
          <w:szCs w:val="18"/>
          <w:color w:val="auto"/>
        </w:rPr>
        <w:t>22.2</w:t>
        <w:tab/>
        <w:t>Executive Officers who are not Managing Directors shall be appointed by the Management Board. The Management Board may at any time suspend or dismiss an Executive Officer who is not a Managing Director.</w:t>
      </w:r>
    </w:p>
    <w:p>
      <w:pPr>
        <w:spacing w:after="0" w:line="76"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22.3</w:t>
        <w:tab/>
        <w:t>A resolution of the Management Board to appoint, suspend or dismiss an Executive Officer shall require the prior approval of the Supervisory Board.</w:t>
      </w:r>
    </w:p>
    <w:p>
      <w:pPr>
        <w:spacing w:after="0" w:line="76" w:lineRule="exact"/>
        <w:rPr>
          <w:sz w:val="20"/>
          <w:szCs w:val="20"/>
          <w:color w:val="auto"/>
        </w:rPr>
      </w:pPr>
    </w:p>
    <w:p>
      <w:pPr>
        <w:ind w:left="544" w:right="520" w:hanging="539"/>
        <w:spacing w:after="0" w:line="277" w:lineRule="auto"/>
        <w:tabs>
          <w:tab w:leader="none" w:pos="524" w:val="left"/>
        </w:tabs>
        <w:rPr>
          <w:sz w:val="20"/>
          <w:szCs w:val="20"/>
          <w:color w:val="auto"/>
        </w:rPr>
      </w:pPr>
      <w:r>
        <w:rPr>
          <w:rFonts w:ascii="Arial" w:cs="Arial" w:eastAsia="Arial" w:hAnsi="Arial"/>
          <w:sz w:val="18"/>
          <w:szCs w:val="18"/>
          <w:color w:val="auto"/>
        </w:rPr>
        <w:t>22.4</w:t>
        <w:tab/>
        <w:t>Dismissal of an Executive Officer who is not a Managing Director shall not cause the termination of an employment agreement or similar agreement between the Company or a Group Company and the Executive Officer.</w:t>
      </w:r>
    </w:p>
    <w:p>
      <w:pPr>
        <w:spacing w:after="0" w:line="76" w:lineRule="exact"/>
        <w:rPr>
          <w:sz w:val="20"/>
          <w:szCs w:val="20"/>
          <w:color w:val="auto"/>
        </w:rPr>
      </w:pPr>
    </w:p>
    <w:p>
      <w:pPr>
        <w:ind w:left="544" w:right="700" w:hanging="539"/>
        <w:spacing w:after="0" w:line="277" w:lineRule="auto"/>
        <w:tabs>
          <w:tab w:leader="none" w:pos="524" w:val="left"/>
        </w:tabs>
        <w:rPr>
          <w:sz w:val="20"/>
          <w:szCs w:val="20"/>
          <w:color w:val="auto"/>
        </w:rPr>
      </w:pPr>
      <w:r>
        <w:rPr>
          <w:rFonts w:ascii="Arial" w:cs="Arial" w:eastAsia="Arial" w:hAnsi="Arial"/>
          <w:sz w:val="18"/>
          <w:szCs w:val="18"/>
          <w:color w:val="auto"/>
        </w:rPr>
        <w:t>22.5</w:t>
        <w:tab/>
        <w:t>The Executive Committee shall be charged with the matters concerning the day-to-day management of the Company determined by the Management Board.</w:t>
      </w:r>
    </w:p>
    <w:p>
      <w:pPr>
        <w:spacing w:after="0" w:line="76" w:lineRule="exact"/>
        <w:rPr>
          <w:sz w:val="20"/>
          <w:szCs w:val="20"/>
          <w:color w:val="auto"/>
        </w:rPr>
      </w:pPr>
    </w:p>
    <w:p>
      <w:pPr>
        <w:ind w:left="544" w:right="420" w:hanging="539"/>
        <w:spacing w:after="0" w:line="308" w:lineRule="auto"/>
        <w:tabs>
          <w:tab w:leader="none" w:pos="524"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7"/>
          <w:szCs w:val="17"/>
          <w:color w:val="auto"/>
        </w:rPr>
        <w:t>The Management Board may adopt rules with respect to the matters concerning the Executive Committee. A resolution of the Management Board to adopt, amend, supplement or terminate such rules shall require the prior approval of the Supervisory Board.</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369" w:name="page370"/>
    <w:bookmarkEnd w:id="369"/>
    <w:p>
      <w:pPr>
        <w:jc w:val="both"/>
        <w:ind w:left="544" w:right="340" w:hanging="539"/>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22.7</w:t>
        <w:tab/>
        <w:t>The Management Board may, whether or not by rule, determine the duties with which each Executive Officer will be particularly charged. A resolution of the Management Board to determine the duties with which each Executive Officer will be particularly charged shall require the prior approval of the Supervisory Board.</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The Management Board may grant a title to each Executive Officer who is not a Managing Director.</w:t>
      </w:r>
    </w:p>
    <w:p>
      <w:pPr>
        <w:spacing w:after="0" w:line="370" w:lineRule="exact"/>
        <w:rPr>
          <w:sz w:val="20"/>
          <w:szCs w:val="20"/>
          <w:color w:val="auto"/>
        </w:rPr>
      </w:pPr>
    </w:p>
    <w:p>
      <w:pPr>
        <w:ind w:left="544" w:hanging="544"/>
        <w:spacing w:after="0"/>
        <w:tabs>
          <w:tab w:leader="none" w:pos="544"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w:t>
      </w:r>
    </w:p>
    <w:p>
      <w:pPr>
        <w:spacing w:after="0" w:line="135"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23.1</w:t>
        <w:tab/>
        <w:t>The Management Board shall have the power to represent the Company. The power to represent the Company shall, in addition to the power of the Management Board, only be vested in two Executive Officers acting jointly.</w:t>
      </w:r>
    </w:p>
    <w:p>
      <w:pPr>
        <w:spacing w:after="0" w:line="76"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23.2</w:t>
        <w:tab/>
        <w:t>The Management Board may appoint one or more officers with general or restricted power to represent the Company on a continuing basis. Each officer shall represent the Company with due observance of the restrictions imposed on him or her. The Management Board may grant a title to such officers.</w:t>
      </w:r>
    </w:p>
    <w:p>
      <w:pPr>
        <w:spacing w:after="0" w:line="328" w:lineRule="exact"/>
        <w:rPr>
          <w:sz w:val="20"/>
          <w:szCs w:val="20"/>
          <w:color w:val="auto"/>
        </w:rPr>
      </w:pPr>
    </w:p>
    <w:p>
      <w:pPr>
        <w:ind w:left="544" w:hanging="544"/>
        <w:spacing w:after="0"/>
        <w:tabs>
          <w:tab w:leader="none" w:pos="544"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Failing or prevention from acting of Managing Directors</w:t>
      </w:r>
    </w:p>
    <w:p>
      <w:pPr>
        <w:spacing w:after="0" w:line="121" w:lineRule="exact"/>
        <w:rPr>
          <w:rFonts w:ascii="Arial" w:cs="Arial" w:eastAsia="Arial" w:hAnsi="Arial"/>
          <w:sz w:val="18"/>
          <w:szCs w:val="18"/>
          <w:b w:val="1"/>
          <w:bCs w:val="1"/>
          <w:color w:val="auto"/>
        </w:rPr>
      </w:pPr>
    </w:p>
    <w:p>
      <w:pPr>
        <w:ind w:left="544"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the event that one or more Managing Directors are failing or are prevented from acting, the remaining Managing Directors or the only remaining Managing Director shall temporarily be in charge of the management; in such case the Supervisory Board shall be authorised to designate one or more temporary Managing Directors. In the event that all Managing Directors or the only Managing Director is failing or is prevented from acting, the Supervisory Board shall temporarily be in charge of the management, unless the Supervisory Board designates one or more temporary Managing Directors.</w:t>
      </w:r>
    </w:p>
    <w:p>
      <w:pPr>
        <w:spacing w:after="0" w:line="332" w:lineRule="exact"/>
        <w:rPr>
          <w:rFonts w:ascii="Arial" w:cs="Arial" w:eastAsia="Arial" w:hAnsi="Arial"/>
          <w:sz w:val="18"/>
          <w:szCs w:val="18"/>
          <w:b w:val="1"/>
          <w:bCs w:val="1"/>
          <w:color w:val="auto"/>
        </w:rPr>
      </w:pPr>
    </w:p>
    <w:p>
      <w:pPr>
        <w:ind w:left="544" w:hanging="544"/>
        <w:spacing w:after="0"/>
        <w:tabs>
          <w:tab w:leader="none" w:pos="544"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Supervisory Board</w:t>
      </w:r>
    </w:p>
    <w:p>
      <w:pPr>
        <w:spacing w:after="0" w:line="135" w:lineRule="exact"/>
        <w:rPr>
          <w:sz w:val="20"/>
          <w:szCs w:val="20"/>
          <w:color w:val="auto"/>
        </w:rPr>
      </w:pPr>
    </w:p>
    <w:p>
      <w:pPr>
        <w:jc w:val="both"/>
        <w:ind w:left="544" w:right="80" w:hanging="539"/>
        <w:spacing w:after="0" w:line="263" w:lineRule="auto"/>
        <w:tabs>
          <w:tab w:leader="none" w:pos="524" w:val="left"/>
        </w:tabs>
        <w:rPr>
          <w:sz w:val="20"/>
          <w:szCs w:val="20"/>
          <w:color w:val="auto"/>
        </w:rPr>
      </w:pPr>
      <w:r>
        <w:rPr>
          <w:rFonts w:ascii="Arial" w:cs="Arial" w:eastAsia="Arial" w:hAnsi="Arial"/>
          <w:sz w:val="18"/>
          <w:szCs w:val="18"/>
          <w:color w:val="auto"/>
        </w:rPr>
        <w:t>25.1</w:t>
        <w:tab/>
        <w:t>The Company shall have a Supervisory Board. The Supervisory Board shall consist of such number of Supervisory Directors as the Supervisory Board may determine, but not less than three. If the number of Supervisory Directors is less than three, the Supervisory Board shall fully retain its powers.</w:t>
      </w:r>
    </w:p>
    <w:p>
      <w:pPr>
        <w:spacing w:after="0" w:line="89" w:lineRule="exact"/>
        <w:rPr>
          <w:sz w:val="20"/>
          <w:szCs w:val="20"/>
          <w:color w:val="auto"/>
        </w:rPr>
      </w:pPr>
    </w:p>
    <w:p>
      <w:pPr>
        <w:ind w:left="544" w:right="360" w:hanging="539"/>
        <w:spacing w:after="0" w:line="277" w:lineRule="auto"/>
        <w:tabs>
          <w:tab w:leader="none" w:pos="524" w:val="left"/>
        </w:tabs>
        <w:rPr>
          <w:sz w:val="20"/>
          <w:szCs w:val="20"/>
          <w:color w:val="auto"/>
        </w:rPr>
      </w:pPr>
      <w:r>
        <w:rPr>
          <w:rFonts w:ascii="Arial" w:cs="Arial" w:eastAsia="Arial" w:hAnsi="Arial"/>
          <w:sz w:val="18"/>
          <w:szCs w:val="18"/>
          <w:color w:val="auto"/>
        </w:rPr>
        <w:t>25.2</w:t>
        <w:tab/>
        <w:t>The Supervisory Directors shall be divided by the Supervisory Board into Supervisory Directors I, Supervisory Directors II and Supervisory Directors III, with each class as nearly equal in number as possible.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Supervisory Directors must be natural persons.</w:t>
      </w:r>
    </w:p>
    <w:p>
      <w:pPr>
        <w:spacing w:after="0" w:line="370" w:lineRule="exact"/>
        <w:rPr>
          <w:sz w:val="20"/>
          <w:szCs w:val="20"/>
          <w:color w:val="auto"/>
        </w:rPr>
      </w:pPr>
    </w:p>
    <w:p>
      <w:pPr>
        <w:ind w:left="544" w:hanging="544"/>
        <w:spacing w:after="0"/>
        <w:tabs>
          <w:tab w:leader="none" w:pos="54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retirement, suspension and dismissal of Supervisory Directors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color w:val="auto"/>
        </w:rPr>
        <w:t>Supervisory Directors shall be appointed by the General Meeting on the basis of one or more binding nominations in accordance with Article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26.2. The nomination shall specify the vacancy for which the nomination is made. Each nomination shall comprise one candidate.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370" w:name="page371"/>
    <w:bookmarkEnd w:id="370"/>
    <w:p>
      <w:pPr>
        <w:ind w:left="480" w:right="440" w:hanging="539"/>
        <w:spacing w:after="0" w:line="308" w:lineRule="auto"/>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26.2</w:t>
      </w:r>
      <w:r>
        <w:rPr>
          <w:sz w:val="20"/>
          <w:szCs w:val="20"/>
          <w:color w:val="auto"/>
        </w:rPr>
        <w:tab/>
      </w:r>
      <w:r>
        <w:rPr>
          <w:rFonts w:ascii="Arial" w:cs="Arial" w:eastAsia="Arial" w:hAnsi="Arial"/>
          <w:sz w:val="17"/>
          <w:szCs w:val="17"/>
          <w:color w:val="auto"/>
        </w:rPr>
        <w:t>Binding nominations may be made by the Supervisory Board or by one or more Shareholders who individually or jointly represent at least one-tenth of the issued share capital of the Company at the time of giving the notice referred to in Article 26.3.</w:t>
      </w:r>
    </w:p>
    <w:p>
      <w:pPr>
        <w:spacing w:after="0" w:line="52" w:lineRule="exact"/>
        <w:rPr>
          <w:sz w:val="20"/>
          <w:szCs w:val="20"/>
          <w:color w:val="auto"/>
        </w:rPr>
      </w:pPr>
    </w:p>
    <w:p>
      <w:pPr>
        <w:ind w:left="480" w:right="440" w:hanging="539"/>
        <w:spacing w:after="0" w:line="342" w:lineRule="auto"/>
        <w:tabs>
          <w:tab w:leader="none" w:pos="46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color w:val="auto"/>
        </w:rPr>
        <w:t>A nomination made by Shareholders in accordance Article 26.2 shall only be binding if such Shareholders have given notice thereof to the Company in writing no later than on the sixtieth day prior to the date of the General Meeting at which the appointment is to be discussed.</w:t>
      </w:r>
    </w:p>
    <w:p>
      <w:pPr>
        <w:spacing w:after="0" w:line="29" w:lineRule="exact"/>
        <w:rPr>
          <w:sz w:val="20"/>
          <w:szCs w:val="20"/>
          <w:color w:val="auto"/>
        </w:rPr>
      </w:pPr>
    </w:p>
    <w:p>
      <w:pPr>
        <w:ind w:left="480" w:right="40" w:hanging="539"/>
        <w:spacing w:after="0" w:line="273" w:lineRule="auto"/>
        <w:tabs>
          <w:tab w:leader="none" w:pos="46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7"/>
          <w:szCs w:val="17"/>
          <w:color w:val="auto"/>
        </w:rPr>
        <w:t>A nomination for the appointment of a Supervisory Director shall state which class of Supervisory Directors the candidate is proposed to be appointed to, his or her age and profession, the number of Shares held by him or her and the positions he or she holds or held insofar as relevant to the fulfilment of the duties as a Supervisory Director. Furthermore, mention shall be made of the legal persons for which he or she serves as a supervisory director whereby, provided that if legal persons are included which belong to the same Group, it shall be sufficient to mention such Group. The nomination for appointment or reappointment shall include the reasons. In case of reappointment, account shall be taken of the manner in which the candidate has fulfilled his or her duties as a Supervisory Director.</w:t>
      </w:r>
    </w:p>
    <w:p>
      <w:pPr>
        <w:spacing w:after="0" w:line="83" w:lineRule="exact"/>
        <w:rPr>
          <w:sz w:val="20"/>
          <w:szCs w:val="20"/>
          <w:color w:val="auto"/>
        </w:rPr>
      </w:pPr>
    </w:p>
    <w:p>
      <w:pPr>
        <w:ind w:left="480" w:hanging="539"/>
        <w:spacing w:after="0" w:line="277" w:lineRule="auto"/>
        <w:tabs>
          <w:tab w:leader="none" w:pos="460" w:val="left"/>
        </w:tabs>
        <w:rPr>
          <w:sz w:val="20"/>
          <w:szCs w:val="20"/>
          <w:color w:val="auto"/>
        </w:rPr>
      </w:pPr>
      <w:r>
        <w:rPr>
          <w:rFonts w:ascii="Arial" w:cs="Arial" w:eastAsia="Arial" w:hAnsi="Arial"/>
          <w:sz w:val="18"/>
          <w:szCs w:val="18"/>
          <w:color w:val="auto"/>
        </w:rPr>
        <w:t>26.5</w:t>
        <w:tab/>
        <w:t>The General Meeting may at all times overrule the binding nature of each nomination by a resolution adopted by a majority of at least two thirds of the votes cast, representing more than half of the issued share capital.</w:t>
      </w:r>
    </w:p>
    <w:p>
      <w:pPr>
        <w:spacing w:after="0" w:line="76" w:lineRule="exact"/>
        <w:rPr>
          <w:sz w:val="20"/>
          <w:szCs w:val="20"/>
          <w:color w:val="auto"/>
        </w:rPr>
      </w:pPr>
    </w:p>
    <w:p>
      <w:pPr>
        <w:ind w:left="480" w:right="180" w:hanging="539"/>
        <w:spacing w:after="0" w:line="277" w:lineRule="auto"/>
        <w:tabs>
          <w:tab w:leader="none" w:pos="460" w:val="left"/>
        </w:tabs>
        <w:rPr>
          <w:sz w:val="20"/>
          <w:szCs w:val="20"/>
          <w:color w:val="auto"/>
        </w:rPr>
      </w:pPr>
      <w:r>
        <w:rPr>
          <w:rFonts w:ascii="Arial" w:cs="Arial" w:eastAsia="Arial" w:hAnsi="Arial"/>
          <w:sz w:val="18"/>
          <w:szCs w:val="18"/>
          <w:color w:val="auto"/>
        </w:rPr>
        <w:t>26.6</w:t>
        <w:tab/>
        <w:t>If there is only one nomination, a resolution on the nomination will result in the candidate having been appointed, unless the binding nature of the nomination is overruled in accordance with Article 26.5.</w:t>
      </w:r>
    </w:p>
    <w:p>
      <w:pPr>
        <w:spacing w:after="0" w:line="76" w:lineRule="exact"/>
        <w:rPr>
          <w:sz w:val="20"/>
          <w:szCs w:val="20"/>
          <w:color w:val="auto"/>
        </w:rPr>
      </w:pPr>
    </w:p>
    <w:p>
      <w:pPr>
        <w:ind w:left="480" w:hanging="539"/>
        <w:spacing w:after="0" w:line="277" w:lineRule="auto"/>
        <w:tabs>
          <w:tab w:leader="none" w:pos="460" w:val="left"/>
        </w:tabs>
        <w:rPr>
          <w:sz w:val="20"/>
          <w:szCs w:val="20"/>
          <w:color w:val="auto"/>
        </w:rPr>
      </w:pPr>
      <w:r>
        <w:rPr>
          <w:rFonts w:ascii="Arial" w:cs="Arial" w:eastAsia="Arial" w:hAnsi="Arial"/>
          <w:sz w:val="18"/>
          <w:szCs w:val="18"/>
          <w:color w:val="auto"/>
        </w:rPr>
        <w:t>26.7</w:t>
        <w:tab/>
        <w:t>If there is more than one nomination, the candidate who obtained the highest number of votes shall be appointed, unless the binding nature of all nominations is overruled in accordance with Article 26.5.</w:t>
      </w:r>
    </w:p>
    <w:p>
      <w:pPr>
        <w:spacing w:after="0" w:line="76" w:lineRule="exact"/>
        <w:rPr>
          <w:sz w:val="20"/>
          <w:szCs w:val="20"/>
          <w:color w:val="auto"/>
        </w:rPr>
      </w:pPr>
    </w:p>
    <w:p>
      <w:pPr>
        <w:ind w:left="480" w:right="320" w:hanging="539"/>
        <w:spacing w:after="0" w:line="286" w:lineRule="auto"/>
        <w:tabs>
          <w:tab w:leader="none" w:pos="460" w:val="left"/>
        </w:tabs>
        <w:rPr>
          <w:sz w:val="20"/>
          <w:szCs w:val="20"/>
          <w:color w:val="auto"/>
        </w:rPr>
      </w:pPr>
      <w:r>
        <w:rPr>
          <w:rFonts w:ascii="Arial" w:cs="Arial" w:eastAsia="Arial" w:hAnsi="Arial"/>
          <w:sz w:val="18"/>
          <w:szCs w:val="18"/>
          <w:color w:val="auto"/>
        </w:rPr>
        <w:t>26.8</w:t>
      </w:r>
      <w:r>
        <w:rPr>
          <w:sz w:val="20"/>
          <w:szCs w:val="20"/>
          <w:color w:val="auto"/>
        </w:rPr>
        <w:tab/>
      </w:r>
      <w:r>
        <w:rPr>
          <w:rFonts w:ascii="Arial" w:cs="Arial" w:eastAsia="Arial" w:hAnsi="Arial"/>
          <w:sz w:val="17"/>
          <w:szCs w:val="17"/>
          <w:color w:val="auto"/>
        </w:rPr>
        <w:t>If none of the candidates are appointed, the Supervisory Board, or one or more Shareholders who individually or jointly represent at least one-tenth of the issued share capital, may, in accordance with Article 26.2, make a new nomination for the next General Meeting, unless the Supervisory Board resolves to reduce the number of Supervisory Directors in accordance with Article 25.1.</w:t>
      </w:r>
    </w:p>
    <w:p>
      <w:pPr>
        <w:spacing w:after="0" w:line="71" w:lineRule="exact"/>
        <w:rPr>
          <w:sz w:val="20"/>
          <w:szCs w:val="20"/>
          <w:color w:val="auto"/>
        </w:rPr>
      </w:pPr>
    </w:p>
    <w:p>
      <w:pPr>
        <w:ind w:left="480" w:right="100" w:hanging="539"/>
        <w:spacing w:after="0" w:line="277" w:lineRule="auto"/>
        <w:tabs>
          <w:tab w:leader="none" w:pos="460" w:val="left"/>
        </w:tabs>
        <w:rPr>
          <w:sz w:val="20"/>
          <w:szCs w:val="20"/>
          <w:color w:val="auto"/>
        </w:rPr>
      </w:pPr>
      <w:r>
        <w:rPr>
          <w:rFonts w:ascii="Arial" w:cs="Arial" w:eastAsia="Arial" w:hAnsi="Arial"/>
          <w:sz w:val="18"/>
          <w:szCs w:val="18"/>
          <w:color w:val="auto"/>
        </w:rPr>
        <w:t>26.9</w:t>
        <w:tab/>
        <w:t>All Supervisory Directors of a same class shall retire simultaneously at the close of the first annual General Meeting held after three years have elapsed since their appointment, provided, however, that:</w:t>
      </w:r>
    </w:p>
    <w:p>
      <w:pPr>
        <w:spacing w:after="0" w:line="76" w:lineRule="exact"/>
        <w:rPr>
          <w:sz w:val="20"/>
          <w:szCs w:val="20"/>
          <w:color w:val="auto"/>
        </w:rPr>
      </w:pPr>
    </w:p>
    <w:p>
      <w:pPr>
        <w:ind w:left="1120" w:right="680" w:hanging="644"/>
        <w:spacing w:after="0" w:line="277" w:lineRule="auto"/>
        <w:tabs>
          <w:tab w:leader="none" w:pos="11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Supervisory Directors I shall for the first time retire at the close of the annual General Meeting to be held in two thousand and twenty-one and subsequently at the close of each third succeeding annual General Meeting;</w:t>
      </w:r>
    </w:p>
    <w:p>
      <w:pPr>
        <w:spacing w:after="0" w:line="75" w:lineRule="exact"/>
        <w:rPr>
          <w:rFonts w:ascii="Arial" w:cs="Arial" w:eastAsia="Arial" w:hAnsi="Arial"/>
          <w:sz w:val="18"/>
          <w:szCs w:val="18"/>
          <w:color w:val="auto"/>
        </w:rPr>
      </w:pPr>
    </w:p>
    <w:p>
      <w:pPr>
        <w:ind w:left="1120" w:right="620" w:hanging="644"/>
        <w:spacing w:after="0" w:line="277" w:lineRule="auto"/>
        <w:tabs>
          <w:tab w:leader="none" w:pos="11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Supervisory Directors II shall for the first time retire at the close of the annual General Meeting to be held in two thousand and twenty-two and subsequently at the close of each third succeeding annual General Meeting;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80"/>
          </w:cols>
          <w:pgMar w:left="500" w:top="274" w:right="519" w:bottom="1440" w:gutter="0" w:footer="0" w:header="0"/>
        </w:sectPr>
      </w:pPr>
    </w:p>
    <w:bookmarkStart w:id="371" w:name="page372"/>
    <w:bookmarkEnd w:id="371"/>
    <w:p>
      <w:pPr>
        <w:ind w:left="1184" w:hanging="644"/>
        <w:spacing w:after="0" w:line="277" w:lineRule="auto"/>
        <w:tabs>
          <w:tab w:leader="none" w:pos="1184"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Supervisory Directors III shall for the first time retire at the close of the annual General Meeting to be held in two thousand and twenty-three and subsequently at the close of each third succeeding annual General Meeting;</w:t>
      </w:r>
    </w:p>
    <w:p>
      <w:pPr>
        <w:spacing w:after="0" w:line="75" w:lineRule="exact"/>
        <w:rPr>
          <w:rFonts w:ascii="Arial" w:cs="Arial" w:eastAsia="Arial" w:hAnsi="Arial"/>
          <w:sz w:val="18"/>
          <w:szCs w:val="18"/>
          <w:color w:val="auto"/>
        </w:rPr>
      </w:pPr>
    </w:p>
    <w:p>
      <w:pPr>
        <w:ind w:left="1184" w:hanging="644"/>
        <w:spacing w:after="0" w:line="277" w:lineRule="auto"/>
        <w:tabs>
          <w:tab w:leader="none" w:pos="118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Supervisory Director appointed to fill a vacancy resulting from the early resignation or dismissal of a Supervisory Director shall retire at the time at which his or her predecessor would retire;</w:t>
      </w:r>
    </w:p>
    <w:p>
      <w:pPr>
        <w:spacing w:after="0" w:line="75" w:lineRule="exact"/>
        <w:rPr>
          <w:rFonts w:ascii="Arial" w:cs="Arial" w:eastAsia="Arial" w:hAnsi="Arial"/>
          <w:sz w:val="18"/>
          <w:szCs w:val="18"/>
          <w:color w:val="auto"/>
        </w:rPr>
      </w:pPr>
    </w:p>
    <w:p>
      <w:pPr>
        <w:ind w:left="1184" w:right="180" w:hanging="644"/>
        <w:spacing w:after="0" w:line="277" w:lineRule="auto"/>
        <w:tabs>
          <w:tab w:leader="none" w:pos="118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decrease of the number of Supervisory Directors of a particular class may not require that a Supervisory Director of such class shall retire early against his or her will;</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retiring Supervisory Director shall be eligible for reappointment.</w:t>
      </w:r>
    </w:p>
    <w:p>
      <w:pPr>
        <w:spacing w:after="0" w:line="131" w:lineRule="exact"/>
        <w:rPr>
          <w:sz w:val="20"/>
          <w:szCs w:val="20"/>
          <w:color w:val="auto"/>
        </w:rPr>
      </w:pPr>
    </w:p>
    <w:p>
      <w:pPr>
        <w:ind w:left="544" w:hanging="539"/>
        <w:spacing w:after="0" w:line="279" w:lineRule="auto"/>
        <w:rPr>
          <w:sz w:val="20"/>
          <w:szCs w:val="20"/>
          <w:color w:val="auto"/>
        </w:rPr>
      </w:pPr>
      <w:r>
        <w:rPr>
          <w:rFonts w:ascii="Arial" w:cs="Arial" w:eastAsia="Arial" w:hAnsi="Arial"/>
          <w:sz w:val="17"/>
          <w:szCs w:val="17"/>
          <w:color w:val="auto"/>
        </w:rPr>
        <w:t>26.10 The General Meeting may at any time suspend and dismiss a Supervisory Director. The General Meeting may only adopt a resolution to suspend or dismiss a Supervisory Director by a majority of at least two thirds of the votes cast, representing more than half of the issued share capital, unless the resolution is adopted on the basis of a proposal of the Supervisory Board; in that case, the resolution may be adopted by an absolute majority of the votes cast, representing more than half of the issued share capital.</w:t>
      </w:r>
    </w:p>
    <w:p>
      <w:pPr>
        <w:spacing w:after="0" w:line="77" w:lineRule="exact"/>
        <w:rPr>
          <w:sz w:val="20"/>
          <w:szCs w:val="20"/>
          <w:color w:val="auto"/>
        </w:rPr>
      </w:pPr>
    </w:p>
    <w:p>
      <w:pPr>
        <w:ind w:left="544" w:right="400" w:hanging="539"/>
        <w:spacing w:after="0" w:line="342" w:lineRule="auto"/>
        <w:tabs>
          <w:tab w:leader="none" w:pos="524"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6"/>
          <w:szCs w:val="16"/>
          <w:color w:val="auto"/>
        </w:rPr>
        <w:t>If the General Meeting has suspended a Supervisory Director, the General Meeting shall within three months after the suspension has taken effect resolve either to dismiss such Supervisory Director or to terminate the suspension, failing which the suspension shall lapse.</w:t>
      </w:r>
    </w:p>
    <w:p>
      <w:pPr>
        <w:spacing w:after="0" w:line="268" w:lineRule="exact"/>
        <w:rPr>
          <w:sz w:val="20"/>
          <w:szCs w:val="20"/>
          <w:color w:val="auto"/>
        </w:rPr>
      </w:pPr>
    </w:p>
    <w:p>
      <w:pPr>
        <w:ind w:left="544" w:hanging="544"/>
        <w:spacing w:after="0"/>
        <w:tabs>
          <w:tab w:leader="none" w:pos="544"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Supervisory directors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6"/>
          <w:szCs w:val="16"/>
          <w:color w:val="auto"/>
        </w:rPr>
        <w:t>The General Meeting may grant the Supervisory Directors a remuneration. The Supervisory Directors shall be reimbursed for their expenses.</w:t>
      </w:r>
    </w:p>
    <w:p>
      <w:pPr>
        <w:spacing w:after="0" w:line="392" w:lineRule="exact"/>
        <w:rPr>
          <w:rFonts w:ascii="Arial" w:cs="Arial" w:eastAsia="Arial" w:hAnsi="Arial"/>
          <w:sz w:val="18"/>
          <w:szCs w:val="18"/>
          <w:b w:val="1"/>
          <w:bCs w:val="1"/>
          <w:color w:val="auto"/>
        </w:rPr>
      </w:pPr>
    </w:p>
    <w:p>
      <w:pPr>
        <w:ind w:left="544" w:hanging="544"/>
        <w:spacing w:after="0"/>
        <w:tabs>
          <w:tab w:leader="none" w:pos="544"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Duties, division of duties and working procedures of the Supervisory Board</w:t>
      </w:r>
    </w:p>
    <w:p>
      <w:pPr>
        <w:spacing w:after="0" w:line="135" w:lineRule="exact"/>
        <w:rPr>
          <w:sz w:val="20"/>
          <w:szCs w:val="20"/>
          <w:color w:val="auto"/>
        </w:rPr>
      </w:pPr>
    </w:p>
    <w:p>
      <w:pPr>
        <w:ind w:left="544" w:right="40" w:hanging="539"/>
        <w:spacing w:after="0" w:line="255" w:lineRule="auto"/>
        <w:tabs>
          <w:tab w:leader="none" w:pos="524" w:val="left"/>
        </w:tabs>
        <w:rPr>
          <w:sz w:val="20"/>
          <w:szCs w:val="20"/>
          <w:color w:val="auto"/>
        </w:rPr>
      </w:pPr>
      <w:r>
        <w:rPr>
          <w:rFonts w:ascii="Arial" w:cs="Arial" w:eastAsia="Arial" w:hAnsi="Arial"/>
          <w:sz w:val="18"/>
          <w:szCs w:val="18"/>
          <w:color w:val="auto"/>
        </w:rPr>
        <w:t>28.1</w:t>
        <w:tab/>
        <w:t>Supervision of the policies of the Management Board and of the general course of affairs of the Company and the business connected with it shall be carried out by the Supervisory Board. It shall support the Management Board with advice. In fulfilling their duties the Supervisory Directors shall serve the interests of the Company and the business connected with it. The Management Board shall in due time provide the Supervisory Board with the information it needs to carry out its duties. At least once a year the Management Board shall inform the Supervisory Board in writing in respect of the principles of the strategic policy, the general and financial risks and the management and control system of the Company.</w:t>
      </w:r>
    </w:p>
    <w:p>
      <w:pPr>
        <w:spacing w:after="0" w:line="9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color w:val="auto"/>
        </w:rPr>
        <w:t>The Supervisory Board may adopt rules with respect to the matters concerning the Supervisory Board.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6"/>
          <w:szCs w:val="16"/>
          <w:color w:val="auto"/>
        </w:rPr>
        <w:t>The Supervisory Board may, whether or not by rule, determine the duties with which each Supervisory Director will be particularly charged.</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4"/>
          </w:cols>
          <w:pgMar w:left="436" w:top="274" w:right="499" w:bottom="1440" w:gutter="0" w:footer="0" w:header="0"/>
        </w:sectPr>
      </w:pPr>
    </w:p>
    <w:bookmarkStart w:id="372" w:name="page373"/>
    <w:bookmarkEnd w:id="372"/>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28.4</w:t>
        <w:tab/>
        <w:t>The Supervisory Board shall appoint from among its members a chairman, as well as a vice-chairman, who shall substitute the chairman in his absence.</w:t>
      </w:r>
    </w:p>
    <w:p>
      <w:pPr>
        <w:spacing w:after="0" w:line="76" w:lineRule="exact"/>
        <w:rPr>
          <w:sz w:val="20"/>
          <w:szCs w:val="20"/>
          <w:color w:val="auto"/>
        </w:rPr>
      </w:pPr>
    </w:p>
    <w:p>
      <w:pPr>
        <w:ind w:left="544" w:hanging="539"/>
        <w:spacing w:after="0" w:line="296" w:lineRule="auto"/>
        <w:tabs>
          <w:tab w:leader="none" w:pos="524"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6"/>
          <w:szCs w:val="16"/>
          <w:color w:val="auto"/>
        </w:rPr>
        <w:t>The Supervisory Board may appoint from among its members one or more delegated Supervisory Directors. A delegated Supervisory Director is a Supervisory Director who is charged with a special task. The delegated authority may not exceed the responsibilities of the Supervisory Board itself and shall not include managing the Company. It entails more intensive supervision and advice and more regular consultation with the Management Board. The delegation shall not affect the duties and powers of the Supervisory Board. The delegated Supervisory Directors shall report on their findings to the Supervisory Board. A Supervisory Director may only be temporarily appointed as delegated Supervisory Director.</w:t>
      </w:r>
    </w:p>
    <w:p>
      <w:pPr>
        <w:spacing w:after="0" w:line="67" w:lineRule="exact"/>
        <w:rPr>
          <w:sz w:val="20"/>
          <w:szCs w:val="20"/>
          <w:color w:val="auto"/>
        </w:rPr>
      </w:pPr>
    </w:p>
    <w:p>
      <w:pPr>
        <w:ind w:left="544" w:right="200" w:hanging="539"/>
        <w:spacing w:after="0" w:line="311" w:lineRule="auto"/>
        <w:tabs>
          <w:tab w:leader="none" w:pos="524"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6"/>
          <w:szCs w:val="16"/>
          <w:color w:val="auto"/>
        </w:rPr>
        <w:t>The Supervisory Board may decide that one or more Supervisory Directors shall have access to all premises of the Company and shall be authorised to examine all of the Company’s books, correspondence and other records and to be fully informed of all actions which have taken place, or the Supervisory Board may decide that one or more Supervisory Directors shall be authorised to exercise a portion of such powers.</w:t>
      </w:r>
    </w:p>
    <w:p>
      <w:pPr>
        <w:spacing w:after="0" w:line="293" w:lineRule="exact"/>
        <w:rPr>
          <w:sz w:val="20"/>
          <w:szCs w:val="20"/>
          <w:color w:val="auto"/>
        </w:rPr>
      </w:pPr>
    </w:p>
    <w:p>
      <w:pPr>
        <w:ind w:left="544" w:hanging="544"/>
        <w:spacing w:after="0"/>
        <w:tabs>
          <w:tab w:leader="none" w:pos="544"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Meetings and decision-making of the Supervisory Board</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The Supervisory Board shall meet whenever a Supervisory Director or the Management Board considers appropriate.</w:t>
      </w:r>
    </w:p>
    <w:p>
      <w:pPr>
        <w:spacing w:after="0" w:line="131"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29.2</w:t>
        <w:tab/>
        <w:t>A Supervisory Director may only be represented at a meeting by another Supervisory Director authorised in writing. The requirement of written form for the authorisation shall be met if the authorisation has been recorded electronically.</w:t>
      </w:r>
    </w:p>
    <w:p>
      <w:pPr>
        <w:spacing w:after="0" w:line="76" w:lineRule="exact"/>
        <w:rPr>
          <w:sz w:val="20"/>
          <w:szCs w:val="20"/>
          <w:color w:val="auto"/>
        </w:rPr>
      </w:pPr>
    </w:p>
    <w:p>
      <w:pPr>
        <w:ind w:left="544" w:right="320" w:hanging="539"/>
        <w:spacing w:after="0" w:line="263" w:lineRule="auto"/>
        <w:tabs>
          <w:tab w:leader="none" w:pos="524" w:val="left"/>
        </w:tabs>
        <w:rPr>
          <w:sz w:val="20"/>
          <w:szCs w:val="20"/>
          <w:color w:val="auto"/>
        </w:rPr>
      </w:pPr>
      <w:r>
        <w:rPr>
          <w:rFonts w:ascii="Arial" w:cs="Arial" w:eastAsia="Arial" w:hAnsi="Arial"/>
          <w:sz w:val="18"/>
          <w:szCs w:val="18"/>
          <w:color w:val="auto"/>
        </w:rPr>
        <w:t>29.3</w:t>
        <w:tab/>
        <w:t>Each Supervisory Director may participate in a meeting by electronic means of communication, provided that all Supervisory Directors participating in the meeting can hear each other simultaneously. A Supervisory Director so participating shall be deemed to be present at the meeting.</w:t>
      </w:r>
    </w:p>
    <w:p>
      <w:pPr>
        <w:spacing w:after="0" w:line="89" w:lineRule="exact"/>
        <w:rPr>
          <w:sz w:val="20"/>
          <w:szCs w:val="20"/>
          <w:color w:val="auto"/>
        </w:rPr>
      </w:pPr>
    </w:p>
    <w:p>
      <w:pPr>
        <w:ind w:left="544" w:right="420" w:hanging="539"/>
        <w:spacing w:after="0" w:line="277" w:lineRule="auto"/>
        <w:tabs>
          <w:tab w:leader="none" w:pos="524" w:val="left"/>
        </w:tabs>
        <w:rPr>
          <w:sz w:val="20"/>
          <w:szCs w:val="20"/>
          <w:color w:val="auto"/>
        </w:rPr>
      </w:pPr>
      <w:r>
        <w:rPr>
          <w:rFonts w:ascii="Arial" w:cs="Arial" w:eastAsia="Arial" w:hAnsi="Arial"/>
          <w:sz w:val="18"/>
          <w:szCs w:val="18"/>
          <w:color w:val="auto"/>
        </w:rPr>
        <w:t>29.4</w:t>
        <w:tab/>
        <w:t>The Managing Directors shall attend the meetings of the Supervisory Board, if invited to do so, and they shall provide in such meetings all information required by the Supervisory Board.</w:t>
      </w:r>
    </w:p>
    <w:p>
      <w:pPr>
        <w:spacing w:after="0" w:line="76" w:lineRule="exact"/>
        <w:rPr>
          <w:sz w:val="20"/>
          <w:szCs w:val="20"/>
          <w:color w:val="auto"/>
        </w:rPr>
      </w:pPr>
    </w:p>
    <w:p>
      <w:pPr>
        <w:ind w:left="544" w:hanging="539"/>
        <w:spacing w:after="0" w:line="308" w:lineRule="auto"/>
        <w:tabs>
          <w:tab w:leader="none" w:pos="524"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7"/>
          <w:szCs w:val="17"/>
          <w:color w:val="auto"/>
        </w:rPr>
        <w:t>Each Supervisory Director shall have one vote. All resolutions shall be adopted by an absolute majority of votes cast at a meeting at which more than half of the Supervisory Directors are present or represented. In the event of a tie vote, the proposal shall have been rejected.</w:t>
      </w:r>
    </w:p>
    <w:p>
      <w:pPr>
        <w:spacing w:after="0" w:line="52" w:lineRule="exact"/>
        <w:rPr>
          <w:sz w:val="20"/>
          <w:szCs w:val="20"/>
          <w:color w:val="auto"/>
        </w:rPr>
      </w:pPr>
    </w:p>
    <w:p>
      <w:pPr>
        <w:ind w:left="544" w:right="20" w:hanging="539"/>
        <w:spacing w:after="0" w:line="296" w:lineRule="auto"/>
        <w:tabs>
          <w:tab w:leader="none" w:pos="524" w:val="left"/>
        </w:tabs>
        <w:rPr>
          <w:sz w:val="20"/>
          <w:szCs w:val="20"/>
          <w:color w:val="auto"/>
        </w:rPr>
      </w:pPr>
      <w:r>
        <w:rPr>
          <w:rFonts w:ascii="Arial" w:cs="Arial" w:eastAsia="Arial" w:hAnsi="Arial"/>
          <w:sz w:val="18"/>
          <w:szCs w:val="18"/>
          <w:color w:val="auto"/>
        </w:rPr>
        <w:t>29.6</w:t>
      </w:r>
      <w:r>
        <w:rPr>
          <w:sz w:val="20"/>
          <w:szCs w:val="20"/>
          <w:color w:val="auto"/>
        </w:rPr>
        <w:tab/>
      </w:r>
      <w:r>
        <w:rPr>
          <w:rFonts w:ascii="Arial" w:cs="Arial" w:eastAsia="Arial" w:hAnsi="Arial"/>
          <w:sz w:val="16"/>
          <w:szCs w:val="16"/>
          <w:color w:val="auto"/>
        </w:rPr>
        <w:t>In the event that one or more Supervisory Directors have a direct or indirect personal interest that conflicts with the interest of the Company and the business connected with it, they shall not be authorised to participate in the discussion and the decision-making process. In the event that all Supervisory Directors have or the only Supervisory Director has a direct or indirect personal interest that conflicts with the interest of the Company and the business connected with it, the resolution shall nevertheless be adopted by the Supervisory Board and the Supervisory Directors shall, in derogation of the preceding sentence, continue to be authorised to participate in the discussion and decision-making process.</w:t>
      </w:r>
    </w:p>
    <w:p>
      <w:pPr>
        <w:spacing w:after="0" w:line="9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4"/>
          </w:cols>
          <w:pgMar w:left="436" w:top="274" w:right="519" w:bottom="1440" w:gutter="0" w:footer="0" w:header="0"/>
        </w:sectPr>
      </w:pPr>
    </w:p>
    <w:bookmarkStart w:id="373" w:name="page374"/>
    <w:bookmarkEnd w:id="373"/>
    <w:p>
      <w:pPr>
        <w:ind w:left="544" w:right="460" w:hanging="539"/>
        <w:spacing w:after="0" w:line="342"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29.7</w:t>
      </w:r>
      <w:r>
        <w:rPr>
          <w:sz w:val="20"/>
          <w:szCs w:val="20"/>
          <w:color w:val="auto"/>
        </w:rPr>
        <w:tab/>
      </w:r>
      <w:r>
        <w:rPr>
          <w:rFonts w:ascii="Arial" w:cs="Arial" w:eastAsia="Arial" w:hAnsi="Arial"/>
          <w:sz w:val="16"/>
          <w:szCs w:val="16"/>
          <w:color w:val="auto"/>
        </w:rPr>
        <w:t>When determining to what extent the Supervisory Directors cast votes, are present or represented, no account shall be taken of Supervisory Directors who are not authorised to participate in the discussion and the decision-making process pursuant to Article 29.6.</w:t>
      </w:r>
    </w:p>
    <w:p>
      <w:pPr>
        <w:spacing w:after="0" w:line="29" w:lineRule="exact"/>
        <w:rPr>
          <w:sz w:val="20"/>
          <w:szCs w:val="20"/>
          <w:color w:val="auto"/>
        </w:rPr>
      </w:pPr>
    </w:p>
    <w:p>
      <w:pPr>
        <w:ind w:left="544" w:right="700" w:hanging="539"/>
        <w:spacing w:after="0" w:line="277" w:lineRule="auto"/>
        <w:tabs>
          <w:tab w:leader="none" w:pos="524" w:val="left"/>
        </w:tabs>
        <w:rPr>
          <w:sz w:val="20"/>
          <w:szCs w:val="20"/>
          <w:color w:val="auto"/>
        </w:rPr>
      </w:pPr>
      <w:r>
        <w:rPr>
          <w:rFonts w:ascii="Arial" w:cs="Arial" w:eastAsia="Arial" w:hAnsi="Arial"/>
          <w:sz w:val="18"/>
          <w:szCs w:val="18"/>
          <w:color w:val="auto"/>
        </w:rPr>
        <w:t>29.8</w:t>
        <w:tab/>
        <w:t>A written statement of the chairman of the meeting of the Supervisory Board that the Management Board has adopted a resolution shall constitute proof of such resolution vis-à-vis third parties.</w:t>
      </w:r>
    </w:p>
    <w:p>
      <w:pPr>
        <w:spacing w:after="0" w:line="76" w:lineRule="exact"/>
        <w:rPr>
          <w:sz w:val="20"/>
          <w:szCs w:val="20"/>
          <w:color w:val="auto"/>
        </w:rPr>
      </w:pPr>
    </w:p>
    <w:p>
      <w:pPr>
        <w:jc w:val="both"/>
        <w:ind w:left="544" w:right="100" w:hanging="539"/>
        <w:spacing w:after="0" w:line="263" w:lineRule="auto"/>
        <w:tabs>
          <w:tab w:leader="none" w:pos="524" w:val="left"/>
        </w:tabs>
        <w:rPr>
          <w:sz w:val="20"/>
          <w:szCs w:val="20"/>
          <w:color w:val="auto"/>
        </w:rPr>
      </w:pPr>
      <w:r>
        <w:rPr>
          <w:rFonts w:ascii="Arial" w:cs="Arial" w:eastAsia="Arial" w:hAnsi="Arial"/>
          <w:sz w:val="18"/>
          <w:szCs w:val="18"/>
          <w:color w:val="auto"/>
        </w:rPr>
        <w:t>29.9</w:t>
        <w:tab/>
        <w:t>The Supervisory Board may adopt resolutions without holding a meeting, provided that all Supervisory Directors have consented to this manner of adopting resolutions and the votes are cast in writing or by electronic means. Articles 29.5 up to and including 29.7 shall apply by analogy to the adoption of resolutions by the Supervisory Board without holding a meeting.</w:t>
      </w:r>
    </w:p>
    <w:p>
      <w:pPr>
        <w:spacing w:after="0" w:line="328" w:lineRule="exact"/>
        <w:rPr>
          <w:sz w:val="20"/>
          <w:szCs w:val="20"/>
          <w:color w:val="auto"/>
        </w:rPr>
      </w:pPr>
    </w:p>
    <w:p>
      <w:pPr>
        <w:ind w:left="544" w:hanging="544"/>
        <w:spacing w:after="0"/>
        <w:tabs>
          <w:tab w:leader="none" w:pos="544"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Failing or prevention from acting of Supervisory Directors</w:t>
      </w:r>
    </w:p>
    <w:p>
      <w:pPr>
        <w:spacing w:after="0" w:line="121" w:lineRule="exact"/>
        <w:rPr>
          <w:rFonts w:ascii="Arial" w:cs="Arial" w:eastAsia="Arial" w:hAnsi="Arial"/>
          <w:sz w:val="18"/>
          <w:szCs w:val="18"/>
          <w:b w:val="1"/>
          <w:bCs w:val="1"/>
          <w:color w:val="auto"/>
        </w:rPr>
      </w:pPr>
    </w:p>
    <w:p>
      <w:pPr>
        <w:ind w:left="544" w:right="3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In the event that one or more Supervisory Directors are failing or are prevented from acting, the remaining Supervisory Directors or the only remaining Supervisory Director shall temporarily exercise the duties and powers conferred upon the Supervisory Board and the Supervisory Directors by law or these Articles of Association; in such case the Supervisory Board shall be authorised to designate one or more temporary Supervisory Directors. In the event that all Supervisory Directors are failing or are prevented from acting, these duties and powers shall temporarily be exercised by one or more persons to be designated for that purpose by the General Meeting.</w:t>
      </w:r>
    </w:p>
    <w:p>
      <w:pPr>
        <w:spacing w:after="0" w:line="320" w:lineRule="exact"/>
        <w:rPr>
          <w:rFonts w:ascii="Arial" w:cs="Arial" w:eastAsia="Arial" w:hAnsi="Arial"/>
          <w:sz w:val="18"/>
          <w:szCs w:val="18"/>
          <w:b w:val="1"/>
          <w:bCs w:val="1"/>
          <w:color w:val="auto"/>
        </w:rPr>
      </w:pPr>
    </w:p>
    <w:p>
      <w:pPr>
        <w:ind w:left="544" w:hanging="544"/>
        <w:spacing w:after="0"/>
        <w:tabs>
          <w:tab w:leader="none" w:pos="544"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of Executive Officers and Supervisory Directors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To the fullest extent permitted by Dutch law, the following shall be reimbursed to the Indemnitees:</w:t>
      </w:r>
    </w:p>
    <w:p>
      <w:pPr>
        <w:spacing w:after="0" w:line="131" w:lineRule="exact"/>
        <w:rPr>
          <w:sz w:val="20"/>
          <w:szCs w:val="20"/>
          <w:color w:val="auto"/>
        </w:rPr>
      </w:pPr>
    </w:p>
    <w:p>
      <w:pPr>
        <w:ind w:left="1184" w:right="100" w:hanging="644"/>
        <w:spacing w:after="0" w:line="263" w:lineRule="auto"/>
        <w:tabs>
          <w:tab w:leader="none" w:pos="118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costs of conducting a defence against claims, also including claims by the Company and its Group Companies, as a consequence of any acts or omissions in the fulfilment of their duties or any other duties currently or previously performed by them at the Company’s request;</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damages or financial penalties payable by them as a result of any such acts or omissions;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any amounts payable by them under settlement agreements entered into by them in connection with any such acts or omissions;</w:t>
      </w:r>
    </w:p>
    <w:p>
      <w:pPr>
        <w:spacing w:after="0" w:line="142" w:lineRule="exact"/>
        <w:rPr>
          <w:rFonts w:ascii="Arial" w:cs="Arial" w:eastAsia="Arial" w:hAnsi="Arial"/>
          <w:sz w:val="17"/>
          <w:szCs w:val="17"/>
          <w:color w:val="auto"/>
        </w:rPr>
      </w:pPr>
    </w:p>
    <w:p>
      <w:pPr>
        <w:ind w:left="1184" w:hanging="644"/>
        <w:spacing w:after="0" w:line="263" w:lineRule="auto"/>
        <w:tabs>
          <w:tab w:leader="none" w:pos="118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costs of appearing in other legal proceedings in which they are involved as Executive Officers, Supervisory Directors, former Executive Officers or former Supervisory Directors, with the exception of proceedings primarily aimed at pursuing a claim on their own behalf;</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374" w:name="page375"/>
    <w:bookmarkEnd w:id="374"/>
    <w:p>
      <w:pPr>
        <w:ind w:left="1184" w:hanging="644"/>
        <w:spacing w:after="0"/>
        <w:tabs>
          <w:tab w:leader="none" w:pos="1184" w:val="left"/>
        </w:tabs>
        <w:numPr>
          <w:ilvl w:val="0"/>
          <w:numId w:val="2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taxes payable by them as a result of any reimbursements in accordance with this Article 31.1.</w:t>
      </w:r>
    </w:p>
    <w:p>
      <w:pPr>
        <w:spacing w:after="0" w:line="130"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31.2   An Indemnitee shall not be entitled to reimbursement as referred to in Article 31.1 if and to the extent that:</w:t>
      </w:r>
    </w:p>
    <w:p>
      <w:pPr>
        <w:spacing w:after="0" w:line="131" w:lineRule="exact"/>
        <w:rPr>
          <w:sz w:val="20"/>
          <w:szCs w:val="20"/>
          <w:color w:val="auto"/>
        </w:rPr>
      </w:pPr>
    </w:p>
    <w:p>
      <w:pPr>
        <w:ind w:left="1184" w:right="260" w:hanging="644"/>
        <w:spacing w:after="0" w:line="259" w:lineRule="auto"/>
        <w:tabs>
          <w:tab w:leader="none" w:pos="118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it has been adjudicated by a Dutch court or, in the case of arbitration, an arbitrator, in a final and conclusive decision that the act or omission of the Indemnitee may be characterised as intentional, deliberately reckless or grossly negligent conduct, unless Dutch law provides otherwise or this would, in view of the circumstances of the case, be unacceptable according to standards of reasonableness and fairness; or</w:t>
      </w:r>
    </w:p>
    <w:p>
      <w:pPr>
        <w:spacing w:after="0" w:line="92" w:lineRule="exact"/>
        <w:rPr>
          <w:rFonts w:ascii="Arial" w:cs="Arial" w:eastAsia="Arial" w:hAnsi="Arial"/>
          <w:sz w:val="18"/>
          <w:szCs w:val="18"/>
          <w:color w:val="auto"/>
        </w:rPr>
      </w:pPr>
    </w:p>
    <w:p>
      <w:pPr>
        <w:ind w:left="1184" w:hanging="644"/>
        <w:spacing w:after="0"/>
        <w:tabs>
          <w:tab w:leader="none" w:pos="1184"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costs or financial loss of the Indemnitee are covered by an insurance and the insurer has paid out the costs or financial loss.</w:t>
      </w:r>
    </w:p>
    <w:p>
      <w:pPr>
        <w:spacing w:after="0" w:line="142" w:lineRule="exact"/>
        <w:rPr>
          <w:sz w:val="20"/>
          <w:szCs w:val="20"/>
          <w:color w:val="auto"/>
        </w:rPr>
      </w:pPr>
    </w:p>
    <w:p>
      <w:pPr>
        <w:ind w:left="544" w:hanging="539"/>
        <w:spacing w:after="0" w:line="296" w:lineRule="auto"/>
        <w:tabs>
          <w:tab w:leader="none" w:pos="524"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If and to the extent that it has been adjudicated by a Dutch court or, in the case of arbitration, an arbitrator, in a final and conclusive decision that the act or omission of the Indemnitee may be characterised as intentional, deliberately reckless or grossly negligent conduct or that the Indemnitee is otherwise not entitled to reimbursement as referred to in Article 31.1, he or she shall immediately repay the amount reimbursed by the Company. The Company may request that the Indemnitee provides appropriate security for his repayment obligation. The Company may take out liability insurance for the benefit of Executive Officers, Supervisory Directors, former Executive Officers and former Supervisory Directors.</w:t>
      </w:r>
    </w:p>
    <w:p>
      <w:pPr>
        <w:spacing w:after="0" w:line="6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The Company may, by agreement or otherwise, give further implementation to Articles 31.1 up to and including 31.3.</w:t>
      </w:r>
    </w:p>
    <w:p>
      <w:pPr>
        <w:spacing w:after="0" w:line="131" w:lineRule="exact"/>
        <w:rPr>
          <w:sz w:val="20"/>
          <w:szCs w:val="20"/>
          <w:color w:val="auto"/>
        </w:rPr>
      </w:pPr>
    </w:p>
    <w:p>
      <w:pPr>
        <w:ind w:left="544" w:right="660" w:hanging="539"/>
        <w:spacing w:after="0" w:line="277" w:lineRule="auto"/>
        <w:tabs>
          <w:tab w:leader="none" w:pos="524" w:val="left"/>
        </w:tabs>
        <w:rPr>
          <w:sz w:val="20"/>
          <w:szCs w:val="20"/>
          <w:color w:val="auto"/>
        </w:rPr>
      </w:pPr>
      <w:r>
        <w:rPr>
          <w:rFonts w:ascii="Arial" w:cs="Arial" w:eastAsia="Arial" w:hAnsi="Arial"/>
          <w:sz w:val="18"/>
          <w:szCs w:val="18"/>
          <w:color w:val="auto"/>
        </w:rPr>
        <w:t>31.5</w:t>
        <w:tab/>
        <w:t>Where this Article 31 would limit any contractual entitlement of any Indemnitees to indemnification or reimbursement, such contractual entitlement shall prevail.</w:t>
      </w:r>
    </w:p>
    <w:p>
      <w:pPr>
        <w:spacing w:after="0" w:line="76"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31.6</w:t>
        <w:tab/>
        <w:t>Amendment of this Article 31 may not prejudice the entitlement of any Indemnitees to reimbursement as referred to in Article 31.1 as a result of acts or omissions in the period during which that Article was in force.</w:t>
      </w:r>
    </w:p>
    <w:p>
      <w:pPr>
        <w:spacing w:after="0" w:line="315" w:lineRule="exact"/>
        <w:rPr>
          <w:sz w:val="20"/>
          <w:szCs w:val="20"/>
          <w:color w:val="auto"/>
        </w:rPr>
      </w:pPr>
    </w:p>
    <w:p>
      <w:pPr>
        <w:ind w:left="544" w:hanging="544"/>
        <w:spacing w:after="0"/>
        <w:tabs>
          <w:tab w:leader="none" w:pos="544"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135" w:lineRule="exact"/>
        <w:rPr>
          <w:sz w:val="20"/>
          <w:szCs w:val="20"/>
          <w:color w:val="auto"/>
        </w:rPr>
      </w:pPr>
    </w:p>
    <w:p>
      <w:pPr>
        <w:ind w:left="544" w:right="520" w:hanging="539"/>
        <w:spacing w:after="0" w:line="277" w:lineRule="auto"/>
        <w:tabs>
          <w:tab w:leader="none" w:pos="524" w:val="left"/>
        </w:tabs>
        <w:rPr>
          <w:sz w:val="20"/>
          <w:szCs w:val="20"/>
          <w:color w:val="auto"/>
        </w:rPr>
      </w:pPr>
      <w:r>
        <w:rPr>
          <w:rFonts w:ascii="Arial" w:cs="Arial" w:eastAsia="Arial" w:hAnsi="Arial"/>
          <w:sz w:val="18"/>
          <w:szCs w:val="18"/>
          <w:color w:val="auto"/>
        </w:rPr>
        <w:t>32.1</w:t>
        <w:tab/>
        <w:t>Annually, within six months of the end of the financial year, a General Meeting shall be held. The notice for this meeting shall in any case mention the following matters:</w:t>
      </w:r>
    </w:p>
    <w:p>
      <w:pPr>
        <w:spacing w:after="0" w:line="76" w:lineRule="exact"/>
        <w:rPr>
          <w:sz w:val="20"/>
          <w:szCs w:val="20"/>
          <w:color w:val="auto"/>
        </w:rPr>
      </w:pPr>
    </w:p>
    <w:p>
      <w:pPr>
        <w:ind w:left="1184" w:right="100" w:hanging="644"/>
        <w:spacing w:after="0" w:line="277" w:lineRule="auto"/>
        <w:tabs>
          <w:tab w:leader="none" w:pos="118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consideration of the Annual Accounts, the Management Report and the information, referred to in section 2:392 subsection 1 of the Dutch Civil Code, insofar as that provision applies to the Company;</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adoption of the Annual Accounts;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allocation of the profits or the determination how a loss will be accounted for.</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375" w:name="page376"/>
    <w:bookmarkEnd w:id="375"/>
    <w:p>
      <w:pPr>
        <w:ind w:left="544"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These items need not be mentioned in the notice of meeting if the period for preparing the Annual Accounts and for presenting the Management Report has been extended by the General Meeting or if the notice of meeting mentions a proposal to that effect.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The Management Board and the Supervisory Board shall be authorised to convene a General Meeting.</w:t>
      </w:r>
    </w:p>
    <w:p>
      <w:pPr>
        <w:spacing w:after="0" w:line="131"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t>32.3</w:t>
        <w:tab/>
        <w:t>A General Meeting shall be convened whenever the Management Board or the Supervisory Board considers appropriate, without prejudice to sections 2:110 up to including 2:112 of the Dutch Civil Code.</w:t>
      </w:r>
    </w:p>
    <w:p>
      <w:pPr>
        <w:spacing w:after="0" w:line="315" w:lineRule="exact"/>
        <w:rPr>
          <w:sz w:val="20"/>
          <w:szCs w:val="20"/>
          <w:color w:val="auto"/>
        </w:rPr>
      </w:pPr>
    </w:p>
    <w:p>
      <w:pPr>
        <w:ind w:left="544" w:hanging="544"/>
        <w:spacing w:after="0"/>
        <w:tabs>
          <w:tab w:leader="none" w:pos="544"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Venue, notice and agenda of the General Meetings</w:t>
      </w:r>
    </w:p>
    <w:p>
      <w:pPr>
        <w:spacing w:after="0" w:line="135" w:lineRule="exact"/>
        <w:rPr>
          <w:sz w:val="20"/>
          <w:szCs w:val="20"/>
          <w:color w:val="auto"/>
        </w:rPr>
      </w:pPr>
    </w:p>
    <w:p>
      <w:pPr>
        <w:ind w:left="544" w:right="440" w:hanging="539"/>
        <w:spacing w:after="0" w:line="277" w:lineRule="auto"/>
        <w:tabs>
          <w:tab w:leader="none" w:pos="524" w:val="left"/>
        </w:tabs>
        <w:rPr>
          <w:sz w:val="20"/>
          <w:szCs w:val="20"/>
          <w:color w:val="auto"/>
        </w:rPr>
      </w:pPr>
      <w:r>
        <w:rPr>
          <w:rFonts w:ascii="Arial" w:cs="Arial" w:eastAsia="Arial" w:hAnsi="Arial"/>
          <w:sz w:val="18"/>
          <w:szCs w:val="18"/>
          <w:color w:val="auto"/>
        </w:rPr>
        <w:t>33.1</w:t>
        <w:tab/>
        <w:t>General Meetings shall be held in the Netherlands, in Amsterdam, Rotterdam, The Hague, Arnhem, Utrecht or Haarlemmermeer (Schiphol Airport).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Notice of a General Meeting shall be given by the Management Board, the Supervisory Board, a Managing Director or a Supervisory Director.</w:t>
      </w:r>
    </w:p>
    <w:p>
      <w:pPr>
        <w:spacing w:after="0" w:line="131" w:lineRule="exact"/>
        <w:rPr>
          <w:sz w:val="20"/>
          <w:szCs w:val="20"/>
          <w:color w:val="auto"/>
        </w:rPr>
      </w:pPr>
    </w:p>
    <w:p>
      <w:pPr>
        <w:ind w:left="544" w:right="280" w:hanging="539"/>
        <w:spacing w:after="0" w:line="342" w:lineRule="auto"/>
        <w:tabs>
          <w:tab w:leader="none" w:pos="524"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Notice of a General Meeting shall be given by means of an announcement made by electronic means of communication which is directly and permanently accessible until the General Meeting and with due observance of the applicable law and stock exchange rules.</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6"/>
          <w:szCs w:val="16"/>
          <w:color w:val="auto"/>
        </w:rPr>
        <w:t>The notice of a General Meeting shall mention:</w:t>
      </w:r>
    </w:p>
    <w:p>
      <w:pPr>
        <w:spacing w:after="0" w:line="131" w:lineRule="exact"/>
        <w:rPr>
          <w:sz w:val="20"/>
          <w:szCs w:val="20"/>
          <w:color w:val="auto"/>
        </w:rPr>
      </w:pPr>
    </w:p>
    <w:p>
      <w:pPr>
        <w:ind w:left="1184" w:hanging="644"/>
        <w:spacing w:after="0"/>
        <w:tabs>
          <w:tab w:leader="none" w:pos="118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matters to be discussed;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place and time of the meeting;</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procedure for attending the meeting by a proxy authorised in writing; and</w:t>
      </w:r>
    </w:p>
    <w:p>
      <w:pPr>
        <w:spacing w:after="0" w:line="130" w:lineRule="exact"/>
        <w:rPr>
          <w:rFonts w:ascii="Arial" w:cs="Arial" w:eastAsia="Arial" w:hAnsi="Arial"/>
          <w:sz w:val="18"/>
          <w:szCs w:val="18"/>
          <w:color w:val="auto"/>
        </w:rPr>
      </w:pPr>
    </w:p>
    <w:p>
      <w:pPr>
        <w:ind w:left="1184" w:right="300" w:hanging="644"/>
        <w:spacing w:after="0" w:line="277" w:lineRule="auto"/>
        <w:tabs>
          <w:tab w:leader="none" w:pos="118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procedure for attending the meeting and the exercise of the voting rights by any means of electronic communication in the event such right can be exercised in accordance with Article 36.2.</w:t>
      </w:r>
    </w:p>
    <w:p>
      <w:pPr>
        <w:spacing w:after="0" w:line="76"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33.5</w:t>
        <w:tab/>
        <w:t>Notifications which pursuant to the law or these Articles of Association are to be addressed to the General Meeting may be included in the notice of meeting and, where applicable, in the document that has been made available at the offices of the Company for inspection, provided that this is mentioned in the notice.</w:t>
      </w:r>
    </w:p>
    <w:p>
      <w:pPr>
        <w:spacing w:after="0" w:line="89" w:lineRule="exact"/>
        <w:rPr>
          <w:sz w:val="20"/>
          <w:szCs w:val="20"/>
          <w:color w:val="auto"/>
        </w:rPr>
      </w:pPr>
    </w:p>
    <w:p>
      <w:pPr>
        <w:ind w:left="544" w:right="80" w:hanging="539"/>
        <w:spacing w:after="0" w:line="301" w:lineRule="auto"/>
        <w:tabs>
          <w:tab w:leader="none" w:pos="524"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6"/>
          <w:szCs w:val="16"/>
          <w:color w:val="auto"/>
        </w:rPr>
        <w:t>A matter of which discussion has been requested in writing by one or more Persons with Meeting Rights who are so entitled pursuant to section 2:114a subsection 2 of the Dutch Civil Code shall be mentioned in the notice of meeting or announced in the same manner if the Company has received the request, including the reasons, or a proposal for a resolution no later than on the date specified in section 2:114a subsection 2 of the Dutch Civil Code. The requirement of written form for the request shall be met if the request has been recorded electronically.</w:t>
      </w:r>
    </w:p>
    <w:p>
      <w:pPr>
        <w:spacing w:after="0" w:line="6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Notice shall be given with due observance of the notice period prescribed by applicable law.</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4" w:right="479" w:bottom="1440" w:gutter="0" w:footer="0" w:header="0"/>
        </w:sectPr>
      </w:pPr>
    </w:p>
    <w:bookmarkStart w:id="376" w:name="page377"/>
    <w:bookmarkEnd w:id="376"/>
    <w:p>
      <w:pPr>
        <w:ind w:left="544" w:hanging="544"/>
        <w:spacing w:after="0"/>
        <w:tabs>
          <w:tab w:leader="none" w:pos="544"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Chairman and secretary of the General Meeting</w:t>
      </w:r>
    </w:p>
    <w:p>
      <w:pPr>
        <w:spacing w:after="0" w:line="121" w:lineRule="exact"/>
        <w:rPr>
          <w:rFonts w:ascii="Arial" w:cs="Arial" w:eastAsia="Arial" w:hAnsi="Arial"/>
          <w:sz w:val="18"/>
          <w:szCs w:val="18"/>
          <w:b w:val="1"/>
          <w:bCs w:val="1"/>
          <w:color w:val="auto"/>
        </w:rPr>
      </w:pPr>
    </w:p>
    <w:p>
      <w:pPr>
        <w:ind w:left="544"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General Meeting shall be presided over by the chairman of the Supervisory Board, who, nevertheless, may charge another person to preside over the meeting in his or her place even if he or she is present at the meeting. If the chairman of the Supervisory Board is absent and he or she has not charged another person to preside over the meeting in his or her place, the General Meeting shall be presided over by the vice-chairman of the Supervisory Board. If both the chairman and the vice-chairman of the Supervisory Board are absent, the Supervisory Directors present at the meeting shall appoint one of them to be chairman. In the absence of all Supervisory Directors, the General Meeting shall be presided over by the Chief Executive Officer. If all Supervisory Directors and the Chief Executive Officer are absent, the Managing Directors present at the meeting shall appoint one of them as chairman. If all Supervisory Directors and all Managing Directors are absent, the General Meeting shall appoint its chairman. The chairman shall designate the secretary of the General Meeting.</w:t>
      </w:r>
    </w:p>
    <w:p>
      <w:pPr>
        <w:spacing w:after="0" w:line="309" w:lineRule="exact"/>
        <w:rPr>
          <w:rFonts w:ascii="Arial" w:cs="Arial" w:eastAsia="Arial" w:hAnsi="Arial"/>
          <w:sz w:val="18"/>
          <w:szCs w:val="18"/>
          <w:b w:val="1"/>
          <w:bCs w:val="1"/>
          <w:color w:val="auto"/>
        </w:rPr>
      </w:pPr>
    </w:p>
    <w:p>
      <w:pPr>
        <w:ind w:left="544" w:hanging="544"/>
        <w:spacing w:after="0"/>
        <w:tabs>
          <w:tab w:leader="none" w:pos="544"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Minutes and recording of resolutions of the General Meeting</w:t>
      </w:r>
    </w:p>
    <w:p>
      <w:pPr>
        <w:spacing w:after="0" w:line="135" w:lineRule="exact"/>
        <w:rPr>
          <w:sz w:val="20"/>
          <w:szCs w:val="20"/>
          <w:color w:val="auto"/>
        </w:rPr>
      </w:pPr>
    </w:p>
    <w:p>
      <w:pPr>
        <w:ind w:left="544" w:right="280" w:hanging="539"/>
        <w:spacing w:after="0" w:line="263" w:lineRule="auto"/>
        <w:tabs>
          <w:tab w:leader="none" w:pos="524" w:val="left"/>
        </w:tabs>
        <w:rPr>
          <w:sz w:val="20"/>
          <w:szCs w:val="20"/>
          <w:color w:val="auto"/>
        </w:rPr>
      </w:pPr>
      <w:r>
        <w:rPr>
          <w:rFonts w:ascii="Arial" w:cs="Arial" w:eastAsia="Arial" w:hAnsi="Arial"/>
          <w:sz w:val="18"/>
          <w:szCs w:val="18"/>
          <w:color w:val="auto"/>
        </w:rPr>
        <w:t>35.1</w:t>
        <w:tab/>
        <w:t>The secretary of the General Meeting shall keep minutes of the proceedings at the meeting, unless a notarial record is prepared in accordance with Article 35.2. Minutes shall be adopted and in evidence of such adoption be signed by the chairman and the secretary of the General Meeting.</w:t>
      </w:r>
    </w:p>
    <w:p>
      <w:pPr>
        <w:spacing w:after="0" w:line="89"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35.2</w:t>
        <w:tab/>
        <w:t>The chairman of the General Meeting and each Managing Director may at any time give instructions that a notarial record of the proceedings at the meeting be prepared at the expense of the Company.</w:t>
      </w:r>
    </w:p>
    <w:p>
      <w:pPr>
        <w:spacing w:after="0" w:line="76" w:lineRule="exact"/>
        <w:rPr>
          <w:sz w:val="20"/>
          <w:szCs w:val="20"/>
          <w:color w:val="auto"/>
        </w:rPr>
      </w:pPr>
    </w:p>
    <w:p>
      <w:pPr>
        <w:ind w:left="544" w:right="300" w:hanging="539"/>
        <w:spacing w:after="0" w:line="277" w:lineRule="auto"/>
        <w:tabs>
          <w:tab w:leader="none" w:pos="524" w:val="left"/>
        </w:tabs>
        <w:rPr>
          <w:sz w:val="20"/>
          <w:szCs w:val="20"/>
          <w:color w:val="auto"/>
        </w:rPr>
      </w:pPr>
      <w:r>
        <w:rPr>
          <w:rFonts w:ascii="Arial" w:cs="Arial" w:eastAsia="Arial" w:hAnsi="Arial"/>
          <w:sz w:val="18"/>
          <w:szCs w:val="18"/>
          <w:color w:val="auto"/>
        </w:rPr>
        <w:t>35.3</w:t>
        <w:tab/>
        <w:t>If the Management Board or the Supervisory Board was not represented at the meeting, the chairman of the General Meeting shall as soon as possible notify the Management Board or the chairman of the Supervisory Board of the adopted resolutions.</w:t>
      </w:r>
    </w:p>
    <w:p>
      <w:pPr>
        <w:spacing w:after="0" w:line="76" w:lineRule="exact"/>
        <w:rPr>
          <w:sz w:val="20"/>
          <w:szCs w:val="20"/>
          <w:color w:val="auto"/>
        </w:rPr>
      </w:pPr>
    </w:p>
    <w:p>
      <w:pPr>
        <w:ind w:left="544" w:right="160" w:hanging="539"/>
        <w:spacing w:after="0" w:line="263" w:lineRule="auto"/>
        <w:tabs>
          <w:tab w:leader="none" w:pos="524" w:val="left"/>
        </w:tabs>
        <w:rPr>
          <w:sz w:val="20"/>
          <w:szCs w:val="20"/>
          <w:color w:val="auto"/>
        </w:rPr>
      </w:pPr>
      <w:r>
        <w:rPr>
          <w:rFonts w:ascii="Arial" w:cs="Arial" w:eastAsia="Arial" w:hAnsi="Arial"/>
          <w:sz w:val="18"/>
          <w:szCs w:val="18"/>
          <w:color w:val="auto"/>
        </w:rPr>
        <w:t>35.4</w:t>
        <w:tab/>
        <w:t>The Management Board shall keep a record of the adopted resolutions. The records shall be available at the offices of the Company for inspection by the Persons with Meeting Rights. Upon request, each of them shall be provided with a copy or extract of such records at no more than cost.</w:t>
      </w:r>
    </w:p>
    <w:p>
      <w:pPr>
        <w:spacing w:after="0" w:line="328" w:lineRule="exact"/>
        <w:rPr>
          <w:sz w:val="20"/>
          <w:szCs w:val="20"/>
          <w:color w:val="auto"/>
        </w:rPr>
      </w:pPr>
    </w:p>
    <w:p>
      <w:pPr>
        <w:ind w:left="544" w:hanging="544"/>
        <w:spacing w:after="0"/>
        <w:tabs>
          <w:tab w:leader="none" w:pos="544"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Rights at the General Meeting</w:t>
      </w:r>
    </w:p>
    <w:p>
      <w:pPr>
        <w:spacing w:after="0" w:line="135" w:lineRule="exact"/>
        <w:rPr>
          <w:sz w:val="20"/>
          <w:szCs w:val="20"/>
          <w:color w:val="auto"/>
        </w:rPr>
      </w:pPr>
    </w:p>
    <w:p>
      <w:pPr>
        <w:ind w:left="544" w:right="200" w:hanging="539"/>
        <w:spacing w:after="0" w:line="277" w:lineRule="auto"/>
        <w:tabs>
          <w:tab w:leader="none" w:pos="524" w:val="left"/>
        </w:tabs>
        <w:rPr>
          <w:sz w:val="20"/>
          <w:szCs w:val="20"/>
          <w:color w:val="auto"/>
        </w:rPr>
      </w:pPr>
      <w:r>
        <w:rPr>
          <w:rFonts w:ascii="Arial" w:cs="Arial" w:eastAsia="Arial" w:hAnsi="Arial"/>
          <w:sz w:val="18"/>
          <w:szCs w:val="18"/>
          <w:color w:val="auto"/>
        </w:rPr>
        <w:t>36.1</w:t>
        <w:tab/>
        <w:t>Each Person with Meeting Rights shall be authorised to attend the General Meeting, to address the General Meeting and to exercise the voting rights he or she is entitled to in person or by a proxy authorised in writing.</w:t>
      </w:r>
    </w:p>
    <w:p>
      <w:pPr>
        <w:spacing w:after="0" w:line="76" w:lineRule="exact"/>
        <w:rPr>
          <w:sz w:val="20"/>
          <w:szCs w:val="20"/>
          <w:color w:val="auto"/>
        </w:rPr>
      </w:pPr>
    </w:p>
    <w:p>
      <w:pPr>
        <w:ind w:left="544" w:hanging="539"/>
        <w:spacing w:after="0" w:line="273" w:lineRule="auto"/>
        <w:tabs>
          <w:tab w:leader="none" w:pos="524"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7"/>
          <w:szCs w:val="17"/>
          <w:color w:val="auto"/>
        </w:rPr>
        <w:t>Each Person with Meeting Rights shall be authorised to attend the General Meeting in person or by a proxy authorised in writing, to address the General Meeting and to exercise the voting rights he or she is entitled to by electronic means of communication, if this is mentioned in the notice of the meeting. To do so, the Person with Meeting Rights must be identifiable through the electronic means of communication and be able to directly observe the proceedings at the meeting and to exercise the voting rights. A Person with Meeting Rights so attending shall be deemed to be present or represented at the meeting. The persons giving notice of the meeting may set conditions for the use of the electronic means of communication. These conditions shall be mentioned in the notice of the meeting.</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0" w:right="479" w:bottom="1440" w:gutter="0" w:footer="0" w:header="0"/>
        </w:sectPr>
      </w:pPr>
    </w:p>
    <w:bookmarkStart w:id="377" w:name="page378"/>
    <w:bookmarkEnd w:id="377"/>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36.3</w:t>
        <w:tab/>
        <w:t>For the purpose of Articles 36.1 and 36.2 the requirement of written form for the authorisation shall be met if the authorisation has been recorded electronically.</w:t>
      </w:r>
    </w:p>
    <w:p>
      <w:pPr>
        <w:spacing w:after="0" w:line="76" w:lineRule="exact"/>
        <w:rPr>
          <w:sz w:val="20"/>
          <w:szCs w:val="20"/>
          <w:color w:val="auto"/>
        </w:rPr>
      </w:pPr>
    </w:p>
    <w:p>
      <w:pPr>
        <w:ind w:left="544" w:right="80" w:hanging="539"/>
        <w:spacing w:after="0" w:line="296" w:lineRule="auto"/>
        <w:tabs>
          <w:tab w:leader="none" w:pos="524"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6"/>
          <w:szCs w:val="16"/>
          <w:color w:val="auto"/>
        </w:rPr>
        <w:t>For the purpose of Articles 36.1 and 36.2 the persons who on a record date to be set by the Management Board with due observance of section 2:119 subsection 2 of the Dutch Civil Code have the right to vote or attend the General Meeting and are registered as such in a register designated by the Management Board shall be deemed to have such rights and therefore be deemed to be Persons with Meeting Rights, irrespective of whom are entitled to the Shares at the time of the meeting. The notice of meeting shall mention the record date as well as the manner in which the persons entitled to vote and attend the General Meeting can register and the manner in which they can exercise their rights.</w:t>
      </w:r>
    </w:p>
    <w:p>
      <w:pPr>
        <w:spacing w:after="0" w:line="67" w:lineRule="exact"/>
        <w:rPr>
          <w:sz w:val="20"/>
          <w:szCs w:val="20"/>
          <w:color w:val="auto"/>
        </w:rPr>
      </w:pPr>
    </w:p>
    <w:p>
      <w:pPr>
        <w:ind w:left="544" w:right="40" w:hanging="539"/>
        <w:spacing w:after="0" w:line="255" w:lineRule="auto"/>
        <w:tabs>
          <w:tab w:leader="none" w:pos="524" w:val="left"/>
        </w:tabs>
        <w:rPr>
          <w:sz w:val="20"/>
          <w:szCs w:val="20"/>
          <w:color w:val="auto"/>
        </w:rPr>
      </w:pPr>
      <w:r>
        <w:rPr>
          <w:rFonts w:ascii="Arial" w:cs="Arial" w:eastAsia="Arial" w:hAnsi="Arial"/>
          <w:sz w:val="18"/>
          <w:szCs w:val="18"/>
          <w:color w:val="auto"/>
        </w:rPr>
        <w:t>36.5</w:t>
        <w:tab/>
        <w:t>A Person with Meeting Rights who on the record date referred to in Article 36.4 has the right to vote or attend the General Meeting, or a proxy authorised in writing, will only be admitted to the meeting if the Person with Meeting Rights has informed the Management Board of his or her intention to attend the meeting and, if applicable, of the authorisation prior to the date to be set by the Management Board. Such date may not be set earlier than on the eighth day prior to the date of the meeting. The notice of meeting shall mention the date referred to in the preceding sentence. The Company shall offer the Person with Meeting Rights the possibility to inform the Company by electronic means of the authorisation.</w:t>
      </w:r>
    </w:p>
    <w:p>
      <w:pPr>
        <w:spacing w:after="0" w:line="98"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36.6</w:t>
        <w:tab/>
        <w:t>Each person present at the General Meeting who is entitled to vote must sign the attendance list, stating his or her name and the number of votes he or she may cast. The chairman of the meeting may determine that the attendance list must also be signed by other persons present at the meeting.</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36.7</w:t>
      </w:r>
      <w:r>
        <w:rPr>
          <w:sz w:val="20"/>
          <w:szCs w:val="20"/>
          <w:color w:val="auto"/>
        </w:rPr>
        <w:tab/>
      </w:r>
      <w:r>
        <w:rPr>
          <w:rFonts w:ascii="Arial" w:cs="Arial" w:eastAsia="Arial" w:hAnsi="Arial"/>
          <w:sz w:val="16"/>
          <w:szCs w:val="16"/>
          <w:color w:val="auto"/>
        </w:rPr>
        <w:t>Managing Directors and the Supervisory Directors shall as such have an advisory vote at the General Meeting.</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36.8</w:t>
      </w:r>
      <w:r>
        <w:rPr>
          <w:sz w:val="20"/>
          <w:szCs w:val="20"/>
          <w:color w:val="auto"/>
        </w:rPr>
        <w:tab/>
      </w:r>
      <w:r>
        <w:rPr>
          <w:rFonts w:ascii="Arial" w:cs="Arial" w:eastAsia="Arial" w:hAnsi="Arial"/>
          <w:sz w:val="16"/>
          <w:szCs w:val="16"/>
          <w:color w:val="auto"/>
        </w:rPr>
        <w:t>The chairman of the General Meeting shall decide on the admittance of other persons to the meeting.</w:t>
      </w:r>
    </w:p>
    <w:p>
      <w:pPr>
        <w:spacing w:after="0" w:line="370" w:lineRule="exact"/>
        <w:rPr>
          <w:sz w:val="20"/>
          <w:szCs w:val="20"/>
          <w:color w:val="auto"/>
        </w:rPr>
      </w:pPr>
    </w:p>
    <w:p>
      <w:pPr>
        <w:ind w:left="544" w:hanging="544"/>
        <w:spacing w:after="0"/>
        <w:tabs>
          <w:tab w:leader="none" w:pos="544"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Order of the General Meeting</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6"/>
          <w:szCs w:val="16"/>
          <w:color w:val="auto"/>
        </w:rPr>
        <w:t>The chairman of the General Meeting shall determine the order of the meeting.</w:t>
      </w:r>
    </w:p>
    <w:p>
      <w:pPr>
        <w:spacing w:after="0" w:line="131" w:lineRule="exact"/>
        <w:rPr>
          <w:sz w:val="20"/>
          <w:szCs w:val="20"/>
          <w:color w:val="auto"/>
        </w:rPr>
      </w:pPr>
    </w:p>
    <w:p>
      <w:pPr>
        <w:ind w:left="544" w:right="360" w:hanging="539"/>
        <w:spacing w:after="0" w:line="277" w:lineRule="auto"/>
        <w:tabs>
          <w:tab w:leader="none" w:pos="524" w:val="left"/>
        </w:tabs>
        <w:rPr>
          <w:sz w:val="20"/>
          <w:szCs w:val="20"/>
          <w:color w:val="auto"/>
        </w:rPr>
      </w:pPr>
      <w:r>
        <w:rPr>
          <w:rFonts w:ascii="Arial" w:cs="Arial" w:eastAsia="Arial" w:hAnsi="Arial"/>
          <w:sz w:val="18"/>
          <w:szCs w:val="18"/>
          <w:color w:val="auto"/>
        </w:rPr>
        <w:t>37.2</w:t>
        <w:tab/>
        <w:t>The chairman of the General Meeting may limit the time any person present at the meeting may address the meeting and may take any other measures as to ensure orderly proceedings at the meeting.</w:t>
      </w:r>
    </w:p>
    <w:p>
      <w:pPr>
        <w:spacing w:after="0" w:line="315" w:lineRule="exact"/>
        <w:rPr>
          <w:sz w:val="20"/>
          <w:szCs w:val="20"/>
          <w:color w:val="auto"/>
        </w:rPr>
      </w:pPr>
    </w:p>
    <w:p>
      <w:pPr>
        <w:ind w:left="544" w:hanging="544"/>
        <w:spacing w:after="0"/>
        <w:tabs>
          <w:tab w:leader="none" w:pos="544"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resolutions at the General Meeting</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6"/>
          <w:szCs w:val="16"/>
          <w:color w:val="auto"/>
        </w:rPr>
        <w:t>Each Share confers the right to cast one vote. Blank votes and invalid votes shall be regarded as not having been cast.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378" w:name="page379"/>
    <w:bookmarkEnd w:id="378"/>
    <w:p>
      <w:pPr>
        <w:ind w:left="544" w:right="20" w:hanging="539"/>
        <w:spacing w:after="0" w:line="271"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38.2</w:t>
      </w:r>
      <w:r>
        <w:rPr>
          <w:sz w:val="20"/>
          <w:szCs w:val="20"/>
          <w:color w:val="auto"/>
        </w:rPr>
        <w:tab/>
      </w:r>
      <w:r>
        <w:rPr>
          <w:rFonts w:ascii="Arial" w:cs="Arial" w:eastAsia="Arial" w:hAnsi="Arial"/>
          <w:sz w:val="17"/>
          <w:szCs w:val="17"/>
          <w:color w:val="auto"/>
        </w:rPr>
        <w:t>Upon convening a General Meeting, the Management Board may determine that votes which are cast prior to the meeting by electronic means of communication or by letter shall be put on par with votes which are cast at the time of the meeting. These votes shall not be cast earlier than on the record date set by the Management Board with due observance of section 2:117b subsection 3 of the Dutch Civil Code. For the purposes of the two preceding sentences, the persons who have the right to vote or attend the meeting and are registered as such in a register designated by the Management Board as of the record date set by the Management Board shall be deemed to have such rights for purposes of the General Meeting and therefore be deemed to be Persons with Meeting Rights, irrespective of whoever is entitled to the Shares at the time of the General Meeting. The notice of meeting shall mention the record date as well as the manner in which the persons entitled to vote and attend the General Meeting can register and the manner in which they can exercise their rights.</w:t>
      </w:r>
    </w:p>
    <w:p>
      <w:pPr>
        <w:spacing w:after="0" w:line="8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6"/>
          <w:szCs w:val="16"/>
          <w:color w:val="auto"/>
        </w:rPr>
        <w:t>Unless the law or these Articles of Association require a larger majority, all resolutions shall be adopted by an absolute majority of the votes cast.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6"/>
          <w:szCs w:val="16"/>
          <w:color w:val="auto"/>
        </w:rPr>
        <w:t>The chairman of the General Meeting shall determine the manner of voting.</w:t>
      </w:r>
    </w:p>
    <w:p>
      <w:pPr>
        <w:spacing w:after="0" w:line="131" w:lineRule="exact"/>
        <w:rPr>
          <w:sz w:val="20"/>
          <w:szCs w:val="20"/>
          <w:color w:val="auto"/>
        </w:rPr>
      </w:pPr>
    </w:p>
    <w:p>
      <w:pPr>
        <w:ind w:left="544" w:right="240" w:hanging="539"/>
        <w:spacing w:after="0" w:line="301" w:lineRule="auto"/>
        <w:tabs>
          <w:tab w:leader="none" w:pos="524" w:val="left"/>
        </w:tabs>
        <w:rPr>
          <w:sz w:val="20"/>
          <w:szCs w:val="20"/>
          <w:color w:val="auto"/>
        </w:rPr>
      </w:pPr>
      <w:r>
        <w:rPr>
          <w:rFonts w:ascii="Arial" w:cs="Arial" w:eastAsia="Arial" w:hAnsi="Arial"/>
          <w:sz w:val="18"/>
          <w:szCs w:val="18"/>
          <w:color w:val="auto"/>
        </w:rPr>
        <w:t>38.5</w:t>
      </w:r>
      <w:r>
        <w:rPr>
          <w:sz w:val="20"/>
          <w:szCs w:val="20"/>
          <w:color w:val="auto"/>
        </w:rPr>
        <w:tab/>
      </w:r>
      <w:r>
        <w:rPr>
          <w:rFonts w:ascii="Arial" w:cs="Arial" w:eastAsia="Arial" w:hAnsi="Arial"/>
          <w:sz w:val="16"/>
          <w:szCs w:val="16"/>
          <w:color w:val="auto"/>
        </w:rPr>
        <w:t>The chairman’s decision at the General Meeting on the result of a vote shall be conclusive. The same shall apply to the contents of an adopted resolution, to the extent that the vote related to a proposal not made in writing. If immediately after the chairman’s decision its correctness is contested, there shall be a new free vote if the majority of the meeting or, if the original vote was not taken on a poll or by a ballot, any person present who is entitled to vote so requires. Such new vote shall overrule the legal consequences of the original vote.</w:t>
      </w:r>
    </w:p>
    <w:p>
      <w:pPr>
        <w:spacing w:after="0" w:line="63" w:lineRule="exact"/>
        <w:rPr>
          <w:sz w:val="20"/>
          <w:szCs w:val="20"/>
          <w:color w:val="auto"/>
        </w:rPr>
      </w:pPr>
    </w:p>
    <w:p>
      <w:pPr>
        <w:ind w:left="544" w:right="400" w:hanging="539"/>
        <w:spacing w:after="0" w:line="277" w:lineRule="auto"/>
        <w:tabs>
          <w:tab w:leader="none" w:pos="524" w:val="left"/>
        </w:tabs>
        <w:rPr>
          <w:sz w:val="20"/>
          <w:szCs w:val="20"/>
          <w:color w:val="auto"/>
        </w:rPr>
      </w:pPr>
      <w:r>
        <w:rPr>
          <w:rFonts w:ascii="Arial" w:cs="Arial" w:eastAsia="Arial" w:hAnsi="Arial"/>
          <w:sz w:val="18"/>
          <w:szCs w:val="18"/>
          <w:color w:val="auto"/>
        </w:rPr>
        <w:t>38.6</w:t>
        <w:tab/>
        <w:t>A written statement of the chairman of the General Meeting that the General Meeting has adopted a resolution shall constitute proof of such resolution vis-à-vis third parties.</w:t>
      </w:r>
    </w:p>
    <w:p>
      <w:pPr>
        <w:spacing w:after="0" w:line="76" w:lineRule="exact"/>
        <w:rPr>
          <w:sz w:val="20"/>
          <w:szCs w:val="20"/>
          <w:color w:val="auto"/>
        </w:rPr>
      </w:pPr>
    </w:p>
    <w:p>
      <w:pPr>
        <w:ind w:left="544" w:right="120" w:hanging="539"/>
        <w:spacing w:after="0" w:line="296" w:lineRule="auto"/>
        <w:tabs>
          <w:tab w:leader="none" w:pos="524" w:val="left"/>
        </w:tabs>
        <w:rPr>
          <w:sz w:val="20"/>
          <w:szCs w:val="20"/>
          <w:color w:val="auto"/>
        </w:rPr>
      </w:pPr>
      <w:r>
        <w:rPr>
          <w:rFonts w:ascii="Arial" w:cs="Arial" w:eastAsia="Arial" w:hAnsi="Arial"/>
          <w:sz w:val="18"/>
          <w:szCs w:val="18"/>
          <w:color w:val="auto"/>
        </w:rPr>
        <w:t>38.7</w:t>
      </w:r>
      <w:r>
        <w:rPr>
          <w:sz w:val="20"/>
          <w:szCs w:val="20"/>
          <w:color w:val="auto"/>
        </w:rPr>
        <w:tab/>
      </w:r>
      <w:r>
        <w:rPr>
          <w:rFonts w:ascii="Arial" w:cs="Arial" w:eastAsia="Arial" w:hAnsi="Arial"/>
          <w:sz w:val="16"/>
          <w:szCs w:val="16"/>
          <w:color w:val="auto"/>
        </w:rPr>
        <w:t>In the General Meeting no votes may be cast in respect of a Share held by the Company or a Subsidiary thereof; no votes may be cast in respect of a Share the depositary receipt for which is held by the Company or a Subsidiary thereof. However, the holders of a right of usufruct and holders of a right of pledge on Shares held by the Company and its Subsidiaries are not excluded from their right to vote, if the right of usufruct or the right of pledge was created prior to the time such Share was held by the Company or a Subsidiary thereof. Neither the Company nor a Subsidiary thereof may cast votes in respect of a Share on which it holds a right of usufruct or a right of pledge.</w:t>
      </w:r>
    </w:p>
    <w:p>
      <w:pPr>
        <w:spacing w:after="0" w:line="67" w:lineRule="exact"/>
        <w:rPr>
          <w:sz w:val="20"/>
          <w:szCs w:val="20"/>
          <w:color w:val="auto"/>
        </w:rPr>
      </w:pPr>
    </w:p>
    <w:p>
      <w:pPr>
        <w:ind w:left="544" w:right="600" w:hanging="539"/>
        <w:spacing w:after="0" w:line="308" w:lineRule="auto"/>
        <w:tabs>
          <w:tab w:leader="none" w:pos="524" w:val="left"/>
        </w:tabs>
        <w:rPr>
          <w:sz w:val="20"/>
          <w:szCs w:val="20"/>
          <w:color w:val="auto"/>
        </w:rPr>
      </w:pPr>
      <w:r>
        <w:rPr>
          <w:rFonts w:ascii="Arial" w:cs="Arial" w:eastAsia="Arial" w:hAnsi="Arial"/>
          <w:sz w:val="18"/>
          <w:szCs w:val="18"/>
          <w:color w:val="auto"/>
        </w:rPr>
        <w:t>38.8</w:t>
      </w:r>
      <w:r>
        <w:rPr>
          <w:sz w:val="20"/>
          <w:szCs w:val="20"/>
          <w:color w:val="auto"/>
        </w:rPr>
        <w:tab/>
      </w:r>
      <w:r>
        <w:rPr>
          <w:rFonts w:ascii="Arial" w:cs="Arial" w:eastAsia="Arial" w:hAnsi="Arial"/>
          <w:sz w:val="17"/>
          <w:szCs w:val="17"/>
          <w:color w:val="auto"/>
        </w:rPr>
        <w:t>When determining to what extent the Shareholders cast votes, are present or represented or to what extent the share capital is provided or represented, no account shall be taken of Shares which are not entitled to voting rights pursuant to Article 38.7.</w:t>
      </w:r>
    </w:p>
    <w:p>
      <w:pPr>
        <w:spacing w:after="0" w:line="291" w:lineRule="exact"/>
        <w:rPr>
          <w:sz w:val="20"/>
          <w:szCs w:val="20"/>
          <w:color w:val="auto"/>
        </w:rPr>
      </w:pPr>
    </w:p>
    <w:p>
      <w:pPr>
        <w:ind w:left="544" w:hanging="544"/>
        <w:spacing w:after="0"/>
        <w:tabs>
          <w:tab w:leader="none" w:pos="544"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Meetings of holders of Shares of a particular class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6"/>
          <w:szCs w:val="16"/>
          <w:color w:val="auto"/>
        </w:rPr>
        <w:t>The Management Board and the Supervisory Board shall be authorised to convene a meeting of holders of Shares of a particular class.</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79" w:name="page380"/>
    <w:bookmarkEnd w:id="379"/>
    <w:p>
      <w:pPr>
        <w:jc w:val="center"/>
        <w:ind w:right="76"/>
        <w:spacing w:after="0"/>
        <w:tabs>
          <w:tab w:leader="none" w:pos="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39.2</w:t>
      </w:r>
      <w:r>
        <w:rPr>
          <w:sz w:val="20"/>
          <w:szCs w:val="20"/>
          <w:color w:val="auto"/>
        </w:rPr>
        <w:tab/>
      </w:r>
      <w:r>
        <w:rPr>
          <w:rFonts w:ascii="Arial" w:cs="Arial" w:eastAsia="Arial" w:hAnsi="Arial"/>
          <w:sz w:val="16"/>
          <w:szCs w:val="16"/>
          <w:color w:val="auto"/>
        </w:rPr>
        <w:t>A meeting of holders of Shares of a particular class shall be convened whenever pursuant to the law or these Articles of Association a resolution</w:t>
      </w:r>
    </w:p>
    <w:p>
      <w:pPr>
        <w:spacing w:after="0" w:line="23" w:lineRule="exact"/>
        <w:rPr>
          <w:sz w:val="20"/>
          <w:szCs w:val="20"/>
          <w:color w:val="auto"/>
        </w:rPr>
      </w:pPr>
    </w:p>
    <w:p>
      <w:pPr>
        <w:ind w:left="544" w:right="620"/>
        <w:spacing w:after="0" w:line="260" w:lineRule="auto"/>
        <w:rPr>
          <w:sz w:val="20"/>
          <w:szCs w:val="20"/>
          <w:color w:val="auto"/>
        </w:rPr>
      </w:pPr>
      <w:r>
        <w:rPr>
          <w:rFonts w:ascii="Arial" w:cs="Arial" w:eastAsia="Arial" w:hAnsi="Arial"/>
          <w:sz w:val="18"/>
          <w:szCs w:val="18"/>
          <w:color w:val="auto"/>
        </w:rPr>
        <w:t>of the meeting of holders of Shares of such class is required and furthermore whenever the Management Board or the Supervisory Board considers appropriate.</w:t>
      </w:r>
    </w:p>
    <w:p>
      <w:pPr>
        <w:spacing w:after="0" w:line="9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6"/>
          <w:szCs w:val="16"/>
          <w:color w:val="auto"/>
        </w:rPr>
        <w:t>Articles 33 up to and including 38 shall apply by analogy to meetings of holders of Shares of a particular class, provided, however, that:</w:t>
      </w:r>
    </w:p>
    <w:p>
      <w:pPr>
        <w:spacing w:after="0" w:line="131" w:lineRule="exact"/>
        <w:rPr>
          <w:sz w:val="20"/>
          <w:szCs w:val="20"/>
          <w:color w:val="auto"/>
        </w:rPr>
      </w:pPr>
    </w:p>
    <w:p>
      <w:pPr>
        <w:ind w:left="1184" w:hanging="644"/>
        <w:spacing w:after="0"/>
        <w:tabs>
          <w:tab w:leader="none" w:pos="1184" w:val="left"/>
        </w:tabs>
        <w:numPr>
          <w:ilvl w:val="1"/>
          <w:numId w:val="273"/>
        </w:numPr>
        <w:rPr>
          <w:rFonts w:ascii="Arial" w:cs="Arial" w:eastAsia="Arial" w:hAnsi="Arial"/>
          <w:sz w:val="18"/>
          <w:szCs w:val="18"/>
          <w:color w:val="auto"/>
        </w:rPr>
      </w:pPr>
      <w:r>
        <w:rPr>
          <w:rFonts w:ascii="Arial" w:cs="Arial" w:eastAsia="Arial" w:hAnsi="Arial"/>
          <w:sz w:val="18"/>
          <w:szCs w:val="18"/>
          <w:color w:val="auto"/>
        </w:rPr>
        <w:t>notice shall be given no later than on the sixth day prior to the date of the meeting; and</w:t>
      </w:r>
    </w:p>
    <w:p>
      <w:pPr>
        <w:spacing w:after="0" w:line="130" w:lineRule="exact"/>
        <w:rPr>
          <w:rFonts w:ascii="Arial" w:cs="Arial" w:eastAsia="Arial" w:hAnsi="Arial"/>
          <w:sz w:val="18"/>
          <w:szCs w:val="18"/>
          <w:color w:val="auto"/>
        </w:rPr>
      </w:pPr>
    </w:p>
    <w:p>
      <w:pPr>
        <w:ind w:left="1184" w:right="40" w:hanging="644"/>
        <w:spacing w:after="0" w:line="275" w:lineRule="auto"/>
        <w:tabs>
          <w:tab w:leader="none" w:pos="1184" w:val="left"/>
        </w:tabs>
        <w:numPr>
          <w:ilvl w:val="1"/>
          <w:numId w:val="273"/>
        </w:numPr>
        <w:rPr>
          <w:rFonts w:ascii="Arial" w:cs="Arial" w:eastAsia="Arial" w:hAnsi="Arial"/>
          <w:sz w:val="17"/>
          <w:szCs w:val="17"/>
          <w:color w:val="auto"/>
        </w:rPr>
      </w:pPr>
      <w:r>
        <w:rPr>
          <w:rFonts w:ascii="Arial" w:cs="Arial" w:eastAsia="Arial" w:hAnsi="Arial"/>
          <w:sz w:val="17"/>
          <w:szCs w:val="17"/>
          <w:color w:val="auto"/>
        </w:rPr>
        <w:t>on the proposal of the Management Board, which proposal shall require the prior approval of the Supervisory Board, holders of Shares of a particular class may adopt resolutions without holding a meeting, provided that they are adopted by unanimous vote of the holders of Shares of the particular class entitled to vote and that the votes are cast in writing or by electronic means; the holders of Shares of the particular class involved shall as soon as possible notify the Management Board and the chairman of the Supervisory Board of the adopted resolutions; Article 35.4 shall apply by analogy to these resolutions.</w:t>
      </w:r>
    </w:p>
    <w:p>
      <w:pPr>
        <w:spacing w:after="0" w:line="320" w:lineRule="exact"/>
        <w:rPr>
          <w:rFonts w:ascii="Arial" w:cs="Arial" w:eastAsia="Arial" w:hAnsi="Arial"/>
          <w:sz w:val="17"/>
          <w:szCs w:val="17"/>
          <w:color w:val="auto"/>
        </w:rPr>
      </w:pPr>
    </w:p>
    <w:p>
      <w:pPr>
        <w:ind w:left="544" w:hanging="544"/>
        <w:spacing w:after="0"/>
        <w:tabs>
          <w:tab w:leader="none" w:pos="544"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Company’s financial year shall coincide with the calendar year.</w:t>
      </w:r>
    </w:p>
    <w:p>
      <w:pPr>
        <w:spacing w:after="0" w:line="369" w:lineRule="exact"/>
        <w:rPr>
          <w:rFonts w:ascii="Arial" w:cs="Arial" w:eastAsia="Arial" w:hAnsi="Arial"/>
          <w:sz w:val="18"/>
          <w:szCs w:val="18"/>
          <w:b w:val="1"/>
          <w:bCs w:val="1"/>
          <w:color w:val="auto"/>
        </w:rPr>
      </w:pPr>
    </w:p>
    <w:p>
      <w:pPr>
        <w:ind w:left="544" w:hanging="544"/>
        <w:spacing w:after="0"/>
        <w:tabs>
          <w:tab w:leader="none" w:pos="544"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Annual Accounts and Management Report</w:t>
      </w:r>
    </w:p>
    <w:p>
      <w:pPr>
        <w:spacing w:after="0" w:line="135" w:lineRule="exact"/>
        <w:rPr>
          <w:sz w:val="20"/>
          <w:szCs w:val="20"/>
          <w:color w:val="auto"/>
        </w:rPr>
      </w:pPr>
    </w:p>
    <w:p>
      <w:pPr>
        <w:ind w:left="544" w:right="100" w:hanging="539"/>
        <w:spacing w:after="0" w:line="255" w:lineRule="auto"/>
        <w:tabs>
          <w:tab w:leader="none" w:pos="524" w:val="left"/>
        </w:tabs>
        <w:rPr>
          <w:sz w:val="20"/>
          <w:szCs w:val="20"/>
          <w:color w:val="auto"/>
        </w:rPr>
      </w:pPr>
      <w:r>
        <w:rPr>
          <w:rFonts w:ascii="Arial" w:cs="Arial" w:eastAsia="Arial" w:hAnsi="Arial"/>
          <w:sz w:val="18"/>
          <w:szCs w:val="18"/>
          <w:color w:val="auto"/>
        </w:rPr>
        <w:t>41.1</w:t>
        <w:tab/>
        <w:t>Annually, within five months of the end of the financial year, subject to an extension of such period not exceeding five months by the General Meeting on the basis of special circumstances, the Management Board shall prepare Annual Accounts and shall make these available at the offices of the Company for inspection by the Persons with Meeting Rights. The Management Board shall also make the Management Report available at the offices of the Company for inspection by the Persons with Meeting Rights within said period. The Management Board shall add to the Annual Accounts and the Management Report the information, referred to in section 2:392 subsection 1 of the Dutch Civil Code, insofar as that subsection applies to the Company.</w:t>
      </w:r>
    </w:p>
    <w:p>
      <w:pPr>
        <w:spacing w:after="0" w:line="98"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41.2</w:t>
        <w:tab/>
        <w:t>The Annual Accounts shall be signed by all Managing Directors and all Supervisory Directors. If the signature of one or more of them is lacking, this shall be disclosed, stating the reasons thereof.</w:t>
      </w:r>
    </w:p>
    <w:p>
      <w:pPr>
        <w:spacing w:after="0" w:line="76" w:lineRule="exact"/>
        <w:rPr>
          <w:sz w:val="20"/>
          <w:szCs w:val="20"/>
          <w:color w:val="auto"/>
        </w:rPr>
      </w:pPr>
    </w:p>
    <w:p>
      <w:pPr>
        <w:ind w:left="544" w:right="20" w:hanging="539"/>
        <w:spacing w:after="0" w:line="259" w:lineRule="auto"/>
        <w:tabs>
          <w:tab w:leader="none" w:pos="524" w:val="left"/>
        </w:tabs>
        <w:rPr>
          <w:sz w:val="20"/>
          <w:szCs w:val="20"/>
          <w:color w:val="auto"/>
        </w:rPr>
      </w:pPr>
      <w:r>
        <w:rPr>
          <w:rFonts w:ascii="Arial" w:cs="Arial" w:eastAsia="Arial" w:hAnsi="Arial"/>
          <w:sz w:val="18"/>
          <w:szCs w:val="18"/>
          <w:color w:val="auto"/>
        </w:rPr>
        <w:t>41.3</w:t>
        <w:tab/>
        <w:t>The Company shall ensure that the Annual Accounts as prepared, the Management Report and the additional information to be added pursuant to section 2:392 subsection 1 of the Dutch Civil Code shall be available at the offices of the Company as of the date of the notice of the General Meeting at which they are to be discussed. The Persons with Meeting Rights may inspect the documents at the offices of the Company and obtain a copy thereof at no cost.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380" w:name="page381"/>
    <w:bookmarkEnd w:id="380"/>
    <w:p>
      <w:pPr>
        <w:ind w:left="544" w:right="42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41.4</w:t>
        <w:tab/>
        <w:t>The Annual Accounts shall be adopted by the General Meeting. Adoption of the Annual Accounts shall not be deemed to grant a Managing Director or a Supervisory Director a discharge.</w:t>
      </w:r>
    </w:p>
    <w:p>
      <w:pPr>
        <w:spacing w:after="0" w:line="315" w:lineRule="exact"/>
        <w:rPr>
          <w:sz w:val="20"/>
          <w:szCs w:val="20"/>
          <w:color w:val="auto"/>
        </w:rPr>
      </w:pPr>
    </w:p>
    <w:p>
      <w:pPr>
        <w:ind w:left="544" w:hanging="544"/>
        <w:spacing w:after="0"/>
        <w:tabs>
          <w:tab w:leader="none" w:pos="544"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Auditor</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Company shall give an assignment to an Auditor to audit the Annual Accounts.</w:t>
      </w:r>
    </w:p>
    <w:p>
      <w:pPr>
        <w:spacing w:after="0" w:line="131"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42.2</w:t>
        <w:tab/>
        <w:t>The General Meeting shall be authorised to give the assignment. If the General Meeting fails to do so, then the Supervisory Board shall be authorised to give the assignment. The assignment may be revoked at any time by the General Meeting or, if the Supervisory Board has given the assignment, by the Supervisory Board.</w:t>
      </w:r>
    </w:p>
    <w:p>
      <w:pPr>
        <w:spacing w:after="0" w:line="89" w:lineRule="exact"/>
        <w:rPr>
          <w:sz w:val="20"/>
          <w:szCs w:val="20"/>
          <w:color w:val="auto"/>
        </w:rPr>
      </w:pPr>
    </w:p>
    <w:p>
      <w:pPr>
        <w:ind w:left="544" w:right="300" w:hanging="539"/>
        <w:spacing w:after="0" w:line="277" w:lineRule="auto"/>
        <w:tabs>
          <w:tab w:leader="none" w:pos="524" w:val="left"/>
        </w:tabs>
        <w:rPr>
          <w:sz w:val="20"/>
          <w:szCs w:val="20"/>
          <w:color w:val="auto"/>
        </w:rPr>
      </w:pPr>
      <w:r>
        <w:rPr>
          <w:rFonts w:ascii="Arial" w:cs="Arial" w:eastAsia="Arial" w:hAnsi="Arial"/>
          <w:sz w:val="18"/>
          <w:szCs w:val="18"/>
          <w:color w:val="auto"/>
        </w:rPr>
        <w:t>42.3</w:t>
        <w:tab/>
        <w:t>The Auditor shall report on his or her audit to the Supervisory Board and to the Management Board and shall issue a certificate containing its results.</w:t>
      </w:r>
    </w:p>
    <w:p>
      <w:pPr>
        <w:spacing w:after="0" w:line="315" w:lineRule="exact"/>
        <w:rPr>
          <w:sz w:val="20"/>
          <w:szCs w:val="20"/>
          <w:color w:val="auto"/>
        </w:rPr>
      </w:pPr>
    </w:p>
    <w:p>
      <w:pPr>
        <w:ind w:left="544" w:hanging="544"/>
        <w:spacing w:after="0"/>
        <w:tabs>
          <w:tab w:leader="none" w:pos="544"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Share premium reserves</w:t>
      </w:r>
    </w:p>
    <w:p>
      <w:pPr>
        <w:spacing w:after="0" w:line="135" w:lineRule="exact"/>
        <w:rPr>
          <w:sz w:val="20"/>
          <w:szCs w:val="20"/>
          <w:color w:val="auto"/>
        </w:rPr>
      </w:pPr>
    </w:p>
    <w:p>
      <w:pPr>
        <w:jc w:val="both"/>
        <w:ind w:left="544" w:right="600" w:hanging="539"/>
        <w:spacing w:after="0" w:line="311" w:lineRule="auto"/>
        <w:tabs>
          <w:tab w:leader="none" w:pos="524"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The Company shall maintain separate share premium reserves for the benefit of the holders of each series of Financing Preferred Shares. Payments on Financing Preferred Shares of a particular series in excess of the nominal value shall be added to the share premium reserve maintained by the Company for the benefit of the holders of the series of Financing Preferred Shares on which the payment is made.</w:t>
      </w:r>
    </w:p>
    <w:p>
      <w:pPr>
        <w:spacing w:after="0" w:line="54" w:lineRule="exact"/>
        <w:rPr>
          <w:sz w:val="20"/>
          <w:szCs w:val="20"/>
          <w:color w:val="auto"/>
        </w:rPr>
      </w:pPr>
    </w:p>
    <w:p>
      <w:pPr>
        <w:ind w:left="544" w:right="160" w:hanging="539"/>
        <w:spacing w:after="0" w:line="311" w:lineRule="auto"/>
        <w:tabs>
          <w:tab w:leader="none" w:pos="524"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Article 43.1 shall apply by analogy to any disposal by the Company of Financing Preferred Shares, or of depositary receipts thereof, provided that in such case the nominal value of the Financing Preferred Shares of the series concerned, or of the Financing Preferred Shares of the series concerned for which the depositary receipts have been issued, also shall be added to the relevant share premium reserve.</w:t>
      </w:r>
    </w:p>
    <w:p>
      <w:pPr>
        <w:spacing w:after="0" w:line="293" w:lineRule="exact"/>
        <w:rPr>
          <w:sz w:val="20"/>
          <w:szCs w:val="20"/>
          <w:color w:val="auto"/>
        </w:rPr>
      </w:pPr>
    </w:p>
    <w:p>
      <w:pPr>
        <w:ind w:left="544" w:hanging="544"/>
        <w:spacing w:after="0"/>
        <w:tabs>
          <w:tab w:leader="none" w:pos="544"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Profit and loss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color w:val="auto"/>
        </w:rPr>
        <w:t>The General Meeting shall be authorised to allocate the profits, subject to Articles 44.2 up to and including 44.4.</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6"/>
          <w:szCs w:val="16"/>
          <w:color w:val="auto"/>
        </w:rPr>
        <w:t>From the profits made in any financial year, first of all, to the extent possible, the following distributions shall be made:</w:t>
      </w:r>
    </w:p>
    <w:p>
      <w:pPr>
        <w:spacing w:after="0" w:line="131" w:lineRule="exact"/>
        <w:rPr>
          <w:sz w:val="20"/>
          <w:szCs w:val="20"/>
          <w:color w:val="auto"/>
        </w:rPr>
      </w:pPr>
    </w:p>
    <w:p>
      <w:pPr>
        <w:ind w:left="964" w:hanging="532"/>
        <w:spacing w:after="0" w:line="272" w:lineRule="auto"/>
        <w:tabs>
          <w:tab w:leader="none" w:pos="964"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to the holders of Financing Preferred Shares, an amount equal to the average during the financial year concerned of the twelve month Euro Interbank Offered Rate (Euribor), as set by the European Central Bank, weighted by the number of days on which such interest rate was applicable, increased by a margin not exceeding five hundred basis points, to be set by the Management Board upon issue of the relevant Financing Preferred Shares, calculated on the weighted average during that financial year of the aggregate amount paid up and called up on their Financing Preferred Shares; therefore, any increases and reductions of the amounts paid up and called up on their Financing Preferred Shares during that financial year shall be taken into account for the purpose of calculating each distribution; the days during which the Financing Preferred Shares were held by the Company shall be disregarded; and</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81" w:name="page382"/>
    <w:bookmarkEnd w:id="381"/>
    <w:p>
      <w:pPr>
        <w:jc w:val="both"/>
        <w:ind w:left="964" w:right="260" w:hanging="532"/>
        <w:spacing w:after="0" w:line="263" w:lineRule="auto"/>
        <w:tabs>
          <w:tab w:leader="none" w:pos="964"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Financing Preferred Shares were cancelled during the preceding financial year, to the last former holders of those Financing Preferred Shares, an amount equal to the amount of the distribution referred to in Article 11.4 under (b), reduced by the amount of the distribution already received by them pursuant to that provision.</w:t>
      </w:r>
    </w:p>
    <w:p>
      <w:pPr>
        <w:spacing w:after="0" w:line="76" w:lineRule="exact"/>
        <w:rPr>
          <w:sz w:val="20"/>
          <w:szCs w:val="20"/>
          <w:color w:val="auto"/>
        </w:rPr>
      </w:pPr>
    </w:p>
    <w:p>
      <w:pPr>
        <w:ind w:left="544" w:right="140"/>
        <w:spacing w:after="0" w:line="272" w:lineRule="auto"/>
        <w:rPr>
          <w:sz w:val="20"/>
          <w:szCs w:val="20"/>
          <w:color w:val="auto"/>
        </w:rPr>
      </w:pPr>
      <w:r>
        <w:rPr>
          <w:rFonts w:ascii="Arial" w:cs="Arial" w:eastAsia="Arial" w:hAnsi="Arial"/>
          <w:sz w:val="17"/>
          <w:szCs w:val="17"/>
          <w:color w:val="auto"/>
        </w:rPr>
        <w:t>If in any financial year the profits are insufficient to make such distributions, the deficit shall, to the extent possible, be distributed from any of the Distributable Reserves determined by the Management Board. If the profits made in any financial year or the Distributable Reserves are insufficient to make such distributions, the deficit shall be distributed from the profits made and the Distributable Reserves maintained in the following financial years and the preceding sentence of this Article 44.2 and Article 44.3 shall first apply after the deficit has been fully made up. Other than as set out in this Article 44.2, the Financing Preferred Shares shall not participate in the profits and the reserves of the Company, except that the holders of a series of Financing Preferred Shares shall participate in the share premium reserve maintained by the Company for the benefit of the holders of such series of Financing Preferred Shares.</w:t>
      </w:r>
    </w:p>
    <w:p>
      <w:pPr>
        <w:spacing w:after="0" w:line="83"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44.3</w:t>
        <w:tab/>
        <w:t>The Management Board shall be authorised to determine that the profits remaining after application of Article 44.2 shall in whole or in part be reserved.</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6"/>
          <w:szCs w:val="16"/>
          <w:color w:val="auto"/>
        </w:rPr>
        <w:t>A resolution of the Management Board to reserve any profits shall require the prior approval of the Supervisory Board.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44.5</w:t>
      </w:r>
      <w:r>
        <w:rPr>
          <w:sz w:val="20"/>
          <w:szCs w:val="20"/>
          <w:color w:val="auto"/>
        </w:rPr>
        <w:tab/>
      </w:r>
      <w:r>
        <w:rPr>
          <w:rFonts w:ascii="Arial" w:cs="Arial" w:eastAsia="Arial" w:hAnsi="Arial"/>
          <w:sz w:val="16"/>
          <w:szCs w:val="16"/>
          <w:color w:val="auto"/>
        </w:rPr>
        <w:t>The Management Board shall be authorised to determine how a loss will be accounted for.</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44.6</w:t>
      </w:r>
      <w:r>
        <w:rPr>
          <w:sz w:val="20"/>
          <w:szCs w:val="20"/>
          <w:color w:val="auto"/>
        </w:rPr>
        <w:tab/>
      </w:r>
      <w:r>
        <w:rPr>
          <w:rFonts w:ascii="Arial" w:cs="Arial" w:eastAsia="Arial" w:hAnsi="Arial"/>
          <w:sz w:val="16"/>
          <w:szCs w:val="16"/>
          <w:color w:val="auto"/>
        </w:rPr>
        <w:t>A deficit may only be applied against reserves maintained pursuant to the law to the extent permitted by law.</w:t>
      </w:r>
    </w:p>
    <w:p>
      <w:pPr>
        <w:spacing w:after="0" w:line="370" w:lineRule="exact"/>
        <w:rPr>
          <w:sz w:val="20"/>
          <w:szCs w:val="20"/>
          <w:color w:val="auto"/>
        </w:rPr>
      </w:pPr>
    </w:p>
    <w:p>
      <w:pPr>
        <w:ind w:left="544" w:hanging="544"/>
        <w:spacing w:after="0"/>
        <w:tabs>
          <w:tab w:leader="none" w:pos="544"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6"/>
          <w:szCs w:val="16"/>
          <w:color w:val="auto"/>
        </w:rPr>
        <w:t>The General Meeting shall be authorised to declare distributions, subject to Articles 45.2 up to and including 45.4.</w:t>
      </w:r>
    </w:p>
    <w:p>
      <w:pPr>
        <w:spacing w:after="0" w:line="131"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45.2</w:t>
        <w:tab/>
        <w:t>The General Meeting may only resolve to declare distributions on the proposal of the Management Board, which proposal shall require the prior approval of the Supervisory Board.</w:t>
      </w:r>
    </w:p>
    <w:p>
      <w:pPr>
        <w:spacing w:after="0" w:line="76" w:lineRule="exact"/>
        <w:rPr>
          <w:sz w:val="20"/>
          <w:szCs w:val="20"/>
          <w:color w:val="auto"/>
        </w:rPr>
      </w:pPr>
    </w:p>
    <w:p>
      <w:pPr>
        <w:ind w:left="544" w:right="420" w:hanging="539"/>
        <w:spacing w:after="0" w:line="342" w:lineRule="auto"/>
        <w:tabs>
          <w:tab w:leader="none" w:pos="524"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6"/>
          <w:szCs w:val="16"/>
          <w:color w:val="auto"/>
        </w:rPr>
        <w:t>The Company may only make distributions to the Shareholders and other persons entitled to distributable profits to the extent that its equity exceeds the aggregate amount of the issued share capital and the reserves which must be maintained pursuant to applicable law.</w:t>
      </w:r>
    </w:p>
    <w:p>
      <w:pPr>
        <w:spacing w:after="0" w:line="29"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45.4</w:t>
        <w:tab/>
        <w:t>Any distribution of profits shall be made only following the adoption of the Annual Accounts by the General Meeting that show such distribution is permitted in accordance with Article 45.3.</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74" w:right="439" w:bottom="1440" w:gutter="0" w:footer="0" w:header="0"/>
        </w:sectPr>
      </w:pPr>
    </w:p>
    <w:bookmarkStart w:id="382" w:name="page383"/>
    <w:bookmarkEnd w:id="382"/>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45.5</w:t>
        <w:tab/>
        <w:t>The Management Board may resolve to may make interim distributions, provided that the requirement of Article 45.3 has been met as evidenced by an interim financial statement as referred to in section 2:105 subsection 4 of the Dutch Civil Code.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45.6</w:t>
      </w:r>
      <w:r>
        <w:rPr>
          <w:sz w:val="20"/>
          <w:szCs w:val="20"/>
          <w:color w:val="auto"/>
        </w:rPr>
        <w:tab/>
      </w:r>
      <w:r>
        <w:rPr>
          <w:rFonts w:ascii="Arial" w:cs="Arial" w:eastAsia="Arial" w:hAnsi="Arial"/>
          <w:sz w:val="16"/>
          <w:szCs w:val="16"/>
          <w:color w:val="auto"/>
        </w:rPr>
        <w:t>A resolution of the Management Board to make an interim distribution shall require the prior approval of the Supervisory Board.</w:t>
      </w:r>
    </w:p>
    <w:p>
      <w:pPr>
        <w:spacing w:after="0" w:line="131" w:lineRule="exact"/>
        <w:rPr>
          <w:sz w:val="20"/>
          <w:szCs w:val="20"/>
          <w:color w:val="auto"/>
        </w:rPr>
      </w:pPr>
    </w:p>
    <w:p>
      <w:pPr>
        <w:ind w:left="544" w:right="120" w:hanging="539"/>
        <w:spacing w:after="0" w:line="277" w:lineRule="auto"/>
        <w:tabs>
          <w:tab w:leader="none" w:pos="524" w:val="left"/>
        </w:tabs>
        <w:rPr>
          <w:sz w:val="20"/>
          <w:szCs w:val="20"/>
          <w:color w:val="auto"/>
        </w:rPr>
      </w:pPr>
      <w:r>
        <w:rPr>
          <w:rFonts w:ascii="Arial" w:cs="Arial" w:eastAsia="Arial" w:hAnsi="Arial"/>
          <w:sz w:val="18"/>
          <w:szCs w:val="18"/>
          <w:color w:val="auto"/>
        </w:rPr>
        <w:t>45.7</w:t>
        <w:tab/>
        <w:t>Shares held by the Company shall not be taken into account for the purpose of calculating each distribution, unless such Shares are encumbered with a right of usufruct or a right of pledge.</w:t>
      </w:r>
    </w:p>
    <w:p>
      <w:pPr>
        <w:spacing w:after="0" w:line="76"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45.8</w:t>
        <w:tab/>
        <w:t>Distributions on Shares of a particular class shall be made pro rata on all Shares of such particular class. Distributions to the last former holders of Financing Preferred Shares that have been cancelled shall be made pro rata on the aggregate amount of the Financing Preferred Shares held by such holders immediately before the cancellation.</w:t>
      </w:r>
    </w:p>
    <w:p>
      <w:pPr>
        <w:spacing w:after="0" w:line="89" w:lineRule="exact"/>
        <w:rPr>
          <w:sz w:val="20"/>
          <w:szCs w:val="20"/>
          <w:color w:val="auto"/>
        </w:rPr>
      </w:pPr>
    </w:p>
    <w:p>
      <w:pPr>
        <w:ind w:left="544" w:right="400" w:hanging="539"/>
        <w:spacing w:after="0" w:line="277" w:lineRule="auto"/>
        <w:tabs>
          <w:tab w:leader="none" w:pos="524" w:val="left"/>
        </w:tabs>
        <w:rPr>
          <w:sz w:val="20"/>
          <w:szCs w:val="20"/>
          <w:color w:val="auto"/>
        </w:rPr>
      </w:pPr>
      <w:r>
        <w:rPr>
          <w:rFonts w:ascii="Arial" w:cs="Arial" w:eastAsia="Arial" w:hAnsi="Arial"/>
          <w:sz w:val="18"/>
          <w:szCs w:val="18"/>
          <w:color w:val="auto"/>
        </w:rPr>
        <w:t>45.9</w:t>
        <w:tab/>
        <w:t>Distributions shall be due and payable four weeks after they have been declared, unless the General Meeting determines another date on the proposal of the Management Board.</w:t>
      </w:r>
    </w:p>
    <w:p>
      <w:pPr>
        <w:spacing w:after="0" w:line="76" w:lineRule="exact"/>
        <w:rPr>
          <w:sz w:val="20"/>
          <w:szCs w:val="20"/>
          <w:color w:val="auto"/>
        </w:rPr>
      </w:pPr>
    </w:p>
    <w:p>
      <w:pPr>
        <w:ind w:left="544" w:right="260" w:hanging="539"/>
        <w:spacing w:after="0" w:line="277" w:lineRule="auto"/>
        <w:rPr>
          <w:sz w:val="20"/>
          <w:szCs w:val="20"/>
          <w:color w:val="auto"/>
        </w:rPr>
      </w:pPr>
      <w:r>
        <w:rPr>
          <w:rFonts w:ascii="Arial" w:cs="Arial" w:eastAsia="Arial" w:hAnsi="Arial"/>
          <w:sz w:val="18"/>
          <w:szCs w:val="18"/>
          <w:color w:val="auto"/>
        </w:rPr>
        <w:t>45.10 Distributions which have not been collected within five years of the start of the day after the day on which they became due and payable shall revert to the Company.</w:t>
      </w:r>
    </w:p>
    <w:p>
      <w:pPr>
        <w:spacing w:after="0" w:line="76" w:lineRule="exact"/>
        <w:rPr>
          <w:sz w:val="20"/>
          <w:szCs w:val="20"/>
          <w:color w:val="auto"/>
        </w:rPr>
      </w:pPr>
    </w:p>
    <w:p>
      <w:pPr>
        <w:ind w:left="544" w:right="360" w:hanging="539"/>
        <w:spacing w:after="0" w:line="277" w:lineRule="auto"/>
        <w:tabs>
          <w:tab w:leader="none" w:pos="524" w:val="left"/>
        </w:tabs>
        <w:rPr>
          <w:sz w:val="20"/>
          <w:szCs w:val="20"/>
          <w:color w:val="auto"/>
        </w:rPr>
      </w:pPr>
      <w:r>
        <w:rPr>
          <w:rFonts w:ascii="Arial" w:cs="Arial" w:eastAsia="Arial" w:hAnsi="Arial"/>
          <w:sz w:val="18"/>
          <w:szCs w:val="18"/>
          <w:color w:val="auto"/>
        </w:rPr>
        <w:t>45.11</w:t>
        <w:tab/>
        <w:t>The General Meeting may determine that distributions shall be made in whole or in part in the form of Shares or in a currency other than the euro, provided on the proposal of the Management Board.</w:t>
      </w:r>
    </w:p>
    <w:p>
      <w:pPr>
        <w:spacing w:after="0" w:line="76" w:lineRule="exact"/>
        <w:rPr>
          <w:sz w:val="20"/>
          <w:szCs w:val="20"/>
          <w:color w:val="auto"/>
        </w:rPr>
      </w:pPr>
    </w:p>
    <w:p>
      <w:pPr>
        <w:ind w:left="544" w:right="80" w:hanging="539"/>
        <w:spacing w:after="0" w:line="277" w:lineRule="auto"/>
        <w:rPr>
          <w:sz w:val="20"/>
          <w:szCs w:val="20"/>
          <w:color w:val="auto"/>
        </w:rPr>
      </w:pPr>
      <w:r>
        <w:rPr>
          <w:rFonts w:ascii="Arial" w:cs="Arial" w:eastAsia="Arial" w:hAnsi="Arial"/>
          <w:sz w:val="18"/>
          <w:szCs w:val="18"/>
          <w:color w:val="auto"/>
        </w:rPr>
        <w:t>45.12 A resolution of the General Meeting to determine that distributions shall be made in whole or in part in the form of Shares or in a currency other than the euro shall require the prior approval of the Supervisory Board.</w:t>
      </w:r>
    </w:p>
    <w:p>
      <w:pPr>
        <w:spacing w:after="0" w:line="76" w:lineRule="exact"/>
        <w:rPr>
          <w:sz w:val="20"/>
          <w:szCs w:val="20"/>
          <w:color w:val="auto"/>
        </w:rPr>
      </w:pPr>
    </w:p>
    <w:p>
      <w:pPr>
        <w:ind w:left="544" w:right="580" w:hanging="539"/>
        <w:spacing w:after="0" w:line="308" w:lineRule="auto"/>
        <w:rPr>
          <w:sz w:val="20"/>
          <w:szCs w:val="20"/>
          <w:color w:val="auto"/>
        </w:rPr>
      </w:pPr>
      <w:r>
        <w:rPr>
          <w:rFonts w:ascii="Arial" w:cs="Arial" w:eastAsia="Arial" w:hAnsi="Arial"/>
          <w:sz w:val="17"/>
          <w:szCs w:val="17"/>
          <w:color w:val="auto"/>
        </w:rPr>
        <w:t>45.13 The Company shall announce any proposal for a distribution and the date when and the place where the distribution will be payable to all Shareholders by electronic means of communication with due observance of applicable law and stock exchange rules.</w:t>
      </w:r>
    </w:p>
    <w:p>
      <w:pPr>
        <w:spacing w:after="0" w:line="291" w:lineRule="exact"/>
        <w:rPr>
          <w:sz w:val="20"/>
          <w:szCs w:val="20"/>
          <w:color w:val="auto"/>
        </w:rPr>
      </w:pPr>
    </w:p>
    <w:p>
      <w:pPr>
        <w:ind w:left="544" w:hanging="544"/>
        <w:spacing w:after="0"/>
        <w:tabs>
          <w:tab w:leader="none" w:pos="544"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these Articles of Association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6"/>
          <w:szCs w:val="16"/>
          <w:color w:val="auto"/>
        </w:rPr>
        <w:t>The General Meeting shall be authorised to amend these Articles of Association.</w:t>
      </w:r>
    </w:p>
    <w:p>
      <w:pPr>
        <w:spacing w:after="0" w:line="131"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46.2</w:t>
        <w:tab/>
        <w:t>The General Meeting may only resolve to amend these Articles of Association on the proposal of the Management Board, which proposal shall require the prior approval of the Supervisory Board.</w:t>
      </w:r>
    </w:p>
    <w:p>
      <w:pPr>
        <w:spacing w:after="0" w:line="76"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t>46.3</w:t>
        <w:tab/>
        <w:t>If a proposal to amend these Articles of Association is to be made to the General Meeting, such shall always be mentioned in the notice of the General Meeting.</w:t>
      </w:r>
    </w:p>
    <w:p>
      <w:pPr>
        <w:spacing w:after="0" w:line="315" w:lineRule="exact"/>
        <w:rPr>
          <w:sz w:val="20"/>
          <w:szCs w:val="20"/>
          <w:color w:val="auto"/>
        </w:rPr>
      </w:pPr>
    </w:p>
    <w:p>
      <w:pPr>
        <w:ind w:left="544" w:hanging="544"/>
        <w:spacing w:after="0"/>
        <w:tabs>
          <w:tab w:leader="none" w:pos="544"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Dissolution and liquidation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6"/>
          <w:szCs w:val="16"/>
          <w:color w:val="auto"/>
        </w:rPr>
        <w:t>The General Meeting shall be authorised to dissolve the Company.</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383" w:name="page384"/>
    <w:bookmarkEnd w:id="383"/>
    <w:p>
      <w:pPr>
        <w:ind w:left="540" w:right="340" w:hanging="539"/>
        <w:spacing w:after="0" w:line="27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47.2</w:t>
        <w:tab/>
        <w:t>The General Meeting may only resolve to dissolve the Company on the proposal of the Management Board, which proposal shall require the prior approval of the Supervisory Board.</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47.3</w:t>
      </w:r>
      <w:r>
        <w:rPr>
          <w:sz w:val="20"/>
          <w:szCs w:val="20"/>
          <w:color w:val="auto"/>
        </w:rPr>
        <w:tab/>
      </w:r>
      <w:r>
        <w:rPr>
          <w:rFonts w:ascii="Arial" w:cs="Arial" w:eastAsia="Arial" w:hAnsi="Arial"/>
          <w:sz w:val="16"/>
          <w:szCs w:val="16"/>
          <w:color w:val="auto"/>
        </w:rPr>
        <w:t>Article 46.3 shall apply by analogy to a proposal to dissolve the Company.</w:t>
      </w:r>
    </w:p>
    <w:p>
      <w:pPr>
        <w:spacing w:after="0" w:line="131" w:lineRule="exact"/>
        <w:rPr>
          <w:sz w:val="20"/>
          <w:szCs w:val="20"/>
          <w:color w:val="auto"/>
        </w:rPr>
      </w:pPr>
    </w:p>
    <w:p>
      <w:pPr>
        <w:ind w:left="540" w:right="160" w:hanging="539"/>
        <w:spacing w:after="0" w:line="308" w:lineRule="auto"/>
        <w:tabs>
          <w:tab w:leader="none" w:pos="520" w:val="left"/>
        </w:tabs>
        <w:rPr>
          <w:sz w:val="20"/>
          <w:szCs w:val="20"/>
          <w:color w:val="auto"/>
        </w:rPr>
      </w:pPr>
      <w:r>
        <w:rPr>
          <w:rFonts w:ascii="Arial" w:cs="Arial" w:eastAsia="Arial" w:hAnsi="Arial"/>
          <w:sz w:val="18"/>
          <w:szCs w:val="18"/>
          <w:color w:val="auto"/>
        </w:rPr>
        <w:t>47.4</w:t>
      </w:r>
      <w:r>
        <w:rPr>
          <w:sz w:val="20"/>
          <w:szCs w:val="20"/>
          <w:color w:val="auto"/>
        </w:rPr>
        <w:tab/>
      </w:r>
      <w:r>
        <w:rPr>
          <w:rFonts w:ascii="Arial" w:cs="Arial" w:eastAsia="Arial" w:hAnsi="Arial"/>
          <w:sz w:val="17"/>
          <w:szCs w:val="17"/>
          <w:color w:val="auto"/>
        </w:rPr>
        <w:t>If the Company is dissolved pursuant to a resolution of the General Meeting, its assets shall be liquidated by the Managing Directors, under the supervision of the Supervisory Board, if and to the extent that the General Meeting shall not resolve otherwise.</w:t>
      </w:r>
    </w:p>
    <w:p>
      <w:pPr>
        <w:spacing w:after="0" w:line="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47.5</w:t>
      </w:r>
      <w:r>
        <w:rPr>
          <w:sz w:val="20"/>
          <w:szCs w:val="20"/>
          <w:color w:val="auto"/>
        </w:rPr>
        <w:tab/>
      </w:r>
      <w:r>
        <w:rPr>
          <w:rFonts w:ascii="Arial" w:cs="Arial" w:eastAsia="Arial" w:hAnsi="Arial"/>
          <w:sz w:val="16"/>
          <w:szCs w:val="16"/>
          <w:color w:val="auto"/>
        </w:rPr>
        <w:t>The General Meeting shall determine the remuneration of the liquidators and of the persons charged with the supervision of the liquidation.</w:t>
      </w:r>
    </w:p>
    <w:p>
      <w:pPr>
        <w:spacing w:after="0" w:line="131" w:lineRule="exact"/>
        <w:rPr>
          <w:sz w:val="20"/>
          <w:szCs w:val="20"/>
          <w:color w:val="auto"/>
        </w:rPr>
      </w:pPr>
    </w:p>
    <w:p>
      <w:pPr>
        <w:ind w:left="540" w:right="120" w:hanging="539"/>
        <w:spacing w:after="0" w:line="277" w:lineRule="auto"/>
        <w:tabs>
          <w:tab w:leader="none" w:pos="520" w:val="left"/>
        </w:tabs>
        <w:rPr>
          <w:sz w:val="20"/>
          <w:szCs w:val="20"/>
          <w:color w:val="auto"/>
        </w:rPr>
      </w:pPr>
      <w:r>
        <w:rPr>
          <w:rFonts w:ascii="Arial" w:cs="Arial" w:eastAsia="Arial" w:hAnsi="Arial"/>
          <w:sz w:val="18"/>
          <w:szCs w:val="18"/>
          <w:color w:val="auto"/>
        </w:rPr>
        <w:t>47.6</w:t>
        <w:tab/>
        <w:t>The liquidation shall take place with due observance of the relevant provisions of Book 2 title 1 of the Dutch Civil Code. During the liquidation period these Articles of Association shall, to the extent possible, remain in full force.</w:t>
      </w:r>
    </w:p>
    <w:p>
      <w:pPr>
        <w:spacing w:after="0" w:line="76" w:lineRule="exact"/>
        <w:rPr>
          <w:sz w:val="20"/>
          <w:szCs w:val="20"/>
          <w:color w:val="auto"/>
        </w:rPr>
      </w:pPr>
    </w:p>
    <w:p>
      <w:pPr>
        <w:ind w:left="540" w:right="460" w:hanging="539"/>
        <w:spacing w:after="0" w:line="277" w:lineRule="auto"/>
        <w:tabs>
          <w:tab w:leader="none" w:pos="520" w:val="left"/>
        </w:tabs>
        <w:rPr>
          <w:sz w:val="20"/>
          <w:szCs w:val="20"/>
          <w:color w:val="auto"/>
        </w:rPr>
      </w:pPr>
      <w:r>
        <w:rPr>
          <w:rFonts w:ascii="Arial" w:cs="Arial" w:eastAsia="Arial" w:hAnsi="Arial"/>
          <w:sz w:val="18"/>
          <w:szCs w:val="18"/>
          <w:color w:val="auto"/>
        </w:rPr>
        <w:t>47.7</w:t>
        <w:tab/>
        <w:t>From the balance of the assets of the Company remaining after the creditors have been paid first of all, to the extent possible, the following distributions shall be made:</w:t>
      </w:r>
    </w:p>
    <w:p>
      <w:pPr>
        <w:spacing w:after="0" w:line="76" w:lineRule="exact"/>
        <w:rPr>
          <w:sz w:val="20"/>
          <w:szCs w:val="20"/>
          <w:color w:val="auto"/>
        </w:rPr>
      </w:pPr>
    </w:p>
    <w:p>
      <w:pPr>
        <w:ind w:left="1180" w:right="400" w:hanging="644"/>
        <w:spacing w:after="0" w:line="277" w:lineRule="auto"/>
        <w:tabs>
          <w:tab w:leader="none" w:pos="11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the holders of Financing Preferred Shares, in proportion to the aggregate amount of the Financing Preferred Shares held by such holders:</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amount paid up on their Financing Preferred Shares;</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any deficit, referred to in Article 44.2; and</w:t>
      </w:r>
    </w:p>
    <w:p>
      <w:pPr>
        <w:spacing w:after="0" w:line="130" w:lineRule="exact"/>
        <w:rPr>
          <w:rFonts w:ascii="Arial" w:cs="Arial" w:eastAsia="Arial" w:hAnsi="Arial"/>
          <w:sz w:val="18"/>
          <w:szCs w:val="18"/>
          <w:color w:val="auto"/>
        </w:rPr>
      </w:pPr>
    </w:p>
    <w:p>
      <w:pPr>
        <w:ind w:left="1740" w:right="620" w:hanging="543"/>
        <w:spacing w:after="0" w:line="277" w:lineRule="auto"/>
        <w:tabs>
          <w:tab w:leader="none" w:pos="17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an amount equal to the amount referred to in Article 44.2 under (a) calculated up to the date on which the Company was dissolved;</w:t>
      </w:r>
    </w:p>
    <w:p>
      <w:pPr>
        <w:spacing w:after="0" w:line="75" w:lineRule="exact"/>
        <w:rPr>
          <w:rFonts w:ascii="Arial" w:cs="Arial" w:eastAsia="Arial" w:hAnsi="Arial"/>
          <w:sz w:val="18"/>
          <w:szCs w:val="18"/>
          <w:color w:val="auto"/>
        </w:rPr>
      </w:pPr>
    </w:p>
    <w:p>
      <w:pPr>
        <w:ind w:left="1180" w:right="20" w:hanging="644"/>
        <w:spacing w:after="0" w:line="263" w:lineRule="auto"/>
        <w:tabs>
          <w:tab w:leader="none" w:pos="11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the holders of each series of Financing Preferred Shares, in proportion to the aggregate amount of the Financing Preferred Shares held by such holders, the balance of the share premium reserve maintained by the Company for the benefit of the holders of the relevant series of Financing Preferred Shares;</w:t>
      </w:r>
    </w:p>
    <w:p>
      <w:pPr>
        <w:spacing w:after="0" w:line="89" w:lineRule="exact"/>
        <w:rPr>
          <w:rFonts w:ascii="Arial" w:cs="Arial" w:eastAsia="Arial" w:hAnsi="Arial"/>
          <w:sz w:val="18"/>
          <w:szCs w:val="18"/>
          <w:color w:val="auto"/>
        </w:rPr>
      </w:pPr>
    </w:p>
    <w:p>
      <w:pPr>
        <w:ind w:left="1180" w:right="460" w:hanging="644"/>
        <w:spacing w:after="0" w:line="277" w:lineRule="auto"/>
        <w:tabs>
          <w:tab w:leader="none" w:pos="11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to the last former holders of the Financing Preferred Shares that have been cancelled, in proportion to the aggregate amount of the Financing Preferred Shares held by such holders immediately before cancellation:</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any deficit, referred to in Article 44.2; and</w:t>
      </w:r>
    </w:p>
    <w:p>
      <w:pPr>
        <w:spacing w:after="0" w:line="130" w:lineRule="exact"/>
        <w:rPr>
          <w:rFonts w:ascii="Arial" w:cs="Arial" w:eastAsia="Arial" w:hAnsi="Arial"/>
          <w:sz w:val="18"/>
          <w:szCs w:val="18"/>
          <w:color w:val="auto"/>
        </w:rPr>
      </w:pPr>
    </w:p>
    <w:p>
      <w:pPr>
        <w:ind w:left="1740" w:right="60" w:hanging="543"/>
        <w:spacing w:after="0" w:line="263" w:lineRule="auto"/>
        <w:tabs>
          <w:tab w:leader="none" w:pos="17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if their Financing Preferred Shares were cancelled in the financial year in which the Company was dissolved, an amount equal to the amount of the distribution referred to in Article 11.4 under (b), reduced by the amount of the distribution already received by them pursuant to that provision.</w:t>
      </w:r>
    </w:p>
    <w:p>
      <w:pPr>
        <w:spacing w:after="0" w:line="76" w:lineRule="exact"/>
        <w:rPr>
          <w:sz w:val="20"/>
          <w:szCs w:val="20"/>
          <w:color w:val="auto"/>
        </w:rPr>
      </w:pPr>
    </w:p>
    <w:p>
      <w:pPr>
        <w:ind w:left="540"/>
        <w:spacing w:after="0" w:line="263" w:lineRule="auto"/>
        <w:rPr>
          <w:sz w:val="20"/>
          <w:szCs w:val="20"/>
          <w:color w:val="auto"/>
        </w:rPr>
      </w:pPr>
      <w:r>
        <w:rPr>
          <w:rFonts w:ascii="Arial" w:cs="Arial" w:eastAsia="Arial" w:hAnsi="Arial"/>
          <w:sz w:val="18"/>
          <w:szCs w:val="18"/>
          <w:color w:val="auto"/>
        </w:rPr>
        <w:t>If the surplus is insufficient to make such distributions in full, the surplus shall be distributed to the holders of Financing Preferred Shares and last former holders of Financing Preferred Shares that have been cancelled in proportion to the aggregate amount to which they would be entitled if the surplus would be sufficient.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84" w:name="page385"/>
    <w:bookmarkEnd w:id="384"/>
    <w:p>
      <w:pPr>
        <w:ind w:left="544" w:right="46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47.8</w:t>
        <w:tab/>
        <w:t>The balance remaining after application of Article 47.7 shall be distributed to the holders of Ordinary Shares in proportion to the aggregate amount of the Ordinary Shares held by such holders.</w:t>
      </w:r>
    </w:p>
    <w:p>
      <w:pPr>
        <w:spacing w:after="0" w:line="76" w:lineRule="exact"/>
        <w:rPr>
          <w:sz w:val="20"/>
          <w:szCs w:val="20"/>
          <w:color w:val="auto"/>
        </w:rPr>
      </w:pPr>
    </w:p>
    <w:p>
      <w:pPr>
        <w:ind w:left="544" w:right="340" w:hanging="539"/>
        <w:spacing w:after="0" w:line="277" w:lineRule="auto"/>
        <w:tabs>
          <w:tab w:leader="none" w:pos="524" w:val="left"/>
        </w:tabs>
        <w:rPr>
          <w:sz w:val="20"/>
          <w:szCs w:val="20"/>
          <w:color w:val="auto"/>
        </w:rPr>
      </w:pPr>
      <w:r>
        <w:rPr>
          <w:rFonts w:ascii="Arial" w:cs="Arial" w:eastAsia="Arial" w:hAnsi="Arial"/>
          <w:sz w:val="18"/>
          <w:szCs w:val="18"/>
          <w:color w:val="auto"/>
        </w:rPr>
        <w:t>47.9</w:t>
        <w:tab/>
        <w:t>After the Company has ceased to exist, its books, records and other data carriers shall remain in the custody of the person designated for that purpose by the liquidators for a period of seven years.</w:t>
      </w:r>
    </w:p>
    <w:p>
      <w:pPr>
        <w:spacing w:after="0" w:line="315" w:lineRule="exact"/>
        <w:rPr>
          <w:sz w:val="20"/>
          <w:szCs w:val="20"/>
          <w:color w:val="auto"/>
        </w:rPr>
      </w:pPr>
    </w:p>
    <w:p>
      <w:pPr>
        <w:ind w:left="544" w:hanging="544"/>
        <w:spacing w:after="0"/>
        <w:tabs>
          <w:tab w:leader="none" w:pos="544"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Transitional provision I</w:t>
      </w:r>
    </w:p>
    <w:p>
      <w:pPr>
        <w:spacing w:after="0" w:line="121" w:lineRule="exact"/>
        <w:rPr>
          <w:rFonts w:ascii="Arial" w:cs="Arial" w:eastAsia="Arial" w:hAnsi="Arial"/>
          <w:sz w:val="18"/>
          <w:szCs w:val="18"/>
          <w:b w:val="1"/>
          <w:bCs w:val="1"/>
          <w:color w:val="auto"/>
        </w:rPr>
      </w:pPr>
    </w:p>
    <w:p>
      <w:pPr>
        <w:ind w:left="544"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first financial year ends on the thirty-first day of December two thousand and twenty. This Article 48 shall lapse after expiry of the first financial year.</w:t>
      </w:r>
    </w:p>
    <w:p>
      <w:pPr>
        <w:spacing w:after="0" w:line="314" w:lineRule="exact"/>
        <w:rPr>
          <w:rFonts w:ascii="Arial" w:cs="Arial" w:eastAsia="Arial" w:hAnsi="Arial"/>
          <w:sz w:val="18"/>
          <w:szCs w:val="18"/>
          <w:b w:val="1"/>
          <w:bCs w:val="1"/>
          <w:color w:val="auto"/>
        </w:rPr>
      </w:pPr>
    </w:p>
    <w:p>
      <w:pPr>
        <w:ind w:left="544" w:hanging="544"/>
        <w:spacing w:after="0"/>
        <w:tabs>
          <w:tab w:leader="none" w:pos="544"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Transitional provision II</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6"/>
          <w:szCs w:val="16"/>
          <w:color w:val="auto"/>
        </w:rPr>
        <w:t>In derogation of Article 4.1, the authorised share capital of the Company amounts to one million and five hundred thousand euros (EUR</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1,500,000) and is divided into:</w:t>
      </w:r>
    </w:p>
    <w:p>
      <w:pPr>
        <w:spacing w:after="0" w:line="116" w:lineRule="exact"/>
        <w:rPr>
          <w:sz w:val="20"/>
          <w:szCs w:val="20"/>
          <w:color w:val="auto"/>
        </w:rPr>
      </w:pPr>
    </w:p>
    <w:p>
      <w:pPr>
        <w:ind w:left="1184" w:right="200" w:hanging="644"/>
        <w:spacing w:after="0" w:line="277" w:lineRule="auto"/>
        <w:tabs>
          <w:tab w:leader="none" w:pos="118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one hundred and forty-two million five hundred thousand (142,500,000) Ordinary Shares with a nominal value of one eurocent (EUR 0.01) each; and</w:t>
      </w:r>
    </w:p>
    <w:p>
      <w:pPr>
        <w:spacing w:after="0" w:line="75" w:lineRule="exact"/>
        <w:rPr>
          <w:rFonts w:ascii="Arial" w:cs="Arial" w:eastAsia="Arial" w:hAnsi="Arial"/>
          <w:sz w:val="18"/>
          <w:szCs w:val="18"/>
          <w:color w:val="auto"/>
        </w:rPr>
      </w:pPr>
    </w:p>
    <w:p>
      <w:pPr>
        <w:ind w:left="1184" w:right="20" w:hanging="644"/>
        <w:spacing w:after="0" w:line="263" w:lineRule="auto"/>
        <w:tabs>
          <w:tab w:leader="none" w:pos="118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seven million five hundred thousand (7,500,000) Financing Preferred Shares with a nominal value of one eurocent (EUR 0.01) each, which are convertible into Ordinary Shares on the terms and subject to the conditions determined in accordance with Article5.2, divided into:</w:t>
      </w:r>
    </w:p>
    <w:p>
      <w:pPr>
        <w:spacing w:after="0" w:line="89" w:lineRule="exact"/>
        <w:rPr>
          <w:rFonts w:ascii="Arial" w:cs="Arial" w:eastAsia="Arial" w:hAnsi="Arial"/>
          <w:sz w:val="18"/>
          <w:szCs w:val="18"/>
          <w:color w:val="auto"/>
        </w:rPr>
      </w:pPr>
    </w:p>
    <w:p>
      <w:pPr>
        <w:ind w:left="1744" w:hanging="543"/>
        <w:spacing w:after="0"/>
        <w:tabs>
          <w:tab w:leader="none" w:pos="174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series A consisting of one million five hundred thousand (1,500,000) Financing Preferred Shares;</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series B consisting of one million five hundred thousand (1,500,000) Financing Preferred Shares;</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series C consisting of one million five hundred thousand (1,500,000) Financing Preferred Shares;</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series D consisting of one million five hundred thousand (1,500,000) Financing Preferred Shares; and</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series E consisting of one million five hundred thousand (1,500,000) Financing Preferred Shares.</w:t>
      </w:r>
    </w:p>
    <w:p>
      <w:pPr>
        <w:spacing w:after="0" w:line="117" w:lineRule="exact"/>
        <w:rPr>
          <w:sz w:val="20"/>
          <w:szCs w:val="20"/>
          <w:color w:val="auto"/>
        </w:rPr>
      </w:pPr>
    </w:p>
    <w:p>
      <w:pPr>
        <w:jc w:val="both"/>
        <w:ind w:left="544" w:right="160"/>
        <w:spacing w:after="0" w:line="263" w:lineRule="auto"/>
        <w:rPr>
          <w:sz w:val="20"/>
          <w:szCs w:val="20"/>
          <w:color w:val="auto"/>
        </w:rPr>
      </w:pPr>
      <w:r>
        <w:rPr>
          <w:rFonts w:ascii="Arial" w:cs="Arial" w:eastAsia="Arial" w:hAnsi="Arial"/>
          <w:sz w:val="18"/>
          <w:szCs w:val="18"/>
          <w:color w:val="auto"/>
        </w:rPr>
        <w:t>Article 4.1 shall first apply as of the date on which the number of issued Ordinary Shares amounts to or exceeds sixty million (60,000,000). As soon as Article 4.1 applies, the Company shall file a statement with the Dutch trade register evidencing that Article 4.1 applies, stating the date as of which that Article applies. This Article 49 shall lapse once Article 4.1 applies.</w:t>
      </w:r>
    </w:p>
    <w:p>
      <w:pPr>
        <w:spacing w:after="0" w:line="328" w:lineRule="exact"/>
        <w:rPr>
          <w:sz w:val="20"/>
          <w:szCs w:val="20"/>
          <w:color w:val="auto"/>
        </w:rPr>
      </w:pPr>
    </w:p>
    <w:p>
      <w:pPr>
        <w:ind w:left="544" w:hanging="544"/>
        <w:spacing w:after="0"/>
        <w:tabs>
          <w:tab w:leader="none" w:pos="544"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Transitional provision III</w:t>
      </w:r>
    </w:p>
    <w:p>
      <w:pPr>
        <w:spacing w:after="0" w:line="121" w:lineRule="exact"/>
        <w:rPr>
          <w:rFonts w:ascii="Arial" w:cs="Arial" w:eastAsia="Arial" w:hAnsi="Arial"/>
          <w:sz w:val="18"/>
          <w:szCs w:val="18"/>
          <w:b w:val="1"/>
          <w:bCs w:val="1"/>
          <w:color w:val="auto"/>
        </w:rPr>
      </w:pPr>
    </w:p>
    <w:p>
      <w:pPr>
        <w:jc w:val="both"/>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the Transition Date, these Articles of Association shall read in full as set out in Article 51, provided, however, that article 42 of the articles of association as set out in Article 51 shall only be deemed to form part of such articles of association if on the Transition Date Article 49 has not yet lapsed.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385" w:name="page386"/>
    <w:bookmarkEnd w:id="385"/>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50.1</w:t>
      </w:r>
      <w:r>
        <w:rPr>
          <w:sz w:val="20"/>
          <w:szCs w:val="20"/>
          <w:color w:val="auto"/>
        </w:rPr>
        <w:tab/>
      </w:r>
      <w:r>
        <w:rPr>
          <w:rFonts w:ascii="Arial" w:cs="Arial" w:eastAsia="Arial" w:hAnsi="Arial"/>
          <w:sz w:val="16"/>
          <w:szCs w:val="16"/>
          <w:color w:val="auto"/>
        </w:rPr>
        <w:t>Until the Transition Date, Article 51 shall be deemed not to form part of these Articles of Association.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6"/>
          <w:szCs w:val="16"/>
          <w:color w:val="auto"/>
        </w:rPr>
        <w:t>Articles 1 up to and including 49, this Article 50 and the heading of Article 51 shall lapse as of the Transition Date.</w:t>
      </w:r>
    </w:p>
    <w:p>
      <w:pPr>
        <w:spacing w:after="0" w:line="370" w:lineRule="exact"/>
        <w:rPr>
          <w:sz w:val="20"/>
          <w:szCs w:val="20"/>
          <w:color w:val="auto"/>
        </w:rPr>
      </w:pPr>
    </w:p>
    <w:p>
      <w:pPr>
        <w:ind w:left="544" w:hanging="544"/>
        <w:spacing w:after="0"/>
        <w:tabs>
          <w:tab w:leader="none" w:pos="544"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Articles of association as they will read as of the Transition Date</w:t>
      </w:r>
    </w:p>
    <w:p>
      <w:pPr>
        <w:spacing w:after="0" w:line="117"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ARTICLES OF ASSOCIATION</w:t>
      </w:r>
    </w:p>
    <w:p>
      <w:pPr>
        <w:spacing w:after="0" w:line="131" w:lineRule="exact"/>
        <w:rPr>
          <w:sz w:val="20"/>
          <w:szCs w:val="20"/>
          <w:color w:val="auto"/>
        </w:rPr>
      </w:pPr>
    </w:p>
    <w:p>
      <w:pPr>
        <w:ind w:left="544" w:hanging="544"/>
        <w:spacing w:after="0"/>
        <w:tabs>
          <w:tab w:leader="none" w:pos="544"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these Articles of Association the following terms shall have the following meanings:</w:t>
      </w:r>
    </w:p>
    <w:p>
      <w:pPr>
        <w:spacing w:after="0" w:line="113" w:lineRule="exact"/>
        <w:rPr>
          <w:sz w:val="20"/>
          <w:szCs w:val="20"/>
          <w:color w:val="auto"/>
        </w:rPr>
      </w:pPr>
    </w:p>
    <w:p>
      <w:pPr>
        <w:ind w:left="544" w:right="3000"/>
        <w:spacing w:after="0" w:line="3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Accounts</w:t>
      </w:r>
      <w:r>
        <w:rPr>
          <w:rFonts w:ascii="Arial" w:cs="Arial" w:eastAsia="Arial" w:hAnsi="Arial"/>
          <w:sz w:val="18"/>
          <w:szCs w:val="18"/>
          <w:color w:val="auto"/>
        </w:rPr>
        <w:t>” means the annual accounts referred to in section 2:361 of the Dutch Civil Code; “</w:t>
      </w:r>
      <w:r>
        <w:rPr>
          <w:rFonts w:ascii="Arial" w:cs="Arial" w:eastAsia="Arial" w:hAnsi="Arial"/>
          <w:sz w:val="18"/>
          <w:szCs w:val="18"/>
          <w:b w:val="1"/>
          <w:bCs w:val="1"/>
          <w:color w:val="auto"/>
        </w:rPr>
        <w:t>Articles of Association</w:t>
      </w:r>
      <w:r>
        <w:rPr>
          <w:rFonts w:ascii="Arial" w:cs="Arial" w:eastAsia="Arial" w:hAnsi="Arial"/>
          <w:sz w:val="18"/>
          <w:szCs w:val="18"/>
          <w:color w:val="auto"/>
        </w:rPr>
        <w:t>” means these articles of association; “</w:t>
      </w:r>
      <w:r>
        <w:rPr>
          <w:rFonts w:ascii="Arial" w:cs="Arial" w:eastAsia="Arial" w:hAnsi="Arial"/>
          <w:sz w:val="18"/>
          <w:szCs w:val="18"/>
          <w:b w:val="1"/>
          <w:bCs w:val="1"/>
          <w:color w:val="auto"/>
        </w:rPr>
        <w:t>Associate</w:t>
      </w:r>
      <w:r>
        <w:rPr>
          <w:rFonts w:ascii="Arial" w:cs="Arial" w:eastAsia="Arial" w:hAnsi="Arial"/>
          <w:sz w:val="18"/>
          <w:szCs w:val="18"/>
          <w:color w:val="auto"/>
        </w:rPr>
        <w:t>” means, with respect to any person:</w:t>
      </w:r>
    </w:p>
    <w:p>
      <w:pPr>
        <w:spacing w:after="0" w:line="1" w:lineRule="exact"/>
        <w:rPr>
          <w:sz w:val="20"/>
          <w:szCs w:val="20"/>
          <w:color w:val="auto"/>
        </w:rPr>
      </w:pPr>
    </w:p>
    <w:p>
      <w:pPr>
        <w:ind w:left="1184" w:right="140" w:hanging="644"/>
        <w:spacing w:after="0" w:line="277" w:lineRule="auto"/>
        <w:tabs>
          <w:tab w:leader="none" w:pos="118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trust or other estate in which such person has a substantial beneficial interest or as to which such person serves as trustee or in a similar fiduciary capacity, and</w:t>
      </w:r>
    </w:p>
    <w:p>
      <w:pPr>
        <w:spacing w:after="0" w:line="75" w:lineRule="exact"/>
        <w:rPr>
          <w:rFonts w:ascii="Arial" w:cs="Arial" w:eastAsia="Arial" w:hAnsi="Arial"/>
          <w:sz w:val="18"/>
          <w:szCs w:val="18"/>
          <w:color w:val="auto"/>
        </w:rPr>
      </w:pPr>
    </w:p>
    <w:p>
      <w:pPr>
        <w:ind w:left="1184" w:right="140" w:hanging="644"/>
        <w:spacing w:after="0" w:line="277" w:lineRule="auto"/>
        <w:tabs>
          <w:tab w:leader="none" w:pos="118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relative or spouse of such person, or any relative of such spouse, who has the same home as such person or who is an Executive Officer or Non-Executive Director of the Company;</w:t>
      </w:r>
    </w:p>
    <w:p>
      <w:pPr>
        <w:spacing w:after="0" w:line="58" w:lineRule="exact"/>
        <w:rPr>
          <w:sz w:val="20"/>
          <w:szCs w:val="20"/>
          <w:color w:val="auto"/>
        </w:rPr>
      </w:pPr>
    </w:p>
    <w:p>
      <w:pPr>
        <w:ind w:left="54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 means an auditor as referred to in section 2:393 subsection 1 of the Dutch Civil Code or an organisation within which such auditors cooperate;</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the Company;</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Chief Executive Officer</w:t>
      </w:r>
      <w:r>
        <w:rPr>
          <w:rFonts w:ascii="Arial" w:cs="Arial" w:eastAsia="Arial" w:hAnsi="Arial"/>
          <w:sz w:val="18"/>
          <w:szCs w:val="18"/>
          <w:color w:val="auto"/>
        </w:rPr>
        <w:t>” means the Executive Director with the title of Chief Executive Officer;</w:t>
      </w:r>
    </w:p>
    <w:p>
      <w:pPr>
        <w:spacing w:after="0" w:line="117" w:lineRule="exact"/>
        <w:rPr>
          <w:sz w:val="20"/>
          <w:szCs w:val="20"/>
          <w:color w:val="auto"/>
        </w:rPr>
      </w:pPr>
    </w:p>
    <w:p>
      <w:pPr>
        <w:ind w:left="544" w:right="2400"/>
        <w:spacing w:after="0" w:line="3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public company under Dutch law which is governed by these Articles of Association; “</w:t>
      </w:r>
      <w:r>
        <w:rPr>
          <w:rFonts w:ascii="Arial" w:cs="Arial" w:eastAsia="Arial" w:hAnsi="Arial"/>
          <w:sz w:val="18"/>
          <w:szCs w:val="18"/>
          <w:b w:val="1"/>
          <w:bCs w:val="1"/>
          <w:color w:val="auto"/>
        </w:rPr>
        <w:t>Convertible Reserve</w:t>
      </w:r>
      <w:r>
        <w:rPr>
          <w:rFonts w:ascii="Arial" w:cs="Arial" w:eastAsia="Arial" w:hAnsi="Arial"/>
          <w:sz w:val="18"/>
          <w:szCs w:val="18"/>
          <w:color w:val="auto"/>
        </w:rPr>
        <w:t>” means a reserve referred to in sections 2:389 or 2:390 of the Dutch Civil Code; “</w:t>
      </w:r>
      <w:r>
        <w:rPr>
          <w:rFonts w:ascii="Arial" w:cs="Arial" w:eastAsia="Arial" w:hAnsi="Arial"/>
          <w:sz w:val="18"/>
          <w:szCs w:val="18"/>
          <w:b w:val="1"/>
          <w:bCs w:val="1"/>
          <w:color w:val="auto"/>
        </w:rPr>
        <w:t>Director</w:t>
      </w:r>
      <w:r>
        <w:rPr>
          <w:rFonts w:ascii="Arial" w:cs="Arial" w:eastAsia="Arial" w:hAnsi="Arial"/>
          <w:sz w:val="18"/>
          <w:szCs w:val="18"/>
          <w:color w:val="auto"/>
        </w:rPr>
        <w:t>” means a director of the Company, including:</w:t>
      </w:r>
    </w:p>
    <w:p>
      <w:pPr>
        <w:spacing w:after="0" w:line="1" w:lineRule="exact"/>
        <w:rPr>
          <w:sz w:val="20"/>
          <w:szCs w:val="20"/>
          <w:color w:val="auto"/>
        </w:rPr>
      </w:pPr>
    </w:p>
    <w:p>
      <w:pPr>
        <w:ind w:left="1184" w:hanging="644"/>
        <w:spacing w:after="0"/>
        <w:tabs>
          <w:tab w:leader="none" w:pos="118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Executive Director and each Non-Executive Director;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Director I, each Director II and each Director III,</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in each case, unless the context otherwise requires;</w:t>
      </w:r>
    </w:p>
    <w:p>
      <w:pPr>
        <w:spacing w:after="0" w:line="113" w:lineRule="exact"/>
        <w:rPr>
          <w:sz w:val="20"/>
          <w:szCs w:val="20"/>
          <w:color w:val="auto"/>
        </w:rPr>
      </w:pPr>
    </w:p>
    <w:p>
      <w:pPr>
        <w:ind w:left="544" w:right="2240"/>
        <w:spacing w:after="0" w:line="45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Director I</w:t>
      </w:r>
      <w:r>
        <w:rPr>
          <w:rFonts w:ascii="Arial" w:cs="Arial" w:eastAsia="Arial" w:hAnsi="Arial"/>
          <w:sz w:val="16"/>
          <w:szCs w:val="16"/>
          <w:color w:val="auto"/>
        </w:rPr>
        <w:t>” means a Director designated by the Board as director I pursuant to these Articles of Association; “</w:t>
      </w:r>
      <w:r>
        <w:rPr>
          <w:rFonts w:ascii="Arial" w:cs="Arial" w:eastAsia="Arial" w:hAnsi="Arial"/>
          <w:sz w:val="16"/>
          <w:szCs w:val="16"/>
          <w:b w:val="1"/>
          <w:bCs w:val="1"/>
          <w:color w:val="auto"/>
        </w:rPr>
        <w:t>Director II</w:t>
      </w:r>
      <w:r>
        <w:rPr>
          <w:rFonts w:ascii="Arial" w:cs="Arial" w:eastAsia="Arial" w:hAnsi="Arial"/>
          <w:sz w:val="16"/>
          <w:szCs w:val="16"/>
          <w:color w:val="auto"/>
        </w:rPr>
        <w:t>” means a Director designated by the Board as director II pursuant to these Articles of Association;</w:t>
      </w:r>
    </w:p>
    <w:p>
      <w:pPr>
        <w:spacing w:after="0" w:line="1"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24"/>
          </w:cols>
          <w:pgMar w:left="436" w:top="274" w:right="639" w:bottom="1440" w:gutter="0" w:footer="0" w:header="0"/>
        </w:sectPr>
      </w:pPr>
    </w:p>
    <w:bookmarkStart w:id="386" w:name="page387"/>
    <w:bookmarkEnd w:id="38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Director III</w:t>
      </w:r>
      <w:r>
        <w:rPr>
          <w:rFonts w:ascii="Arial" w:cs="Arial" w:eastAsia="Arial" w:hAnsi="Arial"/>
          <w:sz w:val="18"/>
          <w:szCs w:val="18"/>
          <w:color w:val="auto"/>
        </w:rPr>
        <w:t>” means a Director designated by the Board as director III pursuant to these Articles of Association;</w:t>
      </w:r>
    </w:p>
    <w:p>
      <w:pPr>
        <w:spacing w:after="0" w:line="117" w:lineRule="exact"/>
        <w:rPr>
          <w:sz w:val="20"/>
          <w:szCs w:val="20"/>
          <w:color w:val="auto"/>
        </w:rPr>
      </w:pPr>
    </w:p>
    <w:p>
      <w:pPr>
        <w:ind w:left="4"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Distributable Reserve</w:t>
      </w:r>
      <w:r>
        <w:rPr>
          <w:rFonts w:ascii="Arial" w:cs="Arial" w:eastAsia="Arial" w:hAnsi="Arial"/>
          <w:sz w:val="18"/>
          <w:szCs w:val="18"/>
          <w:color w:val="auto"/>
        </w:rPr>
        <w:t>” means a distributable reserve other than a share premium reserve maintained by the Company for the benefit of the holders of a series of Financing Preferred Shares;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Committee</w:t>
      </w:r>
      <w:r>
        <w:rPr>
          <w:rFonts w:ascii="Arial" w:cs="Arial" w:eastAsia="Arial" w:hAnsi="Arial"/>
          <w:sz w:val="18"/>
          <w:szCs w:val="18"/>
          <w:color w:val="auto"/>
        </w:rPr>
        <w:t>” means the executive committee of the Company;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Director</w:t>
      </w:r>
      <w:r>
        <w:rPr>
          <w:rFonts w:ascii="Arial" w:cs="Arial" w:eastAsia="Arial" w:hAnsi="Arial"/>
          <w:sz w:val="18"/>
          <w:szCs w:val="18"/>
          <w:color w:val="auto"/>
        </w:rPr>
        <w:t>” means a Director appointed by the General Meeting as executive director;</w:t>
      </w:r>
    </w:p>
    <w:p>
      <w:pPr>
        <w:spacing w:after="0" w:line="117"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Officer</w:t>
      </w:r>
      <w:r>
        <w:rPr>
          <w:rFonts w:ascii="Arial" w:cs="Arial" w:eastAsia="Arial" w:hAnsi="Arial"/>
          <w:sz w:val="18"/>
          <w:szCs w:val="18"/>
          <w:color w:val="auto"/>
        </w:rPr>
        <w:t>” means a member of the Executive Committee, including each Executive Director and each other member of the Executive Committee, unless the context otherwise requires;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Preferred Share</w:t>
      </w:r>
      <w:r>
        <w:rPr>
          <w:rFonts w:ascii="Arial" w:cs="Arial" w:eastAsia="Arial" w:hAnsi="Arial"/>
          <w:sz w:val="18"/>
          <w:szCs w:val="18"/>
          <w:color w:val="auto"/>
        </w:rPr>
        <w:t>” means a financing preferred share in the share capital of the Company;</w:t>
      </w:r>
    </w:p>
    <w:p>
      <w:pPr>
        <w:spacing w:after="0" w:line="117" w:lineRule="exact"/>
        <w:rPr>
          <w:sz w:val="20"/>
          <w:szCs w:val="20"/>
          <w:color w:val="auto"/>
        </w:rPr>
      </w:pPr>
    </w:p>
    <w:p>
      <w:pPr>
        <w:ind w:left="4"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Meeting</w:t>
      </w:r>
      <w:r>
        <w:rPr>
          <w:rFonts w:ascii="Arial" w:cs="Arial" w:eastAsia="Arial" w:hAnsi="Arial"/>
          <w:sz w:val="18"/>
          <w:szCs w:val="18"/>
          <w:color w:val="auto"/>
        </w:rPr>
        <w:t>” means the body of the Company consisting of the Persons with Meeting Rights or a meeting of Persons with Meeting Rights, in each case, as the context may require;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a group as referred to in section 2:24b of the Dutch Civil Code;</w:t>
      </w:r>
    </w:p>
    <w:p>
      <w:pPr>
        <w:spacing w:after="0" w:line="117"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Company</w:t>
      </w:r>
      <w:r>
        <w:rPr>
          <w:rFonts w:ascii="Arial" w:cs="Arial" w:eastAsia="Arial" w:hAnsi="Arial"/>
          <w:sz w:val="18"/>
          <w:szCs w:val="18"/>
          <w:color w:val="auto"/>
        </w:rPr>
        <w:t>” means a legal person or company affiliated with the Company in a group as referred to in section 2:24b of the Dutch Civil Code;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means any current or former Executive Officer or Non-Executive Director;</w:t>
      </w:r>
    </w:p>
    <w:p>
      <w:pPr>
        <w:spacing w:after="0" w:line="117" w:lineRule="exact"/>
        <w:rPr>
          <w:sz w:val="20"/>
          <w:szCs w:val="20"/>
          <w:color w:val="auto"/>
        </w:rPr>
      </w:pPr>
    </w:p>
    <w:p>
      <w:pPr>
        <w:ind w:left="4" w:right="256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Management Report</w:t>
      </w:r>
      <w:r>
        <w:rPr>
          <w:rFonts w:ascii="Arial" w:cs="Arial" w:eastAsia="Arial" w:hAnsi="Arial"/>
          <w:sz w:val="17"/>
          <w:szCs w:val="17"/>
          <w:color w:val="auto"/>
        </w:rPr>
        <w:t>” means the management report referred to in section 2:391 of the Dutch Civil Code; “</w:t>
      </w:r>
      <w:r>
        <w:rPr>
          <w:rFonts w:ascii="Arial" w:cs="Arial" w:eastAsia="Arial" w:hAnsi="Arial"/>
          <w:sz w:val="17"/>
          <w:szCs w:val="17"/>
          <w:b w:val="1"/>
          <w:bCs w:val="1"/>
          <w:color w:val="auto"/>
        </w:rPr>
        <w:t>Non-Executive Director</w:t>
      </w:r>
      <w:r>
        <w:rPr>
          <w:rFonts w:ascii="Arial" w:cs="Arial" w:eastAsia="Arial" w:hAnsi="Arial"/>
          <w:sz w:val="17"/>
          <w:szCs w:val="17"/>
          <w:color w:val="auto"/>
        </w:rPr>
        <w:t>” means a Director appointed by the General Meeting as non-executive director; “</w:t>
      </w:r>
      <w:r>
        <w:rPr>
          <w:rFonts w:ascii="Arial" w:cs="Arial" w:eastAsia="Arial" w:hAnsi="Arial"/>
          <w:sz w:val="17"/>
          <w:szCs w:val="17"/>
          <w:b w:val="1"/>
          <w:bCs w:val="1"/>
          <w:color w:val="auto"/>
        </w:rPr>
        <w:t>Ordinary Share</w:t>
      </w:r>
      <w:r>
        <w:rPr>
          <w:rFonts w:ascii="Arial" w:cs="Arial" w:eastAsia="Arial" w:hAnsi="Arial"/>
          <w:sz w:val="17"/>
          <w:szCs w:val="17"/>
          <w:color w:val="auto"/>
        </w:rPr>
        <w:t>” means an ordinary share in the share capital of the Company;</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Interest</w:t>
      </w:r>
      <w:r>
        <w:rPr>
          <w:rFonts w:ascii="Arial" w:cs="Arial" w:eastAsia="Arial" w:hAnsi="Arial"/>
          <w:sz w:val="18"/>
          <w:szCs w:val="18"/>
          <w:color w:val="auto"/>
        </w:rPr>
        <w:t>” means a participating interest as referred to in section 2:24c of the Dutch Civil Code;</w:t>
      </w:r>
    </w:p>
    <w:p>
      <w:pPr>
        <w:spacing w:after="0" w:line="117" w:lineRule="exact"/>
        <w:rPr>
          <w:sz w:val="20"/>
          <w:szCs w:val="20"/>
          <w:color w:val="auto"/>
        </w:rPr>
      </w:pPr>
    </w:p>
    <w:p>
      <w:pPr>
        <w:ind w:left="4" w:right="148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 with Meeting Rights</w:t>
      </w:r>
      <w:r>
        <w:rPr>
          <w:rFonts w:ascii="Arial" w:cs="Arial" w:eastAsia="Arial" w:hAnsi="Arial"/>
          <w:sz w:val="18"/>
          <w:szCs w:val="18"/>
          <w:color w:val="auto"/>
        </w:rPr>
        <w:t>” means a Shareholder and a Usufructuary and Pledgee who are entitled to the voting rights; “</w:t>
      </w:r>
      <w:r>
        <w:rPr>
          <w:rFonts w:ascii="Arial" w:cs="Arial" w:eastAsia="Arial" w:hAnsi="Arial"/>
          <w:sz w:val="18"/>
          <w:szCs w:val="18"/>
          <w:b w:val="1"/>
          <w:bCs w:val="1"/>
          <w:color w:val="auto"/>
        </w:rPr>
        <w:t>Pledgee</w:t>
      </w:r>
      <w:r>
        <w:rPr>
          <w:rFonts w:ascii="Arial" w:cs="Arial" w:eastAsia="Arial" w:hAnsi="Arial"/>
          <w:sz w:val="18"/>
          <w:szCs w:val="18"/>
          <w:color w:val="auto"/>
        </w:rPr>
        <w:t>” means a holder of a right of pledge on one or more Shares;</w:t>
      </w:r>
    </w:p>
    <w:p>
      <w:pPr>
        <w:spacing w:after="0" w:line="1" w:lineRule="exact"/>
        <w:rPr>
          <w:sz w:val="20"/>
          <w:szCs w:val="20"/>
          <w:color w:val="auto"/>
        </w:rPr>
      </w:pPr>
    </w:p>
    <w:p>
      <w:pPr>
        <w:ind w:left="4"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in the share capital of the Company, including each Ordinary Share and each Financing Preferred Share, unless the context otherwise requires;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means a holder of one or more Shares;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Affiliate</w:t>
      </w:r>
      <w:r>
        <w:rPr>
          <w:rFonts w:ascii="Arial" w:cs="Arial" w:eastAsia="Arial" w:hAnsi="Arial"/>
          <w:sz w:val="18"/>
          <w:szCs w:val="18"/>
          <w:color w:val="auto"/>
        </w:rPr>
        <w:t>” means, with respect to any Shareholder:</w:t>
      </w:r>
    </w:p>
    <w:p>
      <w:pPr>
        <w:spacing w:after="0" w:line="135" w:lineRule="exact"/>
        <w:rPr>
          <w:sz w:val="20"/>
          <w:szCs w:val="20"/>
          <w:color w:val="auto"/>
        </w:rPr>
      </w:pPr>
    </w:p>
    <w:p>
      <w:pPr>
        <w:ind w:left="4884" w:right="3280" w:hanging="4884"/>
        <w:spacing w:after="0" w:line="449" w:lineRule="auto"/>
        <w:tabs>
          <w:tab w:leader="none" w:pos="65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any person controlling, directly or indirectly, or acting in concert with, such Shareholder; 34</w:t>
      </w:r>
    </w:p>
    <w:p>
      <w:pPr>
        <w:sectPr>
          <w:pgSz w:w="11900" w:h="16838" w:orient="portrait"/>
          <w:cols w:equalWidth="0" w:num="1">
            <w:col w:w="10344"/>
          </w:cols>
          <w:pgMar w:left="976" w:top="270" w:right="579" w:bottom="1440" w:gutter="0" w:footer="0" w:header="0"/>
        </w:sectPr>
      </w:pPr>
    </w:p>
    <w:bookmarkStart w:id="387" w:name="page388"/>
    <w:bookmarkEnd w:id="387"/>
    <w:p>
      <w:pPr>
        <w:ind w:left="1184" w:hanging="644"/>
        <w:spacing w:after="0"/>
        <w:tabs>
          <w:tab w:leader="none" w:pos="1184"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beneficial owner of Shares owned of record or beneficially by such Shareholder, or</w:t>
      </w:r>
    </w:p>
    <w:p>
      <w:pPr>
        <w:spacing w:after="0" w:line="130" w:lineRule="exact"/>
        <w:rPr>
          <w:rFonts w:ascii="Arial" w:cs="Arial" w:eastAsia="Arial" w:hAnsi="Arial"/>
          <w:sz w:val="18"/>
          <w:szCs w:val="18"/>
          <w:color w:val="auto"/>
        </w:rPr>
      </w:pPr>
    </w:p>
    <w:p>
      <w:pPr>
        <w:ind w:left="544" w:right="1640" w:hanging="4"/>
        <w:spacing w:after="0" w:line="373" w:lineRule="auto"/>
        <w:tabs>
          <w:tab w:leader="none" w:pos="118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person directly or indirectly controlling, controlled by or under common control with such Shareholder; “</w:t>
      </w:r>
      <w:r>
        <w:rPr>
          <w:rFonts w:ascii="Arial" w:cs="Arial" w:eastAsia="Arial" w:hAnsi="Arial"/>
          <w:sz w:val="18"/>
          <w:szCs w:val="18"/>
          <w:b w:val="1"/>
          <w:bCs w:val="1"/>
          <w:color w:val="auto"/>
        </w:rPr>
        <w:t>Subsidiary</w:t>
      </w:r>
      <w:r>
        <w:rPr>
          <w:rFonts w:ascii="Arial" w:cs="Arial" w:eastAsia="Arial" w:hAnsi="Arial"/>
          <w:sz w:val="18"/>
          <w:szCs w:val="18"/>
          <w:color w:val="auto"/>
        </w:rPr>
        <w:t>” means a subsidiary as referred to in section 2:24a of the Dutch Civil Code;</w:t>
      </w:r>
    </w:p>
    <w:p>
      <w:pPr>
        <w:ind w:left="5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Usufructuary</w:t>
      </w:r>
      <w:r>
        <w:rPr>
          <w:rFonts w:ascii="Arial" w:cs="Arial" w:eastAsia="Arial" w:hAnsi="Arial"/>
          <w:sz w:val="18"/>
          <w:szCs w:val="18"/>
          <w:color w:val="auto"/>
        </w:rPr>
        <w:t>” means a holder of a right of usufruct on one or more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these Articles of Association references to Articles are to articles of these Articles of Association, unless otherwise specified.</w:t>
      </w:r>
    </w:p>
    <w:p>
      <w:pPr>
        <w:spacing w:after="0" w:line="370" w:lineRule="exact"/>
        <w:rPr>
          <w:sz w:val="20"/>
          <w:szCs w:val="20"/>
          <w:color w:val="auto"/>
        </w:rPr>
      </w:pPr>
    </w:p>
    <w:p>
      <w:pPr>
        <w:ind w:left="544" w:hanging="544"/>
        <w:spacing w:after="0"/>
        <w:tabs>
          <w:tab w:leader="none" w:pos="544"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Name, seat and structure</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name of the Company is: Immatics N.V.</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Company has its seat in Amsterdam, the Netherlands.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Company applies section 2:129a of the Dutch Civil Code.</w:t>
      </w:r>
    </w:p>
    <w:p>
      <w:pPr>
        <w:spacing w:after="0" w:line="370" w:lineRule="exact"/>
        <w:rPr>
          <w:sz w:val="20"/>
          <w:szCs w:val="20"/>
          <w:color w:val="auto"/>
        </w:rPr>
      </w:pPr>
    </w:p>
    <w:p>
      <w:pPr>
        <w:ind w:left="544" w:hanging="544"/>
        <w:spacing w:after="0"/>
        <w:tabs>
          <w:tab w:leader="none" w:pos="544"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Objects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objects of the Company are:</w:t>
      </w:r>
    </w:p>
    <w:p>
      <w:pPr>
        <w:spacing w:after="0" w:line="130" w:lineRule="exact"/>
        <w:rPr>
          <w:rFonts w:ascii="Arial" w:cs="Arial" w:eastAsia="Arial" w:hAnsi="Arial"/>
          <w:sz w:val="18"/>
          <w:szCs w:val="18"/>
          <w:b w:val="1"/>
          <w:bCs w:val="1"/>
          <w:color w:val="auto"/>
        </w:rPr>
      </w:pPr>
    </w:p>
    <w:p>
      <w:pPr>
        <w:ind w:left="1184" w:right="140" w:hanging="644"/>
        <w:spacing w:after="0" w:line="277" w:lineRule="auto"/>
        <w:tabs>
          <w:tab w:leader="none" w:pos="118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to research, develop, manufacture and commercialise products for the detection, prevention and treatment of human diseases and conditions and to render advice and services in connection therewith;</w:t>
      </w:r>
    </w:p>
    <w:p>
      <w:pPr>
        <w:spacing w:after="0" w:line="75" w:lineRule="exact"/>
        <w:rPr>
          <w:rFonts w:ascii="Arial" w:cs="Arial" w:eastAsia="Arial" w:hAnsi="Arial"/>
          <w:sz w:val="18"/>
          <w:szCs w:val="18"/>
          <w:color w:val="auto"/>
        </w:rPr>
      </w:pPr>
    </w:p>
    <w:p>
      <w:pPr>
        <w:ind w:left="1184" w:hanging="644"/>
        <w:spacing w:after="0" w:line="277" w:lineRule="auto"/>
        <w:tabs>
          <w:tab w:leader="none" w:pos="118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to participate in, to take an interest in any other way in, to conduct the management of and to finance other businesses, of whatever nature;</w:t>
      </w:r>
    </w:p>
    <w:p>
      <w:pPr>
        <w:spacing w:after="0" w:line="75" w:lineRule="exact"/>
        <w:rPr>
          <w:rFonts w:ascii="Arial" w:cs="Arial" w:eastAsia="Arial" w:hAnsi="Arial"/>
          <w:sz w:val="18"/>
          <w:szCs w:val="18"/>
          <w:color w:val="auto"/>
        </w:rPr>
      </w:pPr>
    </w:p>
    <w:p>
      <w:pPr>
        <w:ind w:left="1184" w:right="180" w:hanging="644"/>
        <w:spacing w:after="0" w:line="277" w:lineRule="auto"/>
        <w:tabs>
          <w:tab w:leader="none" w:pos="118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to provide security, to give guarantees and to bind itself in any other way for its own debts and obligations and for those of other persons;</w:t>
      </w:r>
    </w:p>
    <w:p>
      <w:pPr>
        <w:spacing w:after="0" w:line="75" w:lineRule="exact"/>
        <w:rPr>
          <w:rFonts w:ascii="Arial" w:cs="Arial" w:eastAsia="Arial" w:hAnsi="Arial"/>
          <w:sz w:val="18"/>
          <w:szCs w:val="18"/>
          <w:color w:val="auto"/>
        </w:rPr>
      </w:pPr>
    </w:p>
    <w:p>
      <w:pPr>
        <w:ind w:left="1184" w:right="280" w:hanging="644"/>
        <w:spacing w:after="0" w:line="277" w:lineRule="auto"/>
        <w:tabs>
          <w:tab w:leader="none" w:pos="118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to borrow, to lend and to raise funds, including the issue of bonds, debt instruments and other securities, as well as to enter into agreements in connection therewith;</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to acquire, manage, exploit and dispose of immovable property and other registered property;</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to trade in currencies and securities, as well as in items of property in general;</w:t>
      </w:r>
    </w:p>
    <w:p>
      <w:pPr>
        <w:spacing w:after="0" w:line="130" w:lineRule="exact"/>
        <w:rPr>
          <w:rFonts w:ascii="Arial" w:cs="Arial" w:eastAsia="Arial" w:hAnsi="Arial"/>
          <w:sz w:val="18"/>
          <w:szCs w:val="18"/>
          <w:color w:val="auto"/>
        </w:rPr>
      </w:pPr>
    </w:p>
    <w:p>
      <w:pPr>
        <w:ind w:left="1184" w:hanging="644"/>
        <w:spacing w:after="0" w:line="277" w:lineRule="auto"/>
        <w:tabs>
          <w:tab w:leader="none" w:pos="118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to develop, exploit and trade in patents, trademarks, licenses, know-how, copyrights, database rights and other intellectual property rights;</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to perform all activities of an industrial, financial or commercial nature,</w:t>
      </w:r>
    </w:p>
    <w:p>
      <w:pPr>
        <w:spacing w:after="0" w:line="117" w:lineRule="exact"/>
        <w:rPr>
          <w:sz w:val="20"/>
          <w:szCs w:val="20"/>
          <w:color w:val="auto"/>
        </w:rPr>
      </w:pPr>
    </w:p>
    <w:p>
      <w:pPr>
        <w:ind w:left="5424" w:right="1440" w:hanging="4866"/>
        <w:spacing w:after="0" w:line="449" w:lineRule="auto"/>
        <w:rPr>
          <w:sz w:val="20"/>
          <w:szCs w:val="20"/>
          <w:color w:val="auto"/>
        </w:rPr>
      </w:pPr>
      <w:r>
        <w:rPr>
          <w:rFonts w:ascii="Arial" w:cs="Arial" w:eastAsia="Arial" w:hAnsi="Arial"/>
          <w:sz w:val="18"/>
          <w:szCs w:val="18"/>
          <w:color w:val="auto"/>
        </w:rPr>
        <w:t>as well as all activities which are incidental to or which may be conducive to any of the foregoing in the broadest sense. 35</w:t>
      </w:r>
    </w:p>
    <w:p>
      <w:pPr>
        <w:sectPr>
          <w:pgSz w:w="11900" w:h="16838" w:orient="portrait"/>
          <w:cols w:equalWidth="0" w:num="1">
            <w:col w:w="10604"/>
          </w:cols>
          <w:pgMar w:left="436" w:top="274" w:right="859" w:bottom="1440" w:gutter="0" w:footer="0" w:header="0"/>
        </w:sectPr>
      </w:pPr>
    </w:p>
    <w:bookmarkStart w:id="388" w:name="page389"/>
    <w:bookmarkEnd w:id="388"/>
    <w:p>
      <w:pPr>
        <w:ind w:left="544" w:hanging="544"/>
        <w:spacing w:after="0"/>
        <w:tabs>
          <w:tab w:leader="none" w:pos="544"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 capital and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authorised share capital of the Company amounts to three million euros (EUR 3,000,000) and is divided into:</w:t>
      </w:r>
    </w:p>
    <w:p>
      <w:pPr>
        <w:spacing w:after="0" w:line="131" w:lineRule="exact"/>
        <w:rPr>
          <w:sz w:val="20"/>
          <w:szCs w:val="20"/>
          <w:color w:val="auto"/>
        </w:rPr>
      </w:pPr>
    </w:p>
    <w:p>
      <w:pPr>
        <w:ind w:left="964" w:hanging="532"/>
        <w:spacing w:after="0"/>
        <w:tabs>
          <w:tab w:leader="none" w:pos="96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two hundred and eighty-five million (285,000,000) Ordinary Shares with a nominal value of one eurocent (EUR 0.01) each; and</w:t>
      </w:r>
    </w:p>
    <w:p>
      <w:pPr>
        <w:spacing w:after="0" w:line="142" w:lineRule="exact"/>
        <w:rPr>
          <w:rFonts w:ascii="Arial" w:cs="Arial" w:eastAsia="Arial" w:hAnsi="Arial"/>
          <w:sz w:val="17"/>
          <w:szCs w:val="17"/>
          <w:color w:val="auto"/>
        </w:rPr>
      </w:pPr>
    </w:p>
    <w:p>
      <w:pPr>
        <w:ind w:left="964" w:right="60" w:hanging="532"/>
        <w:spacing w:after="0" w:line="308" w:lineRule="auto"/>
        <w:tabs>
          <w:tab w:leader="none" w:pos="96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fifteen million (15,000,000) Financing Preferred Shares with a nominal value of one eurocent (EUR 0.01) each, which are convertible into Ordinary Shares on the terms and subject to the conditions determined in accordance with Article 5.2, divided into:</w:t>
      </w:r>
    </w:p>
    <w:p>
      <w:pPr>
        <w:spacing w:after="0" w:line="51" w:lineRule="exact"/>
        <w:rPr>
          <w:rFonts w:ascii="Arial" w:cs="Arial" w:eastAsia="Arial" w:hAnsi="Arial"/>
          <w:sz w:val="17"/>
          <w:szCs w:val="17"/>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 series A consisting of three million (3,000,000) Financing Preferred Shares;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 series B consisting of three million (3,000,000) Financing Preferred Shares;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 series C consisting of three million (3,000,000) Financing Preferred Shares;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 series D consisting of three million (3,000,000) Financing Preferred Shares;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 series E consisting of three million (3,000,000) Financing Preferred Shares.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Each series of Financing Preferred Shares shall constitute a separate class.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Shares shall be in registered form and shall be numbered in such a manner that they can be distinguished from each other at any time.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Shares shall be uncertificated and shall be registered in the register of shareholders, provided that the Board may determine that certain or all</w:t>
      </w:r>
    </w:p>
    <w:p>
      <w:pPr>
        <w:spacing w:after="0" w:line="23" w:lineRule="exact"/>
        <w:rPr>
          <w:sz w:val="20"/>
          <w:szCs w:val="20"/>
          <w:color w:val="auto"/>
        </w:rPr>
      </w:pPr>
    </w:p>
    <w:p>
      <w:pPr>
        <w:ind w:left="544" w:right="20"/>
        <w:spacing w:after="0" w:line="253" w:lineRule="auto"/>
        <w:rPr>
          <w:sz w:val="20"/>
          <w:szCs w:val="20"/>
          <w:color w:val="auto"/>
        </w:rPr>
      </w:pPr>
      <w:r>
        <w:rPr>
          <w:rFonts w:ascii="Arial" w:cs="Arial" w:eastAsia="Arial" w:hAnsi="Arial"/>
          <w:sz w:val="18"/>
          <w:szCs w:val="18"/>
          <w:color w:val="auto"/>
        </w:rPr>
        <w:t>of the Shares shall be represented by share certificates. Share certificates shall be issued in such form, and shall be signed by an Executive Director or such other persons, as the Board may determine, and shall be numbered in such manner as the Board may determine to be necessary to distinguish the share certificates from each other. The Board may, in its sole discretion, establish further rules with respect to the issue of share certificates.</w:t>
      </w:r>
    </w:p>
    <w:p>
      <w:pPr>
        <w:spacing w:after="0" w:line="337" w:lineRule="exact"/>
        <w:rPr>
          <w:sz w:val="20"/>
          <w:szCs w:val="20"/>
          <w:color w:val="auto"/>
        </w:rPr>
      </w:pPr>
    </w:p>
    <w:p>
      <w:pPr>
        <w:ind w:left="544" w:hanging="544"/>
        <w:spacing w:after="0"/>
        <w:tabs>
          <w:tab w:leader="none" w:pos="544"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Financing Preferred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Financing Preferred Shares may, at the request of the holder, be converted into Ordinary Shares pursuant to a resolution of the Board.</w:t>
      </w:r>
    </w:p>
    <w:p>
      <w:pPr>
        <w:spacing w:after="0" w:line="131" w:lineRule="exact"/>
        <w:rPr>
          <w:sz w:val="20"/>
          <w:szCs w:val="20"/>
          <w:color w:val="auto"/>
        </w:rPr>
      </w:pPr>
    </w:p>
    <w:p>
      <w:pPr>
        <w:ind w:left="544" w:right="200" w:hanging="539"/>
        <w:spacing w:after="0" w:line="255" w:lineRule="auto"/>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conditions for conversion and the further terms and conditions related to the Financing Preferred Shares shall be determined by the Board, subject to the prior approval of the General Meeting and the meeting of holders of the series of Financing Preferred Shares concerned, if Financing Preferred Shares of such series have been issued and are held by persons other than the Company and provided that in no event may any Financing Preferred Share be converted into more than ten Ordinary Shares. The preceding sentence shall apply by analogy to any amendments of or supplementations to the terms and conditions related to the Financing Preferred Shares determined in accordance with that sentence.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0" w:right="459" w:bottom="1440" w:gutter="0" w:footer="0" w:header="0"/>
        </w:sectPr>
      </w:pPr>
    </w:p>
    <w:bookmarkStart w:id="389" w:name="page390"/>
    <w:bookmarkEnd w:id="389"/>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5.3</w:t>
      </w:r>
      <w:r>
        <w:rPr>
          <w:sz w:val="20"/>
          <w:szCs w:val="20"/>
          <w:color w:val="auto"/>
        </w:rPr>
        <w:tab/>
      </w:r>
      <w:r>
        <w:rPr>
          <w:rFonts w:ascii="Arial" w:cs="Arial" w:eastAsia="Arial" w:hAnsi="Arial"/>
          <w:sz w:val="18"/>
          <w:szCs w:val="18"/>
          <w:color w:val="auto"/>
        </w:rPr>
        <w:t>The Board shall implement the conversion of any Financing Preferred Shares in accordance with the applicable conditions for such conversion, as determined in accordance with Article 5.2.</w:t>
      </w:r>
    </w:p>
    <w:p>
      <w:pPr>
        <w:spacing w:after="0" w:line="76" w:lineRule="exact"/>
        <w:rPr>
          <w:sz w:val="20"/>
          <w:szCs w:val="20"/>
          <w:color w:val="auto"/>
        </w:rPr>
      </w:pPr>
    </w:p>
    <w:p>
      <w:pPr>
        <w:ind w:left="544" w:hanging="539"/>
        <w:spacing w:after="0" w:line="301" w:lineRule="auto"/>
        <w:tabs>
          <w:tab w:leader="none" w:pos="52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Any obligation to pay up Ordinary Shares arising from a conversion of Financing Preferred Shares into Ordinary Shares shall be charged to the share premium reserve maintained by the Company for the benefit of the holders of the series of Financing Preferred Shares that are converted; if this reserve is insufficient, the difference shall be charged to the Distributable Reserves or the Convertible Reserves determined by the Board; if these reserves are insufficient, the difference shall be satisfied by the holder of the Ordinary Shares by payment in cash.</w:t>
      </w:r>
    </w:p>
    <w:p>
      <w:pPr>
        <w:spacing w:after="0" w:line="63" w:lineRule="exact"/>
        <w:rPr>
          <w:sz w:val="20"/>
          <w:szCs w:val="20"/>
          <w:color w:val="auto"/>
        </w:rPr>
      </w:pPr>
    </w:p>
    <w:p>
      <w:pPr>
        <w:ind w:left="544" w:right="320" w:hanging="539"/>
        <w:spacing w:after="0" w:line="311" w:lineRule="auto"/>
        <w:tabs>
          <w:tab w:leader="none" w:pos="52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If Financing Preferred Shares of a particular series are converted into Ordinary Shares, the pro-rata entitlement to the balance of the share premium reserve maintained by the Company for the benefit of the holders of such Financing Preferred Shares, minus the amount charged to such share premium reserve by way of application of Article 5.4 shall be added to the Distributable Reserves determined by the Board.</w:t>
      </w:r>
    </w:p>
    <w:p>
      <w:pPr>
        <w:spacing w:after="0" w:line="293" w:lineRule="exact"/>
        <w:rPr>
          <w:sz w:val="20"/>
          <w:szCs w:val="20"/>
          <w:color w:val="auto"/>
        </w:rPr>
      </w:pPr>
    </w:p>
    <w:p>
      <w:pPr>
        <w:ind w:left="544" w:hanging="544"/>
        <w:spacing w:after="0"/>
        <w:tabs>
          <w:tab w:leader="none" w:pos="544"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w:t>
      </w:r>
    </w:p>
    <w:p>
      <w:pPr>
        <w:spacing w:after="0" w:line="135"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Shares may be issued pursuant to a resolution of the General Meeting or of the Board, if the Board has been authorised by a resolution of the General Meeting to issue Shares for a specified period not exceeding five years. The resolution of the General Meeting granting the authorisation shall specify the number of Shares that may be issued by the Board. The authorisation may from time to time be extended, in each case, for a period not exceeding five years. Unless otherwise specified in the resolution of the General Meeting granting the authorisation, the authorisation may not be revoked. For as long as and to the extent that the Board is authorised to issue Shares, the General Meeting shall not have the authority to issue Shares.</w:t>
      </w:r>
    </w:p>
    <w:p>
      <w:pPr>
        <w:spacing w:after="0" w:line="9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If the General Meeting is authorised to issue Shares, it may only do so on the proposal of the Board.</w:t>
      </w:r>
    </w:p>
    <w:p>
      <w:pPr>
        <w:spacing w:after="0" w:line="131" w:lineRule="exact"/>
        <w:rPr>
          <w:sz w:val="20"/>
          <w:szCs w:val="20"/>
          <w:color w:val="auto"/>
        </w:rPr>
      </w:pPr>
    </w:p>
    <w:p>
      <w:pPr>
        <w:ind w:left="544" w:right="80" w:hanging="539"/>
        <w:spacing w:after="0" w:line="308" w:lineRule="auto"/>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The validity of a resolution of the General Meeting to issue Shares or to authorise the Board to issue Shares shall require a prior or simultaneous approving resolution of each group of holders of Shares of a same class whose rights are prejudiced by such issue.</w:t>
      </w:r>
    </w:p>
    <w:p>
      <w:pPr>
        <w:spacing w:after="0" w:line="52"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Articles 6.1 up to and including 6.3 shall apply by analogy to a grant of rights to subscribe for Shares, but shall not apply to the issue of Shares to a person who exercises a previously acquired right to subscribe for Shares.</w:t>
      </w:r>
    </w:p>
    <w:p>
      <w:pPr>
        <w:spacing w:after="0" w:line="315" w:lineRule="exact"/>
        <w:rPr>
          <w:sz w:val="20"/>
          <w:szCs w:val="20"/>
          <w:color w:val="auto"/>
        </w:rPr>
      </w:pPr>
    </w:p>
    <w:p>
      <w:pPr>
        <w:ind w:left="544" w:hanging="544"/>
        <w:spacing w:after="0"/>
        <w:tabs>
          <w:tab w:leader="none" w:pos="544"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Pre-emption rights upon issue of Shares</w:t>
      </w:r>
    </w:p>
    <w:p>
      <w:pPr>
        <w:spacing w:after="0" w:line="135" w:lineRule="exact"/>
        <w:rPr>
          <w:sz w:val="20"/>
          <w:szCs w:val="20"/>
          <w:color w:val="auto"/>
        </w:rPr>
      </w:pPr>
    </w:p>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Upon the issue of Ordinary Shares, each holder of Ordinary Shares shall have a pre-emption right in proportion to the aggregate amount of the Ordinary Shares held by such holder, subject to Article 7.2.</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A holder of Ordinary Shares shall have no pre-emption right in respect of:</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390" w:name="page391"/>
    <w:bookmarkEnd w:id="390"/>
    <w:p>
      <w:pPr>
        <w:ind w:left="1184" w:hanging="644"/>
        <w:spacing w:after="0"/>
        <w:tabs>
          <w:tab w:leader="none" w:pos="1184"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Ordinary Shares which are issued against payment in a form of consideration other than cash;</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Ordinary Shares which are issued to employees of the Company or of a Group Company;</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Financing Preferred Shares to be issued.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Holders of Financing Preferred Shares shall have no pre-emption right in respect of Shares to be issued.</w:t>
      </w:r>
    </w:p>
    <w:p>
      <w:pPr>
        <w:spacing w:after="0" w:line="131" w:lineRule="exact"/>
        <w:rPr>
          <w:sz w:val="20"/>
          <w:szCs w:val="20"/>
          <w:color w:val="auto"/>
        </w:rPr>
      </w:pPr>
    </w:p>
    <w:p>
      <w:pPr>
        <w:ind w:left="544" w:right="60" w:hanging="539"/>
        <w:spacing w:after="0" w:line="275" w:lineRule="auto"/>
        <w:tabs>
          <w:tab w:leader="none" w:pos="52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Pre-emption rights may be limited or excluded by a resolution of the General Meeting or of the Board, if the Board has been authorised by a resolution of the General Meeting to limit or exclude pre-emption rights for a specified period not exceeding five years. The authorisation may from time to time be extended, in each case for a period not exceeding five years. Unless otherwise specified in the resolution of the General Meeting granting the authorisation, the authorisation may not be revoked. For as long as and to the extent that the Board is authorised to limit or exclude pre-emption rights, the General Meeting shall not have the authority to limit or exclude pre-emption rights.</w:t>
      </w:r>
    </w:p>
    <w:p>
      <w:pPr>
        <w:spacing w:after="0" w:line="82" w:lineRule="exact"/>
        <w:rPr>
          <w:sz w:val="20"/>
          <w:szCs w:val="20"/>
          <w:color w:val="auto"/>
        </w:rPr>
      </w:pPr>
    </w:p>
    <w:p>
      <w:pPr>
        <w:ind w:left="544" w:right="120" w:hanging="539"/>
        <w:spacing w:after="0" w:line="308" w:lineRule="auto"/>
        <w:tabs>
          <w:tab w:leader="none" w:pos="52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A resolution of the General Meeting to limit or exclude pre-emption rights or to authorise the Board to limit or exclude pre-emption rights shall require a majority of at least two thirds of the votes cast, if less than half the issued share capital is represented at the meeting.</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If the General Meeting is authorised to resolve to limit or exclude pre-emption rights, it may only do so on the proposal of the Board.</w:t>
      </w:r>
    </w:p>
    <w:p>
      <w:pPr>
        <w:spacing w:after="0" w:line="131"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Company shall announce an issue of Shares where pre-emption rights apply in accordance with applicable law. Such announcement shall include the period within which such pre-emption rights may be exercised.</w:t>
      </w:r>
    </w:p>
    <w:p>
      <w:pPr>
        <w:spacing w:after="0" w:line="76"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Articles 7.1 up to and including 7.7 shall apply by analogy to a grant of rights to subscribe for Shares, but shall not apply to an issue of Shares to a person who exercises a previously acquired right to subscribe for Shares.</w:t>
      </w:r>
    </w:p>
    <w:p>
      <w:pPr>
        <w:spacing w:after="0" w:line="315" w:lineRule="exact"/>
        <w:rPr>
          <w:sz w:val="20"/>
          <w:szCs w:val="20"/>
          <w:color w:val="auto"/>
        </w:rPr>
      </w:pPr>
    </w:p>
    <w:p>
      <w:pPr>
        <w:ind w:left="544" w:hanging="544"/>
        <w:spacing w:after="0"/>
        <w:tabs>
          <w:tab w:leader="none" w:pos="544"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Shares</w:t>
      </w:r>
    </w:p>
    <w:p>
      <w:pPr>
        <w:spacing w:after="0" w:line="135" w:lineRule="exact"/>
        <w:rPr>
          <w:sz w:val="20"/>
          <w:szCs w:val="20"/>
          <w:color w:val="auto"/>
        </w:rPr>
      </w:pPr>
    </w:p>
    <w:p>
      <w:pPr>
        <w:jc w:val="center"/>
        <w:ind w:right="-3"/>
        <w:spacing w:after="0"/>
        <w:tabs>
          <w:tab w:leader="none" w:pos="3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Without prejudice to section 2:80 subsection 2 of the Dutch Civil Code, upon any subscription for Shares, the full nominal value must be paid up</w:t>
      </w:r>
    </w:p>
    <w:p>
      <w:pPr>
        <w:spacing w:after="0" w:line="23" w:lineRule="exact"/>
        <w:rPr>
          <w:sz w:val="20"/>
          <w:szCs w:val="20"/>
          <w:color w:val="auto"/>
        </w:rPr>
      </w:pPr>
    </w:p>
    <w:p>
      <w:pPr>
        <w:ind w:left="544" w:right="560"/>
        <w:spacing w:after="0" w:line="260" w:lineRule="auto"/>
        <w:rPr>
          <w:sz w:val="20"/>
          <w:szCs w:val="20"/>
          <w:color w:val="auto"/>
        </w:rPr>
      </w:pPr>
      <w:r>
        <w:rPr>
          <w:rFonts w:ascii="Arial" w:cs="Arial" w:eastAsia="Arial" w:hAnsi="Arial"/>
          <w:sz w:val="18"/>
          <w:szCs w:val="18"/>
          <w:color w:val="auto"/>
        </w:rPr>
        <w:t>on such Shares and, in the event that the subscription price of such Shares is greater than the nominal value of such Shares, the difference between the nominal value and such higher amount.</w:t>
      </w:r>
    </w:p>
    <w:p>
      <w:pPr>
        <w:spacing w:after="0" w:line="91"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Payment must be made in cash, unless an alternative contribution has been agreed. Payment in a form of consideration other than cash shall be made with due observance of sections 2:80b and 2:94b of the Dutch Civil Code.</w:t>
      </w:r>
    </w:p>
    <w:p>
      <w:pPr>
        <w:spacing w:after="0" w:line="76" w:lineRule="exact"/>
        <w:rPr>
          <w:sz w:val="20"/>
          <w:szCs w:val="20"/>
          <w:color w:val="auto"/>
        </w:rPr>
      </w:pPr>
    </w:p>
    <w:p>
      <w:pPr>
        <w:ind w:left="544" w:right="620" w:hanging="539"/>
        <w:spacing w:after="0" w:line="277"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Payment in a currency other than the euro may only be made with the consent of the Company and with due observance of section 2:80a subsection 3 of the Dutch Civil Code.</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4"/>
          </w:cols>
          <w:pgMar w:left="436" w:top="274" w:right="479" w:bottom="1440" w:gutter="0" w:footer="0" w:header="0"/>
        </w:sectPr>
      </w:pPr>
    </w:p>
    <w:bookmarkStart w:id="391" w:name="page392"/>
    <w:bookmarkEnd w:id="391"/>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8.4</w:t>
      </w:r>
      <w:r>
        <w:rPr>
          <w:sz w:val="20"/>
          <w:szCs w:val="20"/>
          <w:color w:val="auto"/>
        </w:rPr>
        <w:tab/>
      </w:r>
      <w:r>
        <w:rPr>
          <w:rFonts w:ascii="Arial" w:cs="Arial" w:eastAsia="Arial" w:hAnsi="Arial"/>
          <w:sz w:val="18"/>
          <w:szCs w:val="18"/>
          <w:color w:val="auto"/>
        </w:rPr>
        <w:t>Ordinary Shares which are issued to current or former Executive Officers, Non-Executive Directors, employees or other service providers of the Company or any of its Group Companies under any equity incentive plan or other program may be paid up at the expense of the Distributable Reserves or the Convertible Reserves determined by the Board.</w:t>
      </w:r>
    </w:p>
    <w:p>
      <w:pPr>
        <w:spacing w:after="0" w:line="89" w:lineRule="exact"/>
        <w:rPr>
          <w:sz w:val="20"/>
          <w:szCs w:val="20"/>
          <w:color w:val="auto"/>
        </w:rPr>
      </w:pPr>
    </w:p>
    <w:p>
      <w:pPr>
        <w:ind w:left="544" w:right="620" w:hanging="539"/>
        <w:spacing w:after="0" w:line="277" w:lineRule="auto"/>
        <w:tabs>
          <w:tab w:leader="none" w:pos="524"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The Board shall be authorised to perform the legal acts referred to in section 2:94 subsection 1 of the Dutch Civil Code without the prior approval of the General Meeting.</w:t>
      </w:r>
    </w:p>
    <w:p>
      <w:pPr>
        <w:spacing w:after="0" w:line="315" w:lineRule="exact"/>
        <w:rPr>
          <w:sz w:val="20"/>
          <w:szCs w:val="20"/>
          <w:color w:val="auto"/>
        </w:rPr>
      </w:pPr>
    </w:p>
    <w:p>
      <w:pPr>
        <w:ind w:left="544" w:hanging="544"/>
        <w:spacing w:after="0"/>
        <w:tabs>
          <w:tab w:leader="none" w:pos="544"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Shares by the Company</w:t>
      </w:r>
    </w:p>
    <w:p>
      <w:pPr>
        <w:spacing w:after="0" w:line="135"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Without prejudice to Article 9.2, the Company may only acquire fully paid up Shares for consideration if and to the extent the General Meeting has authorised the Board to acquire Shares. Such authorisation shall be valid for a period not exceeding eighteen months. The resolution of the General Meeting granting the authorisation shall specify the number of Shares that may be acquired, the manner in which such Shares may be acquired and the limits within which the price must be set. The authorisation may from time to time be extended, in each case for a period not exceeding eighteen months. Unless otherwise specified in the resolution of the General Meeting granting the authorisation, the authorisation may not be revoked.</w:t>
      </w:r>
    </w:p>
    <w:p>
      <w:pPr>
        <w:spacing w:after="0" w:line="98" w:lineRule="exact"/>
        <w:rPr>
          <w:sz w:val="20"/>
          <w:szCs w:val="20"/>
          <w:color w:val="auto"/>
        </w:rPr>
      </w:pPr>
    </w:p>
    <w:p>
      <w:pPr>
        <w:ind w:left="544" w:right="220" w:hanging="539"/>
        <w:spacing w:after="0" w:line="263"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authorisation of the General Meeting shall not be required if the Company acquires Shares for the purpose of transferring such Shares to employees of the Company or of a Group Company by virtue of any equity incentive plan or other program or arrangement applicable to such employees, provided that such Shares are listed on any stock exchange.</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Any acquisition of Shares by the Company shall be effected with due observance of section 2:98 of the Dutch Civil Code.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If depositary receipts for Shares have been issued, such depositary receipts for Shares shall be put on par with Shares for the purpose of Articles</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9.1 up to and including 9.3.</w:t>
      </w:r>
    </w:p>
    <w:p>
      <w:pPr>
        <w:spacing w:after="0" w:line="355" w:lineRule="exact"/>
        <w:rPr>
          <w:sz w:val="20"/>
          <w:szCs w:val="20"/>
          <w:color w:val="auto"/>
        </w:rPr>
      </w:pPr>
    </w:p>
    <w:p>
      <w:pPr>
        <w:ind w:left="544" w:hanging="544"/>
        <w:spacing w:after="0"/>
        <w:tabs>
          <w:tab w:leader="none" w:pos="544"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assistance</w:t>
      </w:r>
    </w:p>
    <w:p>
      <w:pPr>
        <w:spacing w:after="0" w:line="135"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10.1</w:t>
        <w:tab/>
        <w:t>In respect of the subscription for or acquisition of Shares or depositary receipts thereof by other persons, the Company may not provide security, give a guarantee as to the price of the Shares, give guarantees in any other manner and may not bind itself either jointly or severally in addition to or for other persons. This prohibition shall also apply to its Subsidiaries.</w:t>
      </w:r>
    </w:p>
    <w:p>
      <w:pPr>
        <w:spacing w:after="0" w:line="89" w:lineRule="exact"/>
        <w:rPr>
          <w:sz w:val="20"/>
          <w:szCs w:val="20"/>
          <w:color w:val="auto"/>
        </w:rPr>
      </w:pPr>
    </w:p>
    <w:p>
      <w:pPr>
        <w:ind w:left="544" w:right="120" w:hanging="539"/>
        <w:spacing w:after="0" w:line="308" w:lineRule="auto"/>
        <w:tabs>
          <w:tab w:leader="none" w:pos="52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In respect of the subscription for or acquisition of Shares or depositary receipts thereof by other persons, the Company and its Subsidiaries may only grant loans with due observance of section 2:98c subsections 2 up to and including 7 of the Dutch Civil Code.</w:t>
      </w:r>
    </w:p>
    <w:p>
      <w:pPr>
        <w:spacing w:after="0" w:line="52"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10.3</w:t>
        <w:tab/>
        <w:t>Articles 10.1 and 10.2 shall not apply if Shares are subscribed for or acquired by or for the account of employees of the Company or of a Group Company.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4"/>
          </w:cols>
          <w:pgMar w:left="436" w:top="274" w:right="479" w:bottom="1440" w:gutter="0" w:footer="0" w:header="0"/>
        </w:sectPr>
      </w:pPr>
    </w:p>
    <w:bookmarkStart w:id="392" w:name="page393"/>
    <w:bookmarkEnd w:id="392"/>
    <w:p>
      <w:pPr>
        <w:ind w:left="544" w:hanging="544"/>
        <w:spacing w:after="0"/>
        <w:tabs>
          <w:tab w:leader="none" w:pos="544"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Reduction of share capital</w:t>
      </w:r>
    </w:p>
    <w:p>
      <w:pPr>
        <w:spacing w:after="0" w:line="135" w:lineRule="exact"/>
        <w:rPr>
          <w:sz w:val="20"/>
          <w:szCs w:val="20"/>
          <w:color w:val="auto"/>
        </w:rPr>
      </w:pPr>
    </w:p>
    <w:p>
      <w:pPr>
        <w:ind w:left="544" w:right="80" w:hanging="539"/>
        <w:spacing w:after="0" w:line="259" w:lineRule="auto"/>
        <w:tabs>
          <w:tab w:leader="none" w:pos="524" w:val="left"/>
        </w:tabs>
        <w:rPr>
          <w:sz w:val="20"/>
          <w:szCs w:val="20"/>
          <w:color w:val="auto"/>
        </w:rPr>
      </w:pPr>
      <w:r>
        <w:rPr>
          <w:rFonts w:ascii="Arial" w:cs="Arial" w:eastAsia="Arial" w:hAnsi="Arial"/>
          <w:sz w:val="18"/>
          <w:szCs w:val="18"/>
          <w:color w:val="auto"/>
        </w:rPr>
        <w:t>11.1</w:t>
        <w:tab/>
        <w:t>The General Meeting may resolve to reduce the issued share capital by cancelling Shares or by reducing the nominal value of Shares by an amendment of the Articles of Association. The resolution shall specify the Shares to which the resolution applies and shall describe how such a resolution shall be implemented. The amount of the issued share capital may not fall below the minimum share capital as required by law in effect at the time of the resolution.</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General Meeting may only resolve to reduce the issued share capital on the proposal of the Board.</w:t>
      </w:r>
    </w:p>
    <w:p>
      <w:pPr>
        <w:spacing w:after="0" w:line="131" w:lineRule="exact"/>
        <w:rPr>
          <w:sz w:val="20"/>
          <w:szCs w:val="20"/>
          <w:color w:val="auto"/>
        </w:rPr>
      </w:pPr>
    </w:p>
    <w:p>
      <w:pPr>
        <w:ind w:left="544" w:right="580" w:hanging="539"/>
        <w:spacing w:after="0" w:line="277" w:lineRule="auto"/>
        <w:tabs>
          <w:tab w:leader="none" w:pos="524" w:val="left"/>
        </w:tabs>
        <w:rPr>
          <w:sz w:val="20"/>
          <w:szCs w:val="20"/>
          <w:color w:val="auto"/>
        </w:rPr>
      </w:pPr>
      <w:r>
        <w:rPr>
          <w:rFonts w:ascii="Arial" w:cs="Arial" w:eastAsia="Arial" w:hAnsi="Arial"/>
          <w:sz w:val="18"/>
          <w:szCs w:val="18"/>
          <w:color w:val="auto"/>
        </w:rPr>
        <w:t>11.3</w:t>
        <w:tab/>
        <w:t>A resolution to cancel Shares may only apply to Shares which are held by the Company itself or to Shares for which the Company holds depositary receipts or to all Financing Preferred Shares of a particular series.</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Cancellation of Financing Preferred Shares which are held by another person than the Company shall be effected against:</w:t>
      </w:r>
    </w:p>
    <w:p>
      <w:pPr>
        <w:spacing w:after="0" w:line="131" w:lineRule="exact"/>
        <w:rPr>
          <w:sz w:val="20"/>
          <w:szCs w:val="20"/>
          <w:color w:val="auto"/>
        </w:rPr>
      </w:pPr>
    </w:p>
    <w:p>
      <w:pPr>
        <w:ind w:left="1184" w:hanging="644"/>
        <w:spacing w:after="0"/>
        <w:tabs>
          <w:tab w:leader="none" w:pos="118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repayment of the amount paid up on such Financing Preferred Shares;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simultaneous distribution of an amount equal to:</w:t>
      </w:r>
    </w:p>
    <w:p>
      <w:pPr>
        <w:spacing w:after="0" w:line="130" w:lineRule="exact"/>
        <w:rPr>
          <w:rFonts w:ascii="Arial" w:cs="Arial" w:eastAsia="Arial" w:hAnsi="Arial"/>
          <w:sz w:val="18"/>
          <w:szCs w:val="18"/>
          <w:color w:val="auto"/>
        </w:rPr>
      </w:pPr>
    </w:p>
    <w:p>
      <w:pPr>
        <w:ind w:left="1744" w:right="200" w:hanging="543"/>
        <w:spacing w:after="0" w:line="277" w:lineRule="auto"/>
        <w:tabs>
          <w:tab w:leader="none" w:pos="1744"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balance of the share premium reserve maintained by the Company for the benefit of the holders of the series of Financing Preferred Shares that is cancelled;</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any deficit, referred to in Article 38.2; and</w:t>
      </w:r>
    </w:p>
    <w:p>
      <w:pPr>
        <w:spacing w:after="0" w:line="130" w:lineRule="exact"/>
        <w:rPr>
          <w:rFonts w:ascii="Arial" w:cs="Arial" w:eastAsia="Arial" w:hAnsi="Arial"/>
          <w:sz w:val="18"/>
          <w:szCs w:val="18"/>
          <w:color w:val="auto"/>
        </w:rPr>
      </w:pPr>
    </w:p>
    <w:p>
      <w:pPr>
        <w:ind w:left="1744" w:right="580" w:hanging="543"/>
        <w:spacing w:after="0" w:line="277" w:lineRule="auto"/>
        <w:tabs>
          <w:tab w:leader="none" w:pos="1744"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amount, referred to in Article 38.2 under (a), calculated up to the date on which such Financing Preferred Shares are cancelled,</w:t>
      </w:r>
    </w:p>
    <w:p>
      <w:pPr>
        <w:spacing w:after="0" w:line="62"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all with due observance of Article 39.5.</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11.5</w:t>
        <w:tab/>
        <w:t>Repayment in implementation of a resolution to reduce the nominal value of the Shares shall be made pro rata on all Shares or exclusively on all Shares of a same class.</w:t>
      </w:r>
    </w:p>
    <w:p>
      <w:pPr>
        <w:spacing w:after="0" w:line="76" w:lineRule="exact"/>
        <w:rPr>
          <w:sz w:val="20"/>
          <w:szCs w:val="20"/>
          <w:color w:val="auto"/>
        </w:rPr>
      </w:pPr>
    </w:p>
    <w:p>
      <w:pPr>
        <w:ind w:left="544" w:right="120" w:hanging="539"/>
        <w:spacing w:after="0" w:line="308" w:lineRule="auto"/>
        <w:tabs>
          <w:tab w:leader="none" w:pos="524"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The validity of a resolution of the General Meeting to reduce the issued share capital shall require a prior or simultaneous approving resolution of each group of holders of Shares of a same class whose rights are prejudiced by such share capital reduction.</w:t>
      </w:r>
    </w:p>
    <w:p>
      <w:pPr>
        <w:spacing w:after="0" w:line="52"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11.7</w:t>
        <w:tab/>
        <w:t>A resolution of the General Meeting to reduce the issued share capital shall require a majority of at least two thirds of the votes cast, if less than half the issued share capital is represented at the meeting.</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Reduction of the issued share capital shall be effected with due observance of sections 2:99 and 2:100 of the Dutch Civil Code.</w:t>
      </w:r>
    </w:p>
    <w:p>
      <w:pPr>
        <w:spacing w:after="0" w:line="370" w:lineRule="exact"/>
        <w:rPr>
          <w:sz w:val="20"/>
          <w:szCs w:val="20"/>
          <w:color w:val="auto"/>
        </w:rPr>
      </w:pPr>
    </w:p>
    <w:p>
      <w:pPr>
        <w:ind w:left="544" w:hanging="544"/>
        <w:spacing w:after="0"/>
        <w:tabs>
          <w:tab w:leader="none" w:pos="544"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Right of usufruct and right of pledge on Shares</w:t>
      </w:r>
    </w:p>
    <w:p>
      <w:pPr>
        <w:spacing w:after="0" w:line="135"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12.1</w:t>
        <w:tab/>
        <w:t>A right of usufruct may be created on Shares. The voting rights on the Shares encumbered with a right of usufruct shall accrue to the Shareholder. In derogation of the preceding sentence, the voting rights shall accrue to the Usufructuary if so provided at the time of the creation of the right of usufruct.</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4"/>
          </w:cols>
          <w:pgMar w:left="436" w:top="270" w:right="519" w:bottom="1440" w:gutter="0" w:footer="0" w:header="0"/>
        </w:sectPr>
      </w:pPr>
    </w:p>
    <w:bookmarkStart w:id="393" w:name="page394"/>
    <w:bookmarkEnd w:id="393"/>
    <w:p>
      <w:pPr>
        <w:jc w:val="right"/>
        <w:ind w:left="4"/>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12.2   A right of pledge may be created on Shares. The voting rights on the Shares encumbered with a right of pledge shall accrue to the Shareholder. In derogation of the preceding sentence, the voting rights shall accrue to the Pledgee if so provided at the time of the creation of the right of pledge.</w:t>
      </w:r>
    </w:p>
    <w:p>
      <w:pPr>
        <w:spacing w:after="0" w:line="29" w:lineRule="exact"/>
        <w:rPr>
          <w:sz w:val="20"/>
          <w:szCs w:val="20"/>
          <w:color w:val="auto"/>
        </w:rPr>
      </w:pPr>
    </w:p>
    <w:p>
      <w:pPr>
        <w:jc w:val="right"/>
        <w:ind w:left="4" w:right="140"/>
        <w:spacing w:after="0" w:line="342" w:lineRule="auto"/>
        <w:rPr>
          <w:sz w:val="20"/>
          <w:szCs w:val="20"/>
          <w:color w:val="auto"/>
        </w:rPr>
      </w:pPr>
      <w:r>
        <w:rPr>
          <w:rFonts w:ascii="Arial" w:cs="Arial" w:eastAsia="Arial" w:hAnsi="Arial"/>
          <w:sz w:val="16"/>
          <w:szCs w:val="16"/>
          <w:color w:val="auto"/>
        </w:rPr>
        <w:t>12.3   Any Shareholder who pursuant to a right of usufruct or a right of pledge is not entitled to voting rights and any Usufructuary or Pledgee who is entitled to voting rights shall have the rights conferred by law on holders of depositary receipts for shares issued with a company’s cooperation.</w:t>
      </w:r>
    </w:p>
    <w:p>
      <w:pPr>
        <w:spacing w:after="0" w:line="29"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12.4</w:t>
        <w:tab/>
        <w:t>Any Usufructuary or Pledgee who is not entitled to voting rights shall not have the rights conferred by law on holders of depositary receipts for shares issued with a company’s cooperation.</w:t>
      </w:r>
    </w:p>
    <w:p>
      <w:pPr>
        <w:spacing w:after="0" w:line="315" w:lineRule="exact"/>
        <w:rPr>
          <w:sz w:val="20"/>
          <w:szCs w:val="20"/>
          <w:color w:val="auto"/>
        </w:rPr>
      </w:pPr>
    </w:p>
    <w:p>
      <w:pPr>
        <w:ind w:left="544" w:hanging="544"/>
        <w:spacing w:after="0"/>
        <w:tabs>
          <w:tab w:leader="none" w:pos="544"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Depositary receipts for Shares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Company is not authorised to cooperate in the issue of depositary receipts for Shares.</w:t>
      </w:r>
    </w:p>
    <w:p>
      <w:pPr>
        <w:spacing w:after="0" w:line="369" w:lineRule="exact"/>
        <w:rPr>
          <w:rFonts w:ascii="Arial" w:cs="Arial" w:eastAsia="Arial" w:hAnsi="Arial"/>
          <w:sz w:val="18"/>
          <w:szCs w:val="18"/>
          <w:b w:val="1"/>
          <w:bCs w:val="1"/>
          <w:color w:val="auto"/>
        </w:rPr>
      </w:pPr>
    </w:p>
    <w:p>
      <w:pPr>
        <w:ind w:left="544" w:hanging="544"/>
        <w:spacing w:after="0"/>
        <w:tabs>
          <w:tab w:leader="none" w:pos="544"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register</w:t>
      </w:r>
    </w:p>
    <w:p>
      <w:pPr>
        <w:spacing w:after="0" w:line="135" w:lineRule="exact"/>
        <w:rPr>
          <w:sz w:val="20"/>
          <w:szCs w:val="20"/>
          <w:color w:val="auto"/>
        </w:rPr>
      </w:pPr>
    </w:p>
    <w:p>
      <w:pPr>
        <w:ind w:left="544" w:right="40" w:hanging="539"/>
        <w:spacing w:after="0" w:line="311" w:lineRule="auto"/>
        <w:tabs>
          <w:tab w:leader="none" w:pos="524"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A register shall be kept by or on behalf of the Company in which the names and addresses of all Shareholders, Usufructuaries and Pledgees shall be recorded, stating the information that must be recorded pursuant to section 2:85 of the Dutch Civil Code and such further information as the Board may consider appropriate. Part of the register may be kept outside the Netherlands to comply with applicable law or stock exchange rules.</w:t>
      </w:r>
    </w:p>
    <w:p>
      <w:pPr>
        <w:spacing w:after="0" w:line="5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The register shall be updated regularly.</w:t>
      </w:r>
    </w:p>
    <w:p>
      <w:pPr>
        <w:spacing w:after="0" w:line="370" w:lineRule="exact"/>
        <w:rPr>
          <w:sz w:val="20"/>
          <w:szCs w:val="20"/>
          <w:color w:val="auto"/>
        </w:rPr>
      </w:pPr>
    </w:p>
    <w:p>
      <w:pPr>
        <w:ind w:left="544" w:hanging="544"/>
        <w:spacing w:after="0"/>
        <w:tabs>
          <w:tab w:leader="none" w:pos="544"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Joint holding</w:t>
      </w:r>
    </w:p>
    <w:p>
      <w:pPr>
        <w:spacing w:after="0" w:line="135" w:lineRule="exact"/>
        <w:rPr>
          <w:sz w:val="20"/>
          <w:szCs w:val="20"/>
          <w:color w:val="auto"/>
        </w:rPr>
      </w:pPr>
    </w:p>
    <w:p>
      <w:pPr>
        <w:ind w:left="544" w:right="60" w:hanging="539"/>
        <w:spacing w:after="0" w:line="342" w:lineRule="auto"/>
        <w:tabs>
          <w:tab w:leader="none" w:pos="524"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If one or more Shares, or a right of usufruct or a right of pledge on one or more Shares, are jointly held by two or more persons, the joint holders may only be represented vis-à-vis the Company by a person who has been designated by such joint holders in writing for that purpose.</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The Board may, whether or not subject to certain conditions, grant an exemption from Article 15.1.</w:t>
      </w:r>
    </w:p>
    <w:p>
      <w:pPr>
        <w:spacing w:after="0" w:line="370" w:lineRule="exact"/>
        <w:rPr>
          <w:sz w:val="20"/>
          <w:szCs w:val="20"/>
          <w:color w:val="auto"/>
        </w:rPr>
      </w:pPr>
    </w:p>
    <w:p>
      <w:pPr>
        <w:ind w:left="544" w:hanging="544"/>
        <w:spacing w:after="0"/>
        <w:tabs>
          <w:tab w:leader="none" w:pos="544"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135" w:lineRule="exact"/>
        <w:rPr>
          <w:sz w:val="20"/>
          <w:szCs w:val="20"/>
          <w:color w:val="auto"/>
        </w:rPr>
      </w:pPr>
    </w:p>
    <w:p>
      <w:pPr>
        <w:ind w:left="544" w:right="140" w:hanging="539"/>
        <w:spacing w:after="0" w:line="286" w:lineRule="auto"/>
        <w:tabs>
          <w:tab w:leader="none" w:pos="524"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color w:val="auto"/>
        </w:rPr>
        <w:t>Except as otherwise provided in these Articles of Association or permitted by applicable law, the transfer of Shares or of a right of usufruct on Shares, or the creation or release of a right of usufruct or a right of pledge on Shares, shall require an instrument intended for such purpose and, unless the Company is a party to the legal act, the written acknowledgement by the Company of such transfer.</w:t>
      </w:r>
    </w:p>
    <w:p>
      <w:pPr>
        <w:spacing w:after="0" w:line="71" w:lineRule="exact"/>
        <w:rPr>
          <w:sz w:val="20"/>
          <w:szCs w:val="20"/>
          <w:color w:val="auto"/>
        </w:rPr>
      </w:pPr>
    </w:p>
    <w:p>
      <w:pPr>
        <w:jc w:val="both"/>
        <w:ind w:left="544" w:right="220" w:hanging="539"/>
        <w:spacing w:after="0" w:line="263" w:lineRule="auto"/>
        <w:tabs>
          <w:tab w:leader="none" w:pos="524" w:val="left"/>
        </w:tabs>
        <w:rPr>
          <w:sz w:val="20"/>
          <w:szCs w:val="20"/>
          <w:color w:val="auto"/>
        </w:rPr>
      </w:pPr>
      <w:r>
        <w:rPr>
          <w:rFonts w:ascii="Arial" w:cs="Arial" w:eastAsia="Arial" w:hAnsi="Arial"/>
          <w:sz w:val="18"/>
          <w:szCs w:val="18"/>
          <w:color w:val="auto"/>
        </w:rPr>
        <w:t>16.2</w:t>
        <w:tab/>
        <w:t>The acknowledgement shall be made in the instrument or by a dated statement of acknowledgement on the instrument or on a copy or extract thereof signed as a true copy by the transferor. Service of such instrument, true copy or extract upon the Company shall be deemed to have the same effect as an acknowledgement.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394" w:name="page395"/>
    <w:bookmarkEnd w:id="394"/>
    <w:p>
      <w:pPr>
        <w:jc w:val="both"/>
        <w:ind w:left="544" w:right="100" w:hanging="539"/>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16.3</w:t>
        <w:tab/>
        <w:t>A right of pledge may also be created without acknowledgement by or service upon the Company. In such case section 3:239 of the Dutch Civil Code shall apply by analogy, whereby acknowledgement by or service upon the Company shall substitute the notice referred to in section 3:239 subsection 3 of the Dutch Civil Code.</w:t>
      </w:r>
    </w:p>
    <w:p>
      <w:pPr>
        <w:spacing w:after="0" w:line="89" w:lineRule="exact"/>
        <w:rPr>
          <w:sz w:val="20"/>
          <w:szCs w:val="20"/>
          <w:color w:val="auto"/>
        </w:rPr>
      </w:pPr>
    </w:p>
    <w:p>
      <w:pPr>
        <w:ind w:left="544" w:hanging="539"/>
        <w:spacing w:after="0" w:line="296" w:lineRule="auto"/>
        <w:tabs>
          <w:tab w:leader="none" w:pos="524"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For so long as one or more Shares are listed on the NASDAQ Stock Market or any other regulated foreign stock exchange, the Company may, by a resolution of the Board for that purpose, determine that the laws of the State of New York, United States of America, shall apply to the property law aspects of the Shares included in the part of the register of shareholders kept by the relevant transfer agent. Articles 16.1 up to and including 16.3 shall not apply to such Shares. Such resolution, as well as a resolution to revoke such designation, shall be made public in accordance with applicable law and shall be deposited at the offices of the Company and the Dutch trade register for inspection.</w:t>
      </w:r>
    </w:p>
    <w:p>
      <w:pPr>
        <w:spacing w:after="0" w:line="306" w:lineRule="exact"/>
        <w:rPr>
          <w:sz w:val="20"/>
          <w:szCs w:val="20"/>
          <w:color w:val="auto"/>
        </w:rPr>
      </w:pPr>
    </w:p>
    <w:p>
      <w:pPr>
        <w:ind w:left="544" w:hanging="544"/>
        <w:spacing w:after="0"/>
        <w:tabs>
          <w:tab w:leader="none" w:pos="544"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Board</w:t>
      </w:r>
    </w:p>
    <w:p>
      <w:pPr>
        <w:spacing w:after="0" w:line="135" w:lineRule="exact"/>
        <w:rPr>
          <w:sz w:val="20"/>
          <w:szCs w:val="20"/>
          <w:color w:val="auto"/>
        </w:rPr>
      </w:pPr>
    </w:p>
    <w:p>
      <w:pPr>
        <w:ind w:left="544" w:right="200" w:hanging="539"/>
        <w:spacing w:after="0" w:line="308" w:lineRule="auto"/>
        <w:tabs>
          <w:tab w:leader="none" w:pos="524"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The Board shall consist of one or more Executive Directors and three or more Non-Executive Directors. The majority of the Directors must be Non-Executive Directors. If the number of Non-Executive Directors is less than three, the Board shall fully retain its powers.</w:t>
      </w:r>
    </w:p>
    <w:p>
      <w:pPr>
        <w:spacing w:after="0" w:line="52"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17.2</w:t>
        <w:tab/>
        <w:t>The number of Directors, including the number of Executive Directors and Non-Executive Directors, shall be determined by the Board with due observance of Article 17.1.</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The General Meeting shall determine whether a Director is appointed Executive Director or Non-Executive Director, subject to Article 17.2.</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The Directors shall be divided by the Board into Directors I, Directors II and Directors III, with each class as nearly equal in number as possible.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Directors must be natural persons.</w:t>
      </w:r>
    </w:p>
    <w:p>
      <w:pPr>
        <w:spacing w:after="0" w:line="370" w:lineRule="exact"/>
        <w:rPr>
          <w:sz w:val="20"/>
          <w:szCs w:val="20"/>
          <w:color w:val="auto"/>
        </w:rPr>
      </w:pPr>
    </w:p>
    <w:p>
      <w:pPr>
        <w:ind w:left="544" w:hanging="544"/>
        <w:spacing w:after="0"/>
        <w:tabs>
          <w:tab w:leader="none" w:pos="544"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retirement, suspension and dismissal of Directors</w:t>
      </w:r>
    </w:p>
    <w:p>
      <w:pPr>
        <w:spacing w:after="0" w:line="135" w:lineRule="exact"/>
        <w:rPr>
          <w:sz w:val="20"/>
          <w:szCs w:val="20"/>
          <w:color w:val="auto"/>
        </w:rPr>
      </w:pPr>
    </w:p>
    <w:p>
      <w:pPr>
        <w:ind w:left="544" w:right="480" w:hanging="539"/>
        <w:spacing w:after="0" w:line="308" w:lineRule="auto"/>
        <w:tabs>
          <w:tab w:leader="none" w:pos="524"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Directors shall be appointed by the General Meeting on the basis of one or more binding nominations in accordance with Article 18.2. The nomination shall specify the vacancy for which the nomination is made. Each nomination shall comprise one candidate.</w:t>
      </w:r>
    </w:p>
    <w:p>
      <w:pPr>
        <w:spacing w:after="0" w:line="52"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18.2</w:t>
        <w:tab/>
        <w:t>Binding nominations may be made by the Board or by one or more Shareholders who individually or jointly represent at least one-tenth of the issued share capital of the Company at the time of giving the notice referred to in Article 18.3.</w:t>
      </w:r>
    </w:p>
    <w:p>
      <w:pPr>
        <w:spacing w:after="0" w:line="76" w:lineRule="exact"/>
        <w:rPr>
          <w:sz w:val="20"/>
          <w:szCs w:val="20"/>
          <w:color w:val="auto"/>
        </w:rPr>
      </w:pPr>
    </w:p>
    <w:p>
      <w:pPr>
        <w:ind w:left="544" w:right="500" w:hanging="539"/>
        <w:spacing w:after="0" w:line="342" w:lineRule="auto"/>
        <w:tabs>
          <w:tab w:leader="none" w:pos="524"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A nomination made by Shareholders in accordance Article 18.2 shall only be binding if such Shareholders have given notice thereof to the Company in writing no later than on the sixtieth day prior to the date of the General Meeting at which the appointment is to be discussed.</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395" w:name="page396"/>
    <w:bookmarkEnd w:id="395"/>
    <w:p>
      <w:pPr>
        <w:ind w:left="480" w:right="120" w:hanging="539"/>
        <w:spacing w:after="0" w:line="255" w:lineRule="auto"/>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18.4</w:t>
        <w:tab/>
        <w:t>A nomination for the appointment of a Director shall state which class of Directors the candidate is proposed to be appointed to, his or her age and profession, the number of Shares held by him or her and the positions he or she holds or held insofar as relevant to the fulfilment of the duties as a Director. Furthermore, mention shall be made of the legal persons for which he or she serves as a director whereby, provided that if legal persons are included which belong to the same Group, it shall be sufficient to mention such Group. The nomination for appointment or reappointment shall include the reasons. In case of reappointment, account shall be taken of the manner in which the candidate has fulfilled his duties as a Director.</w:t>
      </w:r>
    </w:p>
    <w:p>
      <w:pPr>
        <w:spacing w:after="0" w:line="98" w:lineRule="exact"/>
        <w:rPr>
          <w:sz w:val="20"/>
          <w:szCs w:val="20"/>
          <w:color w:val="auto"/>
        </w:rPr>
      </w:pPr>
    </w:p>
    <w:p>
      <w:pPr>
        <w:ind w:left="480" w:hanging="539"/>
        <w:spacing w:after="0" w:line="277" w:lineRule="auto"/>
        <w:tabs>
          <w:tab w:leader="none" w:pos="460" w:val="left"/>
        </w:tabs>
        <w:rPr>
          <w:sz w:val="20"/>
          <w:szCs w:val="20"/>
          <w:color w:val="auto"/>
        </w:rPr>
      </w:pPr>
      <w:r>
        <w:rPr>
          <w:rFonts w:ascii="Arial" w:cs="Arial" w:eastAsia="Arial" w:hAnsi="Arial"/>
          <w:sz w:val="18"/>
          <w:szCs w:val="18"/>
          <w:color w:val="auto"/>
        </w:rPr>
        <w:t>18.5</w:t>
        <w:tab/>
        <w:t>The General Meeting may at all times overrule the binding nature of each nomination by a resolution adopted by a majority of at least two thirds of the votes cast, representing more than half of the issued share capital.</w:t>
      </w:r>
    </w:p>
    <w:p>
      <w:pPr>
        <w:spacing w:after="0" w:line="76" w:lineRule="exact"/>
        <w:rPr>
          <w:sz w:val="20"/>
          <w:szCs w:val="20"/>
          <w:color w:val="auto"/>
        </w:rPr>
      </w:pPr>
    </w:p>
    <w:p>
      <w:pPr>
        <w:ind w:left="480" w:right="180" w:hanging="539"/>
        <w:spacing w:after="0" w:line="277" w:lineRule="auto"/>
        <w:tabs>
          <w:tab w:leader="none" w:pos="460" w:val="left"/>
        </w:tabs>
        <w:rPr>
          <w:sz w:val="20"/>
          <w:szCs w:val="20"/>
          <w:color w:val="auto"/>
        </w:rPr>
      </w:pPr>
      <w:r>
        <w:rPr>
          <w:rFonts w:ascii="Arial" w:cs="Arial" w:eastAsia="Arial" w:hAnsi="Arial"/>
          <w:sz w:val="18"/>
          <w:szCs w:val="18"/>
          <w:color w:val="auto"/>
        </w:rPr>
        <w:t>18.6</w:t>
        <w:tab/>
        <w:t>If there is only one nomination, a resolution on the nomination will result in the candidate having been appointed, unless the binding nature of the nomination is overruled in accordance with Article 18.5.</w:t>
      </w:r>
    </w:p>
    <w:p>
      <w:pPr>
        <w:spacing w:after="0" w:line="76" w:lineRule="exact"/>
        <w:rPr>
          <w:sz w:val="20"/>
          <w:szCs w:val="20"/>
          <w:color w:val="auto"/>
        </w:rPr>
      </w:pPr>
    </w:p>
    <w:p>
      <w:pPr>
        <w:ind w:left="480" w:hanging="539"/>
        <w:spacing w:after="0" w:line="277" w:lineRule="auto"/>
        <w:tabs>
          <w:tab w:leader="none" w:pos="460" w:val="left"/>
        </w:tabs>
        <w:rPr>
          <w:sz w:val="20"/>
          <w:szCs w:val="20"/>
          <w:color w:val="auto"/>
        </w:rPr>
      </w:pPr>
      <w:r>
        <w:rPr>
          <w:rFonts w:ascii="Arial" w:cs="Arial" w:eastAsia="Arial" w:hAnsi="Arial"/>
          <w:sz w:val="18"/>
          <w:szCs w:val="18"/>
          <w:color w:val="auto"/>
        </w:rPr>
        <w:t>18.7</w:t>
        <w:tab/>
        <w:t>If there is more than one nomination, the candidate who obtained the highest number of votes shall be appointed, unless the binding nature of all nominations is overruled in accordance with Article 18.5.</w:t>
      </w:r>
    </w:p>
    <w:p>
      <w:pPr>
        <w:spacing w:after="0" w:line="76" w:lineRule="exact"/>
        <w:rPr>
          <w:sz w:val="20"/>
          <w:szCs w:val="20"/>
          <w:color w:val="auto"/>
        </w:rPr>
      </w:pPr>
    </w:p>
    <w:p>
      <w:pPr>
        <w:jc w:val="both"/>
        <w:ind w:left="480" w:right="200" w:hanging="539"/>
        <w:spacing w:after="0" w:line="263" w:lineRule="auto"/>
        <w:tabs>
          <w:tab w:leader="none" w:pos="460" w:val="left"/>
        </w:tabs>
        <w:rPr>
          <w:sz w:val="20"/>
          <w:szCs w:val="20"/>
          <w:color w:val="auto"/>
        </w:rPr>
      </w:pPr>
      <w:r>
        <w:rPr>
          <w:rFonts w:ascii="Arial" w:cs="Arial" w:eastAsia="Arial" w:hAnsi="Arial"/>
          <w:sz w:val="18"/>
          <w:szCs w:val="18"/>
          <w:color w:val="auto"/>
        </w:rPr>
        <w:t>18.8</w:t>
        <w:tab/>
        <w:t>If none of the candidates are appointed, the Board, or one or more Shareholders who individually or jointly represent at least one-tenth of the issued share capital, may, in accordance with Article 18.2, make a new nomination for the next General Meeting, unless the Board resolves to reduce the number of Directors in accordance with Article 17.2.</w:t>
      </w:r>
    </w:p>
    <w:p>
      <w:pPr>
        <w:spacing w:after="0" w:line="89" w:lineRule="exact"/>
        <w:rPr>
          <w:sz w:val="20"/>
          <w:szCs w:val="20"/>
          <w:color w:val="auto"/>
        </w:rPr>
      </w:pPr>
    </w:p>
    <w:p>
      <w:pPr>
        <w:ind w:left="480" w:right="20" w:hanging="539"/>
        <w:spacing w:after="0" w:line="277" w:lineRule="auto"/>
        <w:tabs>
          <w:tab w:leader="none" w:pos="460" w:val="left"/>
        </w:tabs>
        <w:rPr>
          <w:sz w:val="20"/>
          <w:szCs w:val="20"/>
          <w:color w:val="auto"/>
        </w:rPr>
      </w:pPr>
      <w:r>
        <w:rPr>
          <w:rFonts w:ascii="Arial" w:cs="Arial" w:eastAsia="Arial" w:hAnsi="Arial"/>
          <w:sz w:val="18"/>
          <w:szCs w:val="18"/>
          <w:color w:val="auto"/>
        </w:rPr>
        <w:t>18.9</w:t>
        <w:tab/>
        <w:t>All Directors of a same class shall retire simultaneously at the close of the first annual General Meeting held after three years have elapsed since their appointment, provided, however, that:</w:t>
      </w:r>
    </w:p>
    <w:p>
      <w:pPr>
        <w:spacing w:after="0" w:line="76" w:lineRule="exact"/>
        <w:rPr>
          <w:sz w:val="20"/>
          <w:szCs w:val="20"/>
          <w:color w:val="auto"/>
        </w:rPr>
      </w:pPr>
    </w:p>
    <w:p>
      <w:pPr>
        <w:ind w:left="1120" w:right="440" w:hanging="644"/>
        <w:spacing w:after="0" w:line="277" w:lineRule="auto"/>
        <w:tabs>
          <w:tab w:leader="none" w:pos="11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Directors I shall for the first time retire at the close of the annual General Meeting to be held in two thousand and twenty-one and subsequently at the close of each third succeeding annual General Meeting;</w:t>
      </w:r>
    </w:p>
    <w:p>
      <w:pPr>
        <w:spacing w:after="0" w:line="75" w:lineRule="exact"/>
        <w:rPr>
          <w:rFonts w:ascii="Arial" w:cs="Arial" w:eastAsia="Arial" w:hAnsi="Arial"/>
          <w:sz w:val="18"/>
          <w:szCs w:val="18"/>
          <w:color w:val="auto"/>
        </w:rPr>
      </w:pPr>
    </w:p>
    <w:p>
      <w:pPr>
        <w:ind w:left="1120" w:right="380" w:hanging="644"/>
        <w:spacing w:after="0" w:line="277" w:lineRule="auto"/>
        <w:tabs>
          <w:tab w:leader="none" w:pos="11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Directors II shall for the first time retire at the close of the annual General Meeting to be held in two thousand and twenty-two and subsequently at the close of each third succeeding annual General Meeting;</w:t>
      </w:r>
    </w:p>
    <w:p>
      <w:pPr>
        <w:spacing w:after="0" w:line="75" w:lineRule="exact"/>
        <w:rPr>
          <w:rFonts w:ascii="Arial" w:cs="Arial" w:eastAsia="Arial" w:hAnsi="Arial"/>
          <w:sz w:val="18"/>
          <w:szCs w:val="18"/>
          <w:color w:val="auto"/>
        </w:rPr>
      </w:pPr>
    </w:p>
    <w:p>
      <w:pPr>
        <w:ind w:left="1120" w:right="220" w:hanging="644"/>
        <w:spacing w:after="0" w:line="277" w:lineRule="auto"/>
        <w:tabs>
          <w:tab w:leader="none" w:pos="11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Directors III shall for the first time retire at the close of the annual General Meeting to be held in two thousand and twenty-three and subsequently at the close of each third succeeding annual General Meeting;</w:t>
      </w:r>
    </w:p>
    <w:p>
      <w:pPr>
        <w:spacing w:after="0" w:line="75" w:lineRule="exact"/>
        <w:rPr>
          <w:rFonts w:ascii="Arial" w:cs="Arial" w:eastAsia="Arial" w:hAnsi="Arial"/>
          <w:sz w:val="18"/>
          <w:szCs w:val="18"/>
          <w:color w:val="auto"/>
        </w:rPr>
      </w:pPr>
    </w:p>
    <w:p>
      <w:pPr>
        <w:ind w:left="1120" w:right="100" w:hanging="644"/>
        <w:spacing w:after="0" w:line="277" w:lineRule="auto"/>
        <w:tabs>
          <w:tab w:leader="none" w:pos="11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 Director appointed to fill a vacancy resulting from the early resignation or dismissal of a Director shall retire at the time at which his or her predecessor would retire;</w:t>
      </w:r>
    </w:p>
    <w:p>
      <w:pPr>
        <w:spacing w:after="0" w:line="75" w:lineRule="exact"/>
        <w:rPr>
          <w:rFonts w:ascii="Arial" w:cs="Arial" w:eastAsia="Arial" w:hAnsi="Arial"/>
          <w:sz w:val="18"/>
          <w:szCs w:val="18"/>
          <w:color w:val="auto"/>
        </w:rPr>
      </w:pPr>
    </w:p>
    <w:p>
      <w:pPr>
        <w:ind w:left="1120" w:right="140" w:hanging="644"/>
        <w:spacing w:after="0" w:line="277" w:lineRule="auto"/>
        <w:tabs>
          <w:tab w:leader="none" w:pos="11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 decrease of the number of Directors of a particular class may not require that a Director of such class shall retire early against his or her will;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80"/>
          </w:cols>
          <w:pgMar w:left="500" w:top="274" w:right="519" w:bottom="1440" w:gutter="0" w:footer="0" w:header="0"/>
        </w:sectPr>
      </w:pPr>
    </w:p>
    <w:bookmarkStart w:id="396" w:name="page397"/>
    <w:bookmarkEnd w:id="396"/>
    <w:p>
      <w:pPr>
        <w:ind w:left="1184" w:hanging="644"/>
        <w:spacing w:after="0"/>
        <w:tabs>
          <w:tab w:leader="none" w:pos="1184" w:val="left"/>
        </w:tabs>
        <w:numPr>
          <w:ilvl w:val="0"/>
          <w:numId w:val="3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retiring Director shall be eligible for reappointment.</w:t>
      </w:r>
    </w:p>
    <w:p>
      <w:pPr>
        <w:spacing w:after="0" w:line="131" w:lineRule="exact"/>
        <w:rPr>
          <w:sz w:val="20"/>
          <w:szCs w:val="20"/>
          <w:color w:val="auto"/>
        </w:rPr>
      </w:pPr>
    </w:p>
    <w:p>
      <w:pPr>
        <w:ind w:left="544" w:right="120" w:hanging="539"/>
        <w:spacing w:after="0" w:line="259" w:lineRule="auto"/>
        <w:rPr>
          <w:sz w:val="20"/>
          <w:szCs w:val="20"/>
          <w:color w:val="auto"/>
        </w:rPr>
      </w:pPr>
      <w:r>
        <w:rPr>
          <w:rFonts w:ascii="Arial" w:cs="Arial" w:eastAsia="Arial" w:hAnsi="Arial"/>
          <w:sz w:val="18"/>
          <w:szCs w:val="18"/>
          <w:color w:val="auto"/>
        </w:rPr>
        <w:t>18.10 The General Meeting may at any time suspend or dismiss a Director. The General Meeting may only adopt a resolution to suspend or dismiss a Director by a majority of at least two thirds of the votes cast, representing more than half of the issued share capital, or, in the case that such resolution is adopted on the proposal of the Board, by an absolute majority of the votes cast, representing more than half of the issued share capital.</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The Board shall be authorised to suspend an Executive Director at any time.</w:t>
      </w:r>
    </w:p>
    <w:p>
      <w:pPr>
        <w:spacing w:after="0" w:line="131" w:lineRule="exact"/>
        <w:rPr>
          <w:sz w:val="20"/>
          <w:szCs w:val="20"/>
          <w:color w:val="auto"/>
        </w:rPr>
      </w:pPr>
    </w:p>
    <w:p>
      <w:pPr>
        <w:ind w:left="544" w:right="100" w:hanging="539"/>
        <w:spacing w:after="0" w:line="263" w:lineRule="auto"/>
        <w:rPr>
          <w:sz w:val="20"/>
          <w:szCs w:val="20"/>
          <w:color w:val="auto"/>
        </w:rPr>
      </w:pPr>
      <w:r>
        <w:rPr>
          <w:rFonts w:ascii="Arial" w:cs="Arial" w:eastAsia="Arial" w:hAnsi="Arial"/>
          <w:sz w:val="18"/>
          <w:szCs w:val="18"/>
          <w:color w:val="auto"/>
        </w:rPr>
        <w:t>18.12 If the General Meeting has suspended a Director or the Board has suspended an Executive Director, the General Meeting shall within three months after the suspension has taken effect resolve either to dismiss such Director or to terminate the suspension, failing which the suspension will lapse.</w:t>
      </w:r>
    </w:p>
    <w:p>
      <w:pPr>
        <w:spacing w:after="0" w:line="328" w:lineRule="exact"/>
        <w:rPr>
          <w:sz w:val="20"/>
          <w:szCs w:val="20"/>
          <w:color w:val="auto"/>
        </w:rPr>
      </w:pPr>
    </w:p>
    <w:p>
      <w:pPr>
        <w:ind w:left="544" w:hanging="544"/>
        <w:spacing w:after="0"/>
        <w:tabs>
          <w:tab w:leader="none" w:pos="544"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135"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19.1</w:t>
        <w:tab/>
        <w:t>The Company shall have a policy regarding remuneration of the Board. The policy shall be adopted by the General Meeting on the proposal of the Board. The remuneration policy shall include the matters described in sections 2:383c up to and including 2:383e of the Dutch Civil Code, to the extent they apply to the Board.</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The remuneration of Directors shall be determined by the Board with due observance of the policy referred to in Article 19.1.</w:t>
      </w:r>
    </w:p>
    <w:p>
      <w:pPr>
        <w:spacing w:after="0" w:line="131" w:lineRule="exact"/>
        <w:rPr>
          <w:sz w:val="20"/>
          <w:szCs w:val="20"/>
          <w:color w:val="auto"/>
        </w:rPr>
      </w:pPr>
    </w:p>
    <w:p>
      <w:pPr>
        <w:jc w:val="both"/>
        <w:ind w:left="544" w:right="160" w:hanging="539"/>
        <w:spacing w:after="0" w:line="263" w:lineRule="auto"/>
        <w:tabs>
          <w:tab w:leader="none" w:pos="524" w:val="left"/>
        </w:tabs>
        <w:rPr>
          <w:sz w:val="20"/>
          <w:szCs w:val="20"/>
          <w:color w:val="auto"/>
        </w:rPr>
      </w:pPr>
      <w:r>
        <w:rPr>
          <w:rFonts w:ascii="Arial" w:cs="Arial" w:eastAsia="Arial" w:hAnsi="Arial"/>
          <w:sz w:val="18"/>
          <w:szCs w:val="18"/>
          <w:color w:val="auto"/>
        </w:rPr>
        <w:t>19.3</w:t>
        <w:tab/>
        <w:t>The Board shall submit proposals concerning arrangements for issuing Shares or granting rights to subscribe for Shares in accordance with the policy referred to in Article 19.1 to the General Meeting for approval. The proposal shall include the information required pursuant to section 2:135 subsection 5 of the Dutch Civil Code.</w:t>
      </w:r>
    </w:p>
    <w:p>
      <w:pPr>
        <w:spacing w:after="0" w:line="328" w:lineRule="exact"/>
        <w:rPr>
          <w:sz w:val="20"/>
          <w:szCs w:val="20"/>
          <w:color w:val="auto"/>
        </w:rPr>
      </w:pPr>
    </w:p>
    <w:p>
      <w:pPr>
        <w:ind w:left="544" w:hanging="544"/>
        <w:spacing w:after="0"/>
        <w:tabs>
          <w:tab w:leader="none" w:pos="544"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Duties, division of duties and decision-making of the Board</w:t>
      </w:r>
    </w:p>
    <w:p>
      <w:pPr>
        <w:spacing w:after="0" w:line="135" w:lineRule="exact"/>
        <w:rPr>
          <w:sz w:val="20"/>
          <w:szCs w:val="20"/>
          <w:color w:val="auto"/>
        </w:rPr>
      </w:pPr>
    </w:p>
    <w:p>
      <w:pPr>
        <w:ind w:left="544" w:right="600" w:hanging="539"/>
        <w:spacing w:after="0" w:line="277" w:lineRule="auto"/>
        <w:tabs>
          <w:tab w:leader="none" w:pos="524" w:val="left"/>
        </w:tabs>
        <w:rPr>
          <w:sz w:val="20"/>
          <w:szCs w:val="20"/>
          <w:color w:val="auto"/>
        </w:rPr>
      </w:pPr>
      <w:r>
        <w:rPr>
          <w:rFonts w:ascii="Arial" w:cs="Arial" w:eastAsia="Arial" w:hAnsi="Arial"/>
          <w:sz w:val="18"/>
          <w:szCs w:val="18"/>
          <w:color w:val="auto"/>
        </w:rPr>
        <w:t>20.1</w:t>
        <w:tab/>
        <w:t>Subject to the limitations provided in these Articles of Association, the Board shall be charged with the management of the Company. In fulfilling their duties the Directors shall serve the interest of the Company and the business connected with it.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Subject to the authority of the Board, the Executive Directors shall be charged with the day-to-day management of the Company.</w:t>
      </w:r>
    </w:p>
    <w:p>
      <w:pPr>
        <w:spacing w:after="0" w:line="131"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20.3</w:t>
        <w:tab/>
        <w:t>Supervision of the fulfilment of duties by the Executive Directors and of the general course of the Company’s affairs and the business connected with it shall be primarily carried out by the Non-Executive Directors. The Executive Directors shall in due time provide the Non-Executive Directors with the information they need to carry out their duties.</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color w:val="auto"/>
        </w:rPr>
        <w:t>The Board may adopt rules with respect to the matters concerning the Board.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color w:val="auto"/>
        </w:rPr>
        <w:t>The Board may, whether or not by rule, determine the duties with which each Director will be particularly charged.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color w:val="auto"/>
        </w:rPr>
        <w:t>The Board shall appoint from among the Non-Executive Directors a chairman.</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4"/>
          </w:cols>
          <w:pgMar w:left="436" w:top="274" w:right="499" w:bottom="1440" w:gutter="0" w:footer="0" w:header="0"/>
        </w:sectPr>
      </w:pPr>
    </w:p>
    <w:bookmarkStart w:id="397" w:name="page398"/>
    <w:bookmarkEnd w:id="397"/>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20.7</w:t>
      </w:r>
      <w:r>
        <w:rPr>
          <w:sz w:val="20"/>
          <w:szCs w:val="20"/>
          <w:color w:val="auto"/>
        </w:rPr>
        <w:tab/>
      </w:r>
      <w:r>
        <w:rPr>
          <w:rFonts w:ascii="Arial" w:cs="Arial" w:eastAsia="Arial" w:hAnsi="Arial"/>
          <w:sz w:val="16"/>
          <w:szCs w:val="16"/>
          <w:color w:val="auto"/>
        </w:rPr>
        <w:t>The Board shall grant to an Executive Director the title of Chief Executive Officer.</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color w:val="auto"/>
        </w:rPr>
        <w:t>The Board shall meet whenever a Director considers appropriate.</w:t>
      </w:r>
    </w:p>
    <w:p>
      <w:pPr>
        <w:spacing w:after="0" w:line="131"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20.9</w:t>
        <w:tab/>
        <w:t>An Executive Director may only be represented at a meeting by another Director authorised in writing and a Non-Executive Director may only be represented at a meeting by another Non-Executive Director authorised in writing. The requirement of written form for the authorisation shall be met if the authorisation has been recorded electronically.</w:t>
      </w:r>
    </w:p>
    <w:p>
      <w:pPr>
        <w:spacing w:after="0" w:line="89" w:lineRule="exact"/>
        <w:rPr>
          <w:sz w:val="20"/>
          <w:szCs w:val="20"/>
          <w:color w:val="auto"/>
        </w:rPr>
      </w:pPr>
    </w:p>
    <w:p>
      <w:pPr>
        <w:ind w:left="540" w:right="180" w:hanging="539"/>
        <w:spacing w:after="0" w:line="277" w:lineRule="auto"/>
        <w:rPr>
          <w:sz w:val="20"/>
          <w:szCs w:val="20"/>
          <w:color w:val="auto"/>
        </w:rPr>
      </w:pPr>
      <w:r>
        <w:rPr>
          <w:rFonts w:ascii="Arial" w:cs="Arial" w:eastAsia="Arial" w:hAnsi="Arial"/>
          <w:sz w:val="18"/>
          <w:szCs w:val="18"/>
          <w:color w:val="auto"/>
        </w:rPr>
        <w:t>20.10 Each Director may participate in a meeting by electronic means of communication, provided that all Directors participating in the meeting can hear each other simultaneously. A Director so participating shall be deemed to be present at the meeting.</w:t>
      </w:r>
    </w:p>
    <w:p>
      <w:pPr>
        <w:spacing w:after="0" w:line="76" w:lineRule="exact"/>
        <w:rPr>
          <w:sz w:val="20"/>
          <w:szCs w:val="20"/>
          <w:color w:val="auto"/>
        </w:rPr>
      </w:pPr>
    </w:p>
    <w:p>
      <w:pPr>
        <w:ind w:left="540" w:hanging="539"/>
        <w:spacing w:after="0" w:line="308" w:lineRule="auto"/>
        <w:tabs>
          <w:tab w:leader="none" w:pos="52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7"/>
          <w:szCs w:val="17"/>
          <w:color w:val="auto"/>
        </w:rPr>
        <w:t>Each Director shall have one vote. All resolutions shall be adopted by an absolute majority of the votes cast at a meeting at which more than half of the Non-Executive Directors are present or represented. In the event of a tie vote, the proposal shall have been rejected.</w:t>
      </w:r>
    </w:p>
    <w:p>
      <w:pPr>
        <w:spacing w:after="0" w:line="52" w:lineRule="exact"/>
        <w:rPr>
          <w:sz w:val="20"/>
          <w:szCs w:val="20"/>
          <w:color w:val="auto"/>
        </w:rPr>
      </w:pPr>
    </w:p>
    <w:p>
      <w:pPr>
        <w:ind w:left="540" w:right="40" w:hanging="539"/>
        <w:spacing w:after="0" w:line="257" w:lineRule="auto"/>
        <w:rPr>
          <w:sz w:val="20"/>
          <w:szCs w:val="20"/>
          <w:color w:val="auto"/>
        </w:rPr>
      </w:pPr>
      <w:r>
        <w:rPr>
          <w:rFonts w:ascii="Arial" w:cs="Arial" w:eastAsia="Arial" w:hAnsi="Arial"/>
          <w:sz w:val="18"/>
          <w:szCs w:val="18"/>
          <w:color w:val="auto"/>
        </w:rPr>
        <w:t>20.12 In the event that one or more Directors have a direct or indirect personal interest that conflicts with the interest of the Company and the business connected with it, they shall not be authorised to participate in the discussion and the decision-making process. In the event that all Directors have a direct or indirect personal interest that conflicts with the interest of the Company and the business connected with it, the resolution shall nevertheless be adopted by the Board and the Directors shall, in derogation of the preceding sentence, continue to be authorised to participate in the discussion and decision-making process.</w:t>
      </w:r>
    </w:p>
    <w:p>
      <w:pPr>
        <w:spacing w:after="0" w:line="93" w:lineRule="exact"/>
        <w:rPr>
          <w:sz w:val="20"/>
          <w:szCs w:val="20"/>
          <w:color w:val="auto"/>
        </w:rPr>
      </w:pPr>
    </w:p>
    <w:p>
      <w:pPr>
        <w:ind w:left="540" w:right="20" w:hanging="539"/>
        <w:spacing w:after="0" w:line="263" w:lineRule="auto"/>
        <w:rPr>
          <w:sz w:val="20"/>
          <w:szCs w:val="20"/>
          <w:color w:val="auto"/>
        </w:rPr>
      </w:pPr>
      <w:r>
        <w:rPr>
          <w:rFonts w:ascii="Arial" w:cs="Arial" w:eastAsia="Arial" w:hAnsi="Arial"/>
          <w:sz w:val="18"/>
          <w:szCs w:val="18"/>
          <w:color w:val="auto"/>
        </w:rPr>
        <w:t>20.13 Executive Directors shall not be authorised to participate in the discussion and the decision-making process regarding the determination of the remuneration of Executive Directors or, if the General Meeting has failed to do so, the giving of an assignment to an Auditor to audit the Annual Accounts.</w:t>
      </w:r>
    </w:p>
    <w:p>
      <w:pPr>
        <w:spacing w:after="0" w:line="89" w:lineRule="exact"/>
        <w:rPr>
          <w:sz w:val="20"/>
          <w:szCs w:val="20"/>
          <w:color w:val="auto"/>
        </w:rPr>
      </w:pPr>
    </w:p>
    <w:p>
      <w:pPr>
        <w:ind w:left="540" w:right="640" w:hanging="539"/>
        <w:spacing w:after="0" w:line="308" w:lineRule="auto"/>
        <w:rPr>
          <w:sz w:val="20"/>
          <w:szCs w:val="20"/>
          <w:color w:val="auto"/>
        </w:rPr>
      </w:pPr>
      <w:r>
        <w:rPr>
          <w:rFonts w:ascii="Arial" w:cs="Arial" w:eastAsia="Arial" w:hAnsi="Arial"/>
          <w:sz w:val="17"/>
          <w:szCs w:val="17"/>
          <w:color w:val="auto"/>
        </w:rPr>
        <w:t>20.14 When determining to what extent the Directors cast votes, are present or represented, no account shall be taken of Directors who are not authorised to participate in the discussion and the decision-making process pursuant to Articles 20.12 and 20.13.</w:t>
      </w:r>
    </w:p>
    <w:p>
      <w:pPr>
        <w:spacing w:after="0" w:line="52" w:lineRule="exact"/>
        <w:rPr>
          <w:sz w:val="20"/>
          <w:szCs w:val="20"/>
          <w:color w:val="auto"/>
        </w:rPr>
      </w:pPr>
    </w:p>
    <w:p>
      <w:pPr>
        <w:ind w:left="540" w:right="60" w:hanging="539"/>
        <w:spacing w:after="0" w:line="277" w:lineRule="auto"/>
        <w:rPr>
          <w:sz w:val="20"/>
          <w:szCs w:val="20"/>
          <w:color w:val="auto"/>
        </w:rPr>
      </w:pPr>
      <w:r>
        <w:rPr>
          <w:rFonts w:ascii="Arial" w:cs="Arial" w:eastAsia="Arial" w:hAnsi="Arial"/>
          <w:sz w:val="18"/>
          <w:szCs w:val="18"/>
          <w:color w:val="auto"/>
        </w:rPr>
        <w:t>20.15 A written statement of the chairman of the meeting of the Board that the Board has adopted a resolution shall constitute proof of such resolution vis-à-vis third parties.</w:t>
      </w:r>
    </w:p>
    <w:p>
      <w:pPr>
        <w:spacing w:after="0" w:line="76" w:lineRule="exact"/>
        <w:rPr>
          <w:sz w:val="20"/>
          <w:szCs w:val="20"/>
          <w:color w:val="auto"/>
        </w:rPr>
      </w:pPr>
    </w:p>
    <w:p>
      <w:pPr>
        <w:ind w:left="540" w:right="180" w:hanging="539"/>
        <w:spacing w:after="0" w:line="263" w:lineRule="auto"/>
        <w:rPr>
          <w:sz w:val="20"/>
          <w:szCs w:val="20"/>
          <w:color w:val="auto"/>
        </w:rPr>
      </w:pPr>
      <w:r>
        <w:rPr>
          <w:rFonts w:ascii="Arial" w:cs="Arial" w:eastAsia="Arial" w:hAnsi="Arial"/>
          <w:sz w:val="18"/>
          <w:szCs w:val="18"/>
          <w:color w:val="auto"/>
        </w:rPr>
        <w:t>20.16 The Board may adopt resolutions without holding a meeting, provided that all Directors have consented to this manner of adopting resolutions and the votes are cast in writing or by electronic means. Articles 20.11 up to and including 20.14 shall apply by analogy to the adoption of resolutions by the Board without holding a meeting.</w:t>
      </w:r>
    </w:p>
    <w:p>
      <w:pPr>
        <w:spacing w:after="0" w:line="89" w:lineRule="exact"/>
        <w:rPr>
          <w:sz w:val="20"/>
          <w:szCs w:val="20"/>
          <w:color w:val="auto"/>
        </w:rPr>
      </w:pPr>
    </w:p>
    <w:p>
      <w:pPr>
        <w:ind w:left="540" w:right="420" w:hanging="539"/>
        <w:spacing w:after="0" w:line="286" w:lineRule="auto"/>
        <w:rPr>
          <w:sz w:val="20"/>
          <w:szCs w:val="20"/>
          <w:color w:val="auto"/>
        </w:rPr>
      </w:pPr>
      <w:r>
        <w:rPr>
          <w:rFonts w:ascii="Arial" w:cs="Arial" w:eastAsia="Arial" w:hAnsi="Arial"/>
          <w:sz w:val="17"/>
          <w:szCs w:val="17"/>
          <w:color w:val="auto"/>
        </w:rPr>
        <w:t>20.17 The Executive Directors may validly adopt resolutions with regard to matters falling within the scope of the day-to-day management of the Company. Articles 20.8 up to and including 20.16 shall apply by analogy to the adoption of resolutions by the Executive Directors. The Executive Directors shall as soon as possible notify the Non-Executive Directors of the adopted resolutions.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440" w:top="274" w:right="499" w:bottom="1440" w:gutter="0" w:footer="0" w:header="0"/>
        </w:sectPr>
      </w:pPr>
    </w:p>
    <w:bookmarkStart w:id="398" w:name="page399"/>
    <w:bookmarkEnd w:id="398"/>
    <w:p>
      <w:pPr>
        <w:ind w:left="544" w:right="100" w:hanging="539"/>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20.18 The Non-Executive Directors may validly adopt resolutions with regard to matters falling within the scope of their authority pursuant to the law or these Articles of Association. Articles 20.8 up to and including 20.16 shall apply by analogy to the adoption of resolutions by the Non-Executive Directors. The Non-Executive Directors shall as soon as possible notify the Executive Directors of the adopted resolutions.</w:t>
      </w:r>
    </w:p>
    <w:p>
      <w:pPr>
        <w:spacing w:after="0" w:line="310" w:lineRule="exact"/>
        <w:rPr>
          <w:sz w:val="20"/>
          <w:szCs w:val="20"/>
          <w:color w:val="auto"/>
        </w:rPr>
      </w:pPr>
    </w:p>
    <w:p>
      <w:pPr>
        <w:ind w:left="544" w:hanging="544"/>
        <w:spacing w:after="0"/>
        <w:tabs>
          <w:tab w:leader="none" w:pos="544"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resolutions of the Board</w:t>
      </w:r>
    </w:p>
    <w:p>
      <w:pPr>
        <w:spacing w:after="0" w:line="135" w:lineRule="exact"/>
        <w:rPr>
          <w:sz w:val="20"/>
          <w:szCs w:val="20"/>
          <w:color w:val="auto"/>
        </w:rPr>
      </w:pPr>
    </w:p>
    <w:p>
      <w:pPr>
        <w:ind w:left="544" w:right="300" w:hanging="539"/>
        <w:spacing w:after="0" w:line="277" w:lineRule="auto"/>
        <w:tabs>
          <w:tab w:leader="none" w:pos="524" w:val="left"/>
        </w:tabs>
        <w:rPr>
          <w:sz w:val="20"/>
          <w:szCs w:val="20"/>
          <w:color w:val="auto"/>
        </w:rPr>
      </w:pPr>
      <w:r>
        <w:rPr>
          <w:rFonts w:ascii="Arial" w:cs="Arial" w:eastAsia="Arial" w:hAnsi="Arial"/>
          <w:sz w:val="18"/>
          <w:szCs w:val="18"/>
          <w:color w:val="auto"/>
        </w:rPr>
        <w:t>21.1</w:t>
        <w:tab/>
        <w:t>Resolutions of the Board with regard to an important change in the identity or character of the Company or the business connected with it are subject to the prior approval of the General Meeting, including in any case:</w:t>
      </w:r>
    </w:p>
    <w:p>
      <w:pPr>
        <w:spacing w:after="0" w:line="76" w:lineRule="exact"/>
        <w:rPr>
          <w:sz w:val="20"/>
          <w:szCs w:val="20"/>
          <w:color w:val="auto"/>
        </w:rPr>
      </w:pPr>
    </w:p>
    <w:p>
      <w:pPr>
        <w:ind w:left="1184" w:hanging="644"/>
        <w:spacing w:after="0"/>
        <w:tabs>
          <w:tab w:leader="none" w:pos="118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transfer of the business or almost the entire business to a third party;</w:t>
      </w:r>
    </w:p>
    <w:p>
      <w:pPr>
        <w:spacing w:after="0" w:line="130" w:lineRule="exact"/>
        <w:rPr>
          <w:rFonts w:ascii="Arial" w:cs="Arial" w:eastAsia="Arial" w:hAnsi="Arial"/>
          <w:sz w:val="18"/>
          <w:szCs w:val="18"/>
          <w:color w:val="auto"/>
        </w:rPr>
      </w:pPr>
    </w:p>
    <w:p>
      <w:pPr>
        <w:ind w:left="1184" w:right="40" w:hanging="644"/>
        <w:spacing w:after="0" w:line="263" w:lineRule="auto"/>
        <w:tabs>
          <w:tab w:leader="none" w:pos="118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entry into or termination of a long-term cooperation by the Company or a Subsidiary thereof with another legal person or partnership or as a fully liable partner in a limited or general partnership, if such cooperation or termination thereof is of far-reaching significance to the Company; and</w:t>
      </w:r>
    </w:p>
    <w:p>
      <w:pPr>
        <w:spacing w:after="0" w:line="89" w:lineRule="exact"/>
        <w:rPr>
          <w:rFonts w:ascii="Arial" w:cs="Arial" w:eastAsia="Arial" w:hAnsi="Arial"/>
          <w:sz w:val="18"/>
          <w:szCs w:val="18"/>
          <w:color w:val="auto"/>
        </w:rPr>
      </w:pPr>
    </w:p>
    <w:p>
      <w:pPr>
        <w:ind w:left="1184" w:right="140" w:hanging="644"/>
        <w:spacing w:after="0" w:line="259" w:lineRule="auto"/>
        <w:tabs>
          <w:tab w:leader="none" w:pos="118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acquisition or disposal by the Company or a Subsidiary thereof of a participating interest in the capital of a company with a value of at least one-third of the amount of the assets as shown in the balance sheet with explanatory notes or, if the Company prepares a consolidated balance sheet, as shown in the consolidated balance sheet with explanatory notes, according to the most recently adopted Annual Accounts of the Company.</w:t>
      </w:r>
    </w:p>
    <w:p>
      <w:pPr>
        <w:spacing w:after="0" w:line="92" w:lineRule="exact"/>
        <w:rPr>
          <w:sz w:val="20"/>
          <w:szCs w:val="20"/>
          <w:color w:val="auto"/>
        </w:rPr>
      </w:pPr>
    </w:p>
    <w:p>
      <w:pPr>
        <w:ind w:left="544" w:right="240" w:hanging="539"/>
        <w:spacing w:after="0" w:line="263" w:lineRule="auto"/>
        <w:tabs>
          <w:tab w:leader="none" w:pos="524" w:val="left"/>
        </w:tabs>
        <w:rPr>
          <w:sz w:val="20"/>
          <w:szCs w:val="20"/>
          <w:color w:val="auto"/>
        </w:rPr>
      </w:pPr>
      <w:r>
        <w:rPr>
          <w:rFonts w:ascii="Arial" w:cs="Arial" w:eastAsia="Arial" w:hAnsi="Arial"/>
          <w:sz w:val="18"/>
          <w:szCs w:val="18"/>
          <w:color w:val="auto"/>
        </w:rPr>
        <w:t>21.2</w:t>
        <w:tab/>
        <w:t>Without prejudice to Article 21.1, resolutions of the Board on the following matters are subject to the approval of the majority of the Non-Executive Directors, which approval shall be deemed to have been granted if the majority of the Non-Executive Directors have cast their vote in favour of the proposal concerned:</w:t>
      </w:r>
    </w:p>
    <w:p>
      <w:pPr>
        <w:spacing w:after="0" w:line="89" w:lineRule="exact"/>
        <w:rPr>
          <w:sz w:val="20"/>
          <w:szCs w:val="20"/>
          <w:color w:val="auto"/>
        </w:rPr>
      </w:pPr>
    </w:p>
    <w:p>
      <w:pPr>
        <w:ind w:left="1184" w:right="100" w:hanging="644"/>
        <w:spacing w:after="0" w:line="308" w:lineRule="auto"/>
        <w:tabs>
          <w:tab w:leader="none" w:pos="1184" w:val="left"/>
        </w:tabs>
        <w:numPr>
          <w:ilvl w:val="0"/>
          <w:numId w:val="318"/>
        </w:numPr>
        <w:rPr>
          <w:rFonts w:ascii="Arial" w:cs="Arial" w:eastAsia="Arial" w:hAnsi="Arial"/>
          <w:sz w:val="17"/>
          <w:szCs w:val="17"/>
          <w:color w:val="auto"/>
        </w:rPr>
      </w:pPr>
      <w:r>
        <w:rPr>
          <w:rFonts w:ascii="Arial" w:cs="Arial" w:eastAsia="Arial" w:hAnsi="Arial"/>
          <w:sz w:val="17"/>
          <w:szCs w:val="17"/>
          <w:color w:val="auto"/>
        </w:rPr>
        <w:t>application for admission of securities issued by the Company to trading on the NASDAQ Stock Market or any other regulated foreign stock exchange located in the United States of America or elsewhere, or application for withdrawal of such admission;</w:t>
      </w:r>
    </w:p>
    <w:p>
      <w:pPr>
        <w:spacing w:after="0" w:line="51" w:lineRule="exact"/>
        <w:rPr>
          <w:rFonts w:ascii="Arial" w:cs="Arial" w:eastAsia="Arial" w:hAnsi="Arial"/>
          <w:sz w:val="17"/>
          <w:szCs w:val="17"/>
          <w:color w:val="auto"/>
        </w:rPr>
      </w:pPr>
    </w:p>
    <w:p>
      <w:pPr>
        <w:jc w:val="both"/>
        <w:ind w:left="1184" w:right="440" w:hanging="644"/>
        <w:spacing w:after="0" w:line="263" w:lineRule="auto"/>
        <w:tabs>
          <w:tab w:leader="none" w:pos="118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entry into or termination of a long-term cooperation by the Company or a Subsidiary of the Company with another legal person or company or as a fully liable partner in a limited partnership or general partnership, if such cooperation or termination thereof is of far-reaching significance to the Company or the Subsidiary of the Company;</w:t>
      </w:r>
    </w:p>
    <w:p>
      <w:pPr>
        <w:spacing w:after="0" w:line="89" w:lineRule="exact"/>
        <w:rPr>
          <w:rFonts w:ascii="Arial" w:cs="Arial" w:eastAsia="Arial" w:hAnsi="Arial"/>
          <w:sz w:val="18"/>
          <w:szCs w:val="18"/>
          <w:color w:val="auto"/>
        </w:rPr>
      </w:pPr>
    </w:p>
    <w:p>
      <w:pPr>
        <w:jc w:val="both"/>
        <w:ind w:left="1184" w:hanging="644"/>
        <w:spacing w:after="0" w:line="286" w:lineRule="auto"/>
        <w:tabs>
          <w:tab w:leader="none" w:pos="1184" w:val="left"/>
        </w:tabs>
        <w:numPr>
          <w:ilvl w:val="0"/>
          <w:numId w:val="318"/>
        </w:numPr>
        <w:rPr>
          <w:rFonts w:ascii="Arial" w:cs="Arial" w:eastAsia="Arial" w:hAnsi="Arial"/>
          <w:sz w:val="17"/>
          <w:szCs w:val="17"/>
          <w:color w:val="auto"/>
        </w:rPr>
      </w:pPr>
      <w:r>
        <w:rPr>
          <w:rFonts w:ascii="Arial" w:cs="Arial" w:eastAsia="Arial" w:hAnsi="Arial"/>
          <w:sz w:val="17"/>
          <w:szCs w:val="17"/>
          <w:color w:val="auto"/>
        </w:rPr>
        <w:t>acquisition of a Participating Interest by the Company or a Subsidiary of the Company in the capital of another company with a value of at least five hundred thousand United States dollars (USD 500,000), or such higher amount as determined by the Board and recorded in writing, as well as any far-reaching increase or decrease in the size of any such Participating Interest;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399" w:name="page400"/>
    <w:bookmarkEnd w:id="399"/>
    <w:p>
      <w:pPr>
        <w:ind w:left="644" w:right="300" w:hanging="644"/>
        <w:spacing w:after="0" w:line="277" w:lineRule="auto"/>
        <w:tabs>
          <w:tab w:leader="none" w:pos="644" w:val="left"/>
        </w:tabs>
        <w:numPr>
          <w:ilvl w:val="0"/>
          <w:numId w:val="3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incurring debt by the Company or a Subsidiary of the Company in an amount of at least five hundred thousand United States dollars (USD 500,000), or such higher amount as determined by the Board and recorded in writing;</w:t>
      </w:r>
    </w:p>
    <w:p>
      <w:pPr>
        <w:spacing w:after="0" w:line="75"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capital investments by the Company or a Subsidiary of the Company requiring an amount equal to at least five hundred thousand United States dollars (USD 500,000), or such higher amount as determined by the Board and recorded in writing;</w:t>
      </w:r>
    </w:p>
    <w:p>
      <w:pPr>
        <w:spacing w:after="0" w:line="75" w:lineRule="exact"/>
        <w:rPr>
          <w:rFonts w:ascii="Arial" w:cs="Arial" w:eastAsia="Arial" w:hAnsi="Arial"/>
          <w:sz w:val="18"/>
          <w:szCs w:val="18"/>
          <w:color w:val="auto"/>
        </w:rPr>
      </w:pPr>
    </w:p>
    <w:p>
      <w:pPr>
        <w:ind w:left="644" w:right="200" w:hanging="644"/>
        <w:spacing w:after="0" w:line="259" w:lineRule="auto"/>
        <w:tabs>
          <w:tab w:leader="none" w:pos="64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acquisition, disposal or encumbrance of intellectual property rights and acquisition or granting of licences and sublicenses by the Company or a Subsidiary of the Company, if the interest or value of such intellectual property rights, licences or sublicenses to the Company or the Subsidiary amounts to at least five hundred thousand United States dollars (USD 500,000), or such higher amount as determined by the Board and recorded in writing;</w:t>
      </w:r>
    </w:p>
    <w:p>
      <w:pPr>
        <w:spacing w:after="0" w:line="92" w:lineRule="exact"/>
        <w:rPr>
          <w:rFonts w:ascii="Arial" w:cs="Arial" w:eastAsia="Arial" w:hAnsi="Arial"/>
          <w:sz w:val="18"/>
          <w:szCs w:val="18"/>
          <w:color w:val="auto"/>
        </w:rPr>
      </w:pPr>
    </w:p>
    <w:p>
      <w:pPr>
        <w:ind w:left="644" w:right="420" w:hanging="644"/>
        <w:spacing w:after="0" w:line="277" w:lineRule="auto"/>
        <w:tabs>
          <w:tab w:leader="none" w:pos="64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entry into of any agreement, including any amendment or modification to any existing agreement, with or consummate, directly or indirectly, any transaction or series of related transactions with:</w:t>
      </w:r>
    </w:p>
    <w:p>
      <w:pPr>
        <w:spacing w:after="0" w:line="75" w:lineRule="exact"/>
        <w:rPr>
          <w:rFonts w:ascii="Arial" w:cs="Arial" w:eastAsia="Arial" w:hAnsi="Arial"/>
          <w:sz w:val="18"/>
          <w:szCs w:val="18"/>
          <w:color w:val="auto"/>
        </w:rPr>
      </w:pPr>
    </w:p>
    <w:p>
      <w:pPr>
        <w:ind w:left="1204" w:right="160" w:hanging="543"/>
        <w:spacing w:after="0" w:line="277" w:lineRule="auto"/>
        <w:tabs>
          <w:tab w:leader="none" w:pos="1204"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any affiliate of the Company other than, in the case of the Company, any of its Subsidiaries or, in the case of any Subsidiary of the Company, the Company or another Subsidiary of the Company;</w:t>
      </w:r>
    </w:p>
    <w:p>
      <w:pPr>
        <w:spacing w:after="0" w:line="75" w:lineRule="exact"/>
        <w:rPr>
          <w:rFonts w:ascii="Arial" w:cs="Arial" w:eastAsia="Arial" w:hAnsi="Arial"/>
          <w:sz w:val="18"/>
          <w:szCs w:val="18"/>
          <w:color w:val="auto"/>
        </w:rPr>
      </w:pPr>
    </w:p>
    <w:p>
      <w:pPr>
        <w:ind w:left="1204" w:right="540" w:hanging="543"/>
        <w:spacing w:after="0" w:line="277" w:lineRule="auto"/>
        <w:tabs>
          <w:tab w:leader="none" w:pos="1204"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any Shareholder that, along with any Shareholder Affiliates and Associates of such Shareholder, to the Company’s actual knowledge, beneficially owns at least five per cent (5.00%) of Shares;</w:t>
      </w:r>
    </w:p>
    <w:p>
      <w:pPr>
        <w:spacing w:after="0" w:line="75" w:lineRule="exact"/>
        <w:rPr>
          <w:rFonts w:ascii="Arial" w:cs="Arial" w:eastAsia="Arial" w:hAnsi="Arial"/>
          <w:sz w:val="18"/>
          <w:szCs w:val="18"/>
          <w:color w:val="auto"/>
        </w:rPr>
      </w:pPr>
    </w:p>
    <w:p>
      <w:pPr>
        <w:ind w:left="1204" w:right="220" w:hanging="543"/>
        <w:spacing w:after="0" w:line="259" w:lineRule="auto"/>
        <w:tabs>
          <w:tab w:leader="none" w:pos="1204"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any person who is or was, since the beginning of the last financial year for which the General Meeting has adopted Annual Accounts, even if such person does not presently serve in that role, an Executive Officer or Non-Executive Director, or, to the Company’s actual knowledge, any other person described under (i) or (ii) above or any nominee for Executive Officer or Non-Executive Director; or</w:t>
      </w:r>
    </w:p>
    <w:p>
      <w:pPr>
        <w:spacing w:after="0" w:line="92" w:lineRule="exact"/>
        <w:rPr>
          <w:rFonts w:ascii="Arial" w:cs="Arial" w:eastAsia="Arial" w:hAnsi="Arial"/>
          <w:sz w:val="18"/>
          <w:szCs w:val="18"/>
          <w:color w:val="auto"/>
        </w:rPr>
      </w:pPr>
    </w:p>
    <w:p>
      <w:pPr>
        <w:ind w:left="1204" w:right="140" w:hanging="543"/>
        <w:spacing w:after="0" w:line="342" w:lineRule="auto"/>
        <w:tabs>
          <w:tab w:leader="none" w:pos="1204" w:val="left"/>
        </w:tabs>
        <w:numPr>
          <w:ilvl w:val="1"/>
          <w:numId w:val="319"/>
        </w:numPr>
        <w:rPr>
          <w:rFonts w:ascii="Arial" w:cs="Arial" w:eastAsia="Arial" w:hAnsi="Arial"/>
          <w:sz w:val="16"/>
          <w:szCs w:val="16"/>
          <w:color w:val="auto"/>
        </w:rPr>
      </w:pPr>
      <w:r>
        <w:rPr>
          <w:rFonts w:ascii="Arial" w:cs="Arial" w:eastAsia="Arial" w:hAnsi="Arial"/>
          <w:sz w:val="16"/>
          <w:szCs w:val="16"/>
          <w:color w:val="auto"/>
        </w:rPr>
        <w:t>any Associate, to the Company’s actual knowledge, of any person described under (i) or (ii) above, in each case other than any transaction involving one hundred and twenty thousand United States dollars (USD 120,000) or less in a financial year;</w:t>
      </w:r>
    </w:p>
    <w:p>
      <w:pPr>
        <w:spacing w:after="0" w:line="29" w:lineRule="exact"/>
        <w:rPr>
          <w:rFonts w:ascii="Arial" w:cs="Arial" w:eastAsia="Arial" w:hAnsi="Arial"/>
          <w:sz w:val="16"/>
          <w:szCs w:val="16"/>
          <w:color w:val="auto"/>
        </w:rPr>
      </w:pPr>
    </w:p>
    <w:p>
      <w:pPr>
        <w:jc w:val="both"/>
        <w:ind w:left="644" w:right="360" w:hanging="644"/>
        <w:spacing w:after="0" w:line="342" w:lineRule="auto"/>
        <w:tabs>
          <w:tab w:leader="none" w:pos="644"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adoption of an equity incentive plan or other program for the benefit of Executive Officers, Non-Executive Directors, employees or other service providers of the Company or any of its Group Companies, as well as any material amendment or termination thereof;</w:t>
      </w:r>
    </w:p>
    <w:p>
      <w:pPr>
        <w:spacing w:after="0" w:line="29" w:lineRule="exact"/>
        <w:rPr>
          <w:rFonts w:ascii="Arial" w:cs="Arial" w:eastAsia="Arial" w:hAnsi="Arial"/>
          <w:sz w:val="16"/>
          <w:szCs w:val="16"/>
          <w:color w:val="auto"/>
        </w:rPr>
      </w:pPr>
    </w:p>
    <w:p>
      <w:pPr>
        <w:ind w:left="644" w:right="300" w:hanging="644"/>
        <w:spacing w:after="0" w:line="277" w:lineRule="auto"/>
        <w:tabs>
          <w:tab w:leader="none" w:pos="64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termination of the employment of a considerable number of employees of the Company and any of its Subsidiaries, determined on a consolidated basis, at the same time or within a short time span;</w:t>
      </w:r>
    </w:p>
    <w:p>
      <w:pPr>
        <w:spacing w:after="0" w:line="103"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464"/>
          </w:cols>
          <w:pgMar w:left="976" w:top="274" w:right="459" w:bottom="1440" w:gutter="0" w:footer="0" w:header="0"/>
        </w:sectPr>
      </w:pPr>
    </w:p>
    <w:bookmarkStart w:id="400" w:name="page401"/>
    <w:bookmarkEnd w:id="400"/>
    <w:p>
      <w:pPr>
        <w:ind w:left="1184" w:right="280" w:hanging="644"/>
        <w:spacing w:after="0" w:line="277" w:lineRule="auto"/>
        <w:tabs>
          <w:tab w:leader="none" w:pos="11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far-reaching change in the working conditions of a considerable number of employees of the Company and any of its Subsidiaries, determined on a consolidated basis;</w:t>
      </w:r>
    </w:p>
    <w:p>
      <w:pPr>
        <w:spacing w:after="0" w:line="75" w:lineRule="exact"/>
        <w:rPr>
          <w:rFonts w:ascii="Arial" w:cs="Arial" w:eastAsia="Arial" w:hAnsi="Arial"/>
          <w:sz w:val="18"/>
          <w:szCs w:val="18"/>
          <w:color w:val="auto"/>
        </w:rPr>
      </w:pPr>
    </w:p>
    <w:p>
      <w:pPr>
        <w:ind w:left="1184" w:right="140" w:hanging="644"/>
        <w:spacing w:after="0" w:line="263" w:lineRule="auto"/>
        <w:tabs>
          <w:tab w:leader="none" w:pos="11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entry into any sale or disposition of all or substantially all of the Company’s assets determined on a consolidated basis, whether in one or more series of transactions and irrespective of how such sale or disposition is structured, including by sale, exchange or transfer of the Company’s consolidated assets or otherwise;</w:t>
      </w:r>
    </w:p>
    <w:p>
      <w:pPr>
        <w:spacing w:after="0" w:line="89" w:lineRule="exact"/>
        <w:rPr>
          <w:rFonts w:ascii="Arial" w:cs="Arial" w:eastAsia="Arial" w:hAnsi="Arial"/>
          <w:sz w:val="18"/>
          <w:szCs w:val="18"/>
          <w:color w:val="auto"/>
        </w:rPr>
      </w:pPr>
    </w:p>
    <w:p>
      <w:pPr>
        <w:jc w:val="both"/>
        <w:ind w:left="1184" w:hanging="644"/>
        <w:spacing w:after="0" w:line="311" w:lineRule="auto"/>
        <w:tabs>
          <w:tab w:leader="none" w:pos="1184" w:val="left"/>
        </w:tabs>
        <w:numPr>
          <w:ilvl w:val="0"/>
          <w:numId w:val="320"/>
        </w:numPr>
        <w:rPr>
          <w:rFonts w:ascii="Arial" w:cs="Arial" w:eastAsia="Arial" w:hAnsi="Arial"/>
          <w:sz w:val="16"/>
          <w:szCs w:val="16"/>
          <w:color w:val="auto"/>
        </w:rPr>
      </w:pPr>
      <w:r>
        <w:rPr>
          <w:rFonts w:ascii="Arial" w:cs="Arial" w:eastAsia="Arial" w:hAnsi="Arial"/>
          <w:sz w:val="16"/>
          <w:szCs w:val="16"/>
          <w:color w:val="auto"/>
        </w:rPr>
        <w:t>entry into any acquisition, whether in one or more series of transactions and irrespective of how such acquisition is structured, including by merger, exchange or transfer, by the Company or any of its Subsidiaries, if such transaction has a value of at least one million United States dollars (USD 1,000,000), or such higher or lower amount as determined by the Board and recorded in writing;</w:t>
      </w:r>
    </w:p>
    <w:p>
      <w:pPr>
        <w:spacing w:after="0" w:line="54" w:lineRule="exact"/>
        <w:rPr>
          <w:rFonts w:ascii="Arial" w:cs="Arial" w:eastAsia="Arial" w:hAnsi="Arial"/>
          <w:sz w:val="16"/>
          <w:szCs w:val="16"/>
          <w:color w:val="auto"/>
        </w:rPr>
      </w:pPr>
    </w:p>
    <w:p>
      <w:pPr>
        <w:ind w:left="1184" w:right="40" w:hanging="644"/>
        <w:spacing w:after="0" w:line="263" w:lineRule="auto"/>
        <w:tabs>
          <w:tab w:leader="none" w:pos="11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entry into any agreement other than as referred to above by the Company or a Subsidiary of the Company the interest or value of which to the Company or the Subsidiary of the Company amounts to at least one million United States dollars (USD 1,000,000), or such higher or lower amount as determined by the Board and recorded in writing;</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dissolution or liquidation or a similar transaction involving the Company or a material Subsidiary of the Company;</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20"/>
        </w:numPr>
        <w:rPr>
          <w:rFonts w:ascii="Arial" w:cs="Arial" w:eastAsia="Arial" w:hAnsi="Arial"/>
          <w:sz w:val="16"/>
          <w:szCs w:val="16"/>
          <w:color w:val="auto"/>
        </w:rPr>
      </w:pPr>
      <w:r>
        <w:rPr>
          <w:rFonts w:ascii="Arial" w:cs="Arial" w:eastAsia="Arial" w:hAnsi="Arial"/>
          <w:sz w:val="16"/>
          <w:szCs w:val="16"/>
          <w:color w:val="auto"/>
        </w:rPr>
        <w:t>issue, sale, exchange, redemption, cancellation or purchase of Shares or shares in the share capital of any Subsidiary of the Company;</w:t>
      </w:r>
    </w:p>
    <w:p>
      <w:pPr>
        <w:spacing w:after="0" w:line="153" w:lineRule="exact"/>
        <w:rPr>
          <w:rFonts w:ascii="Arial" w:cs="Arial" w:eastAsia="Arial" w:hAnsi="Arial"/>
          <w:sz w:val="16"/>
          <w:szCs w:val="16"/>
          <w:color w:val="auto"/>
        </w:rPr>
      </w:pPr>
    </w:p>
    <w:p>
      <w:pPr>
        <w:ind w:left="1184" w:hanging="644"/>
        <w:spacing w:after="0"/>
        <w:tabs>
          <w:tab w:leader="none" w:pos="11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declaration of any distributions with respect to the Shares;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increasing or decreasing the monetary thresholds set out in this Article 21.2;</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such other resolutions as specified in writing from time to time by the majority of the Non-Executive Directors.</w:t>
      </w:r>
    </w:p>
    <w:p>
      <w:pPr>
        <w:spacing w:after="0" w:line="131" w:lineRule="exact"/>
        <w:rPr>
          <w:sz w:val="20"/>
          <w:szCs w:val="20"/>
          <w:color w:val="auto"/>
        </w:rPr>
      </w:pPr>
    </w:p>
    <w:p>
      <w:pPr>
        <w:ind w:left="544" w:right="100" w:hanging="539"/>
        <w:spacing w:after="0" w:line="263" w:lineRule="auto"/>
        <w:tabs>
          <w:tab w:leader="none" w:pos="524" w:val="left"/>
        </w:tabs>
        <w:rPr>
          <w:sz w:val="20"/>
          <w:szCs w:val="20"/>
          <w:color w:val="auto"/>
        </w:rPr>
      </w:pPr>
      <w:r>
        <w:rPr>
          <w:rFonts w:ascii="Arial" w:cs="Arial" w:eastAsia="Arial" w:hAnsi="Arial"/>
          <w:sz w:val="18"/>
          <w:szCs w:val="18"/>
          <w:color w:val="auto"/>
        </w:rPr>
        <w:t>21.3</w:t>
        <w:tab/>
        <w:t>The absence of the approval of the General Meeting of a resolution as referred to in Article 21.1 or of the approval of the majority of the Non-Executive Directors of a resolution as referred to in Article 21.2 shall not affect the power of the Board or Executive Directors to represent the Company.</w:t>
      </w:r>
    </w:p>
    <w:p>
      <w:pPr>
        <w:spacing w:after="0" w:line="328" w:lineRule="exact"/>
        <w:rPr>
          <w:sz w:val="20"/>
          <w:szCs w:val="20"/>
          <w:color w:val="auto"/>
        </w:rPr>
      </w:pPr>
    </w:p>
    <w:p>
      <w:pPr>
        <w:ind w:left="544" w:hanging="544"/>
        <w:spacing w:after="0"/>
        <w:tabs>
          <w:tab w:leader="none" w:pos="544"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Committee</w:t>
      </w:r>
    </w:p>
    <w:p>
      <w:pPr>
        <w:spacing w:after="0" w:line="135"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22.1</w:t>
        <w:tab/>
        <w:t>The Company shall have an Executive Committee. The Executive Committee shall consist of all Executive Directors and such number of other Executive Officers as the Board may determine.</w:t>
      </w:r>
    </w:p>
    <w:p>
      <w:pPr>
        <w:spacing w:after="0" w:line="76" w:lineRule="exact"/>
        <w:rPr>
          <w:sz w:val="20"/>
          <w:szCs w:val="20"/>
          <w:color w:val="auto"/>
        </w:rPr>
      </w:pPr>
    </w:p>
    <w:p>
      <w:pPr>
        <w:ind w:left="544" w:right="720" w:hanging="539"/>
        <w:spacing w:after="0" w:line="277" w:lineRule="auto"/>
        <w:tabs>
          <w:tab w:leader="none" w:pos="524" w:val="left"/>
        </w:tabs>
        <w:rPr>
          <w:sz w:val="20"/>
          <w:szCs w:val="20"/>
          <w:color w:val="auto"/>
        </w:rPr>
      </w:pPr>
      <w:r>
        <w:rPr>
          <w:rFonts w:ascii="Arial" w:cs="Arial" w:eastAsia="Arial" w:hAnsi="Arial"/>
          <w:sz w:val="18"/>
          <w:szCs w:val="18"/>
          <w:color w:val="auto"/>
        </w:rPr>
        <w:t>22.2</w:t>
        <w:tab/>
        <w:t>Executive Officers who are not Executive Directors shall be appointed by the Board. The Board may at any time suspend or dismiss an Executive Officer who is not an Executive Director.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4"/>
          </w:cols>
          <w:pgMar w:left="436" w:top="274" w:right="479" w:bottom="1440" w:gutter="0" w:footer="0" w:header="0"/>
        </w:sectPr>
      </w:pPr>
    </w:p>
    <w:bookmarkStart w:id="401" w:name="page402"/>
    <w:bookmarkEnd w:id="401"/>
    <w:p>
      <w:pPr>
        <w:ind w:left="544" w:right="40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22.3</w:t>
        <w:tab/>
        <w:t>Dismissal of an Executive Officer who is not an Executive Director shall not cause the termination of an employment agreement or similar agreement between the Company or a Group Company and the Executive Officer.</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The Executive Committee shall be charged with the matters concerning the day-to-day management of the Company determined by the Board.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The Board may adopt rules with respect to the matters concerning the Executive Committee.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The Board may, whether or not by rule, determine the duties with which each Executive Officer will be particularly charged.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The Board may grant a title to each Executive Officer who is not an Executive Director.</w:t>
      </w:r>
    </w:p>
    <w:p>
      <w:pPr>
        <w:spacing w:after="0" w:line="370" w:lineRule="exact"/>
        <w:rPr>
          <w:sz w:val="20"/>
          <w:szCs w:val="20"/>
          <w:color w:val="auto"/>
        </w:rPr>
      </w:pPr>
    </w:p>
    <w:p>
      <w:pPr>
        <w:ind w:left="544" w:hanging="544"/>
        <w:spacing w:after="0"/>
        <w:tabs>
          <w:tab w:leader="none" w:pos="544"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w:t>
      </w:r>
    </w:p>
    <w:p>
      <w:pPr>
        <w:spacing w:after="0" w:line="135" w:lineRule="exact"/>
        <w:rPr>
          <w:sz w:val="20"/>
          <w:szCs w:val="20"/>
          <w:color w:val="auto"/>
        </w:rPr>
      </w:pPr>
    </w:p>
    <w:p>
      <w:pPr>
        <w:ind w:left="544" w:right="280" w:hanging="539"/>
        <w:spacing w:after="0" w:line="277" w:lineRule="auto"/>
        <w:tabs>
          <w:tab w:leader="none" w:pos="524" w:val="left"/>
        </w:tabs>
        <w:rPr>
          <w:sz w:val="20"/>
          <w:szCs w:val="20"/>
          <w:color w:val="auto"/>
        </w:rPr>
      </w:pPr>
      <w:r>
        <w:rPr>
          <w:rFonts w:ascii="Arial" w:cs="Arial" w:eastAsia="Arial" w:hAnsi="Arial"/>
          <w:sz w:val="18"/>
          <w:szCs w:val="18"/>
          <w:color w:val="auto"/>
        </w:rPr>
        <w:t>23.1</w:t>
        <w:tab/>
        <w:t>The Board shall have the power to represent the Company. The power to represent the Company shall, in addition to the power of the Board, only be vested in two Executive Officers acting jointly.</w:t>
      </w:r>
    </w:p>
    <w:p>
      <w:pPr>
        <w:spacing w:after="0" w:line="76" w:lineRule="exact"/>
        <w:rPr>
          <w:sz w:val="20"/>
          <w:szCs w:val="20"/>
          <w:color w:val="auto"/>
        </w:rPr>
      </w:pPr>
    </w:p>
    <w:p>
      <w:pPr>
        <w:ind w:left="544" w:right="20" w:hanging="539"/>
        <w:spacing w:after="0" w:line="342" w:lineRule="auto"/>
        <w:tabs>
          <w:tab w:leader="none" w:pos="524"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The Board may appoint one or more officers with general or restricted power to represent the Company on a continuing basis. Each officer shall represent the Company with due observance of the restrictions imposed on him or her. The Board may grant a title to such officers.</w:t>
      </w:r>
    </w:p>
    <w:p>
      <w:pPr>
        <w:spacing w:after="0" w:line="268" w:lineRule="exact"/>
        <w:rPr>
          <w:sz w:val="20"/>
          <w:szCs w:val="20"/>
          <w:color w:val="auto"/>
        </w:rPr>
      </w:pPr>
    </w:p>
    <w:p>
      <w:pPr>
        <w:ind w:left="544" w:hanging="544"/>
        <w:spacing w:after="0"/>
        <w:tabs>
          <w:tab w:leader="none" w:pos="544"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Failing or prevention from acting of Directors</w:t>
      </w:r>
    </w:p>
    <w:p>
      <w:pPr>
        <w:spacing w:after="0" w:line="135" w:lineRule="exact"/>
        <w:rPr>
          <w:sz w:val="20"/>
          <w:szCs w:val="20"/>
          <w:color w:val="auto"/>
        </w:rPr>
      </w:pPr>
    </w:p>
    <w:p>
      <w:pPr>
        <w:ind w:left="544" w:right="260" w:hanging="539"/>
        <w:spacing w:after="0" w:line="296" w:lineRule="auto"/>
        <w:tabs>
          <w:tab w:leader="none" w:pos="524"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In the event that one or more Executive Directors are failing or are prevented from acting, the remaining Executive Directors or the only remaining Executive Director shall temporarily be in charge of the day-to-day management of the Company; in such case the Non-Executive Directors shall be authorised to designate one or more temporary Executive Directors. In the event that all Executive Directors or the only Executive Director is failing or is prevented from acting, the Non-Executive Directors shall temporarily be in charge of the day-to-day management of the Company, unless the Non-Executive Directors designate one or more temporary Executive Directors.</w:t>
      </w:r>
    </w:p>
    <w:p>
      <w:pPr>
        <w:spacing w:after="0" w:line="67"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24.2</w:t>
        <w:tab/>
        <w:t>In the event that one or more Non-Executive Directors are failing or are prevented from acting, the remaining Non-Executive Directors or the only remaining Non-Executive Director shall temporarily exercise the duties and powers conferred upon the Non-Executive Directors by law or these Articles of Association; in such case the remaining Non-Executive Directors or the only remaining Non-Executive Director shall be authorised to designate one or more temporary Non-Executive Directors. In the event that all Non-Executive Directors or the only Non-Executive Directors is failing or is prevented from acting, these duties and powers shall temporarily be exercised by one or more persons to be designated for that purpose by the General Meeting.</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4"/>
          </w:cols>
          <w:pgMar w:left="436" w:top="274" w:right="519" w:bottom="1440" w:gutter="0" w:footer="0" w:header="0"/>
        </w:sectPr>
      </w:pPr>
    </w:p>
    <w:bookmarkStart w:id="402" w:name="page403"/>
    <w:bookmarkEnd w:id="402"/>
    <w:p>
      <w:pPr>
        <w:ind w:left="544" w:hanging="544"/>
        <w:spacing w:after="0"/>
        <w:tabs>
          <w:tab w:leader="none" w:pos="544"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 of Executive Officers and Non-Executive Directors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To the fullest extent permitted by Dutch law, the following shall be reimbursed to the Indemnitees:</w:t>
      </w:r>
    </w:p>
    <w:p>
      <w:pPr>
        <w:spacing w:after="0" w:line="131" w:lineRule="exact"/>
        <w:rPr>
          <w:sz w:val="20"/>
          <w:szCs w:val="20"/>
          <w:color w:val="auto"/>
        </w:rPr>
      </w:pPr>
    </w:p>
    <w:p>
      <w:pPr>
        <w:ind w:left="1184" w:right="100" w:hanging="644"/>
        <w:spacing w:after="0" w:line="263" w:lineRule="auto"/>
        <w:tabs>
          <w:tab w:leader="none" w:pos="118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costs of conducting a defence against claims, also including claims by the Company and its Group Companies, as a consequence of any acts or omissions in the fulfilment of their duties or any other duties currently or previously performed by them at the Company’s request;</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damages or financial penalties payable by them as a result of any such acts or omissions;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25"/>
        </w:numPr>
        <w:rPr>
          <w:rFonts w:ascii="Arial" w:cs="Arial" w:eastAsia="Arial" w:hAnsi="Arial"/>
          <w:sz w:val="17"/>
          <w:szCs w:val="17"/>
          <w:color w:val="auto"/>
        </w:rPr>
      </w:pPr>
      <w:r>
        <w:rPr>
          <w:rFonts w:ascii="Arial" w:cs="Arial" w:eastAsia="Arial" w:hAnsi="Arial"/>
          <w:sz w:val="17"/>
          <w:szCs w:val="17"/>
          <w:color w:val="auto"/>
        </w:rPr>
        <w:t>any amounts payable by them under settlement agreements entered into by them in connection with any such acts or omissions;</w:t>
      </w:r>
    </w:p>
    <w:p>
      <w:pPr>
        <w:spacing w:after="0" w:line="142" w:lineRule="exact"/>
        <w:rPr>
          <w:rFonts w:ascii="Arial" w:cs="Arial" w:eastAsia="Arial" w:hAnsi="Arial"/>
          <w:sz w:val="17"/>
          <w:szCs w:val="17"/>
          <w:color w:val="auto"/>
        </w:rPr>
      </w:pPr>
    </w:p>
    <w:p>
      <w:pPr>
        <w:ind w:left="1184" w:right="140" w:hanging="644"/>
        <w:spacing w:after="0" w:line="263" w:lineRule="auto"/>
        <w:tabs>
          <w:tab w:leader="none" w:pos="118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costs of appearing in other legal proceedings in which they are involved as Executive Officers, Non-Executive Directors, former Executive Officers or former Non-Executive Directors, with the exception of proceedings primarily aimed at pursuing a claim on their own behalf;</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taxes payable by them as a result of any reimbursements in accordance with this Article 25.1.</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An Indemnitee shall not be entitled to reimbursement as referred to in Article 25.1 if and to the extent that:</w:t>
      </w:r>
    </w:p>
    <w:p>
      <w:pPr>
        <w:spacing w:after="0" w:line="131" w:lineRule="exact"/>
        <w:rPr>
          <w:sz w:val="20"/>
          <w:szCs w:val="20"/>
          <w:color w:val="auto"/>
        </w:rPr>
      </w:pPr>
    </w:p>
    <w:p>
      <w:pPr>
        <w:ind w:left="1184" w:right="260" w:hanging="644"/>
        <w:spacing w:after="0" w:line="259" w:lineRule="auto"/>
        <w:tabs>
          <w:tab w:leader="none" w:pos="118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it has been adjudicated by a Dutch court or, in the case of arbitration, an arbitrator, in a final and conclusive decision that the act or omission of the Indemnitee may be characterised as intentional, deliberately reckless or grossly negligent conduct, unless Dutch law provides otherwise or this would, in view of the circumstances of the case, be unacceptable according to standards of reasonableness and fairness; or</w:t>
      </w:r>
    </w:p>
    <w:p>
      <w:pPr>
        <w:spacing w:after="0" w:line="92" w:lineRule="exact"/>
        <w:rPr>
          <w:rFonts w:ascii="Arial" w:cs="Arial" w:eastAsia="Arial" w:hAnsi="Arial"/>
          <w:sz w:val="18"/>
          <w:szCs w:val="18"/>
          <w:color w:val="auto"/>
        </w:rPr>
      </w:pPr>
    </w:p>
    <w:p>
      <w:pPr>
        <w:ind w:left="1184" w:hanging="644"/>
        <w:spacing w:after="0"/>
        <w:tabs>
          <w:tab w:leader="none" w:pos="1184" w:val="left"/>
        </w:tabs>
        <w:numPr>
          <w:ilvl w:val="0"/>
          <w:numId w:val="326"/>
        </w:numPr>
        <w:rPr>
          <w:rFonts w:ascii="Arial" w:cs="Arial" w:eastAsia="Arial" w:hAnsi="Arial"/>
          <w:sz w:val="17"/>
          <w:szCs w:val="17"/>
          <w:color w:val="auto"/>
        </w:rPr>
      </w:pPr>
      <w:r>
        <w:rPr>
          <w:rFonts w:ascii="Arial" w:cs="Arial" w:eastAsia="Arial" w:hAnsi="Arial"/>
          <w:sz w:val="17"/>
          <w:szCs w:val="17"/>
          <w:color w:val="auto"/>
        </w:rPr>
        <w:t>the costs or financial loss of the Indemnitee are covered by an insurance and the insurer has paid out the costs or financial loss.</w:t>
      </w:r>
    </w:p>
    <w:p>
      <w:pPr>
        <w:spacing w:after="0" w:line="142" w:lineRule="exact"/>
        <w:rPr>
          <w:sz w:val="20"/>
          <w:szCs w:val="20"/>
          <w:color w:val="auto"/>
        </w:rPr>
      </w:pPr>
    </w:p>
    <w:p>
      <w:pPr>
        <w:ind w:left="544" w:hanging="539"/>
        <w:spacing w:after="0" w:line="255" w:lineRule="auto"/>
        <w:tabs>
          <w:tab w:leader="none" w:pos="524" w:val="left"/>
        </w:tabs>
        <w:rPr>
          <w:sz w:val="20"/>
          <w:szCs w:val="20"/>
          <w:color w:val="auto"/>
        </w:rPr>
      </w:pPr>
      <w:r>
        <w:rPr>
          <w:rFonts w:ascii="Arial" w:cs="Arial" w:eastAsia="Arial" w:hAnsi="Arial"/>
          <w:sz w:val="18"/>
          <w:szCs w:val="18"/>
          <w:color w:val="auto"/>
        </w:rPr>
        <w:t>25.3</w:t>
        <w:tab/>
        <w:t>If and to the extent that it has been adjudicated by a Dutch court or, in the case of arbitration, an arbitrator, in a final and conclusive decision that the act or omission of the Indemnitee may be characterised as intentional, deliberately reckless or grossly negligent conduct or that the Indemnitee is otherwise not entitled to reimbursement as referred to in Article 25.1, he or she shall immediately repay the amount reimbursed by the Company. The Company may request that the Indemnitee provides appropriate security for his repayment obligation. The Company may take out liability insurance for the benefit of Executive Officers, Non-Executive Directors, former Executive Officers and former Non-Executive Directors.</w:t>
      </w:r>
    </w:p>
    <w:p>
      <w:pPr>
        <w:spacing w:after="0" w:line="9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color w:val="auto"/>
        </w:rPr>
        <w:t>The Company may, by agreement or otherwise, give further implementation to Articles 25.1 up to and including 25.3.</w:t>
      </w:r>
    </w:p>
    <w:p>
      <w:pPr>
        <w:spacing w:after="0" w:line="131" w:lineRule="exact"/>
        <w:rPr>
          <w:sz w:val="20"/>
          <w:szCs w:val="20"/>
          <w:color w:val="auto"/>
        </w:rPr>
      </w:pPr>
    </w:p>
    <w:p>
      <w:pPr>
        <w:ind w:left="544" w:right="660" w:hanging="539"/>
        <w:spacing w:after="0" w:line="277" w:lineRule="auto"/>
        <w:tabs>
          <w:tab w:leader="none" w:pos="524" w:val="left"/>
        </w:tabs>
        <w:rPr>
          <w:sz w:val="20"/>
          <w:szCs w:val="20"/>
          <w:color w:val="auto"/>
        </w:rPr>
      </w:pPr>
      <w:r>
        <w:rPr>
          <w:rFonts w:ascii="Arial" w:cs="Arial" w:eastAsia="Arial" w:hAnsi="Arial"/>
          <w:sz w:val="18"/>
          <w:szCs w:val="18"/>
          <w:color w:val="auto"/>
        </w:rPr>
        <w:t>25.5</w:t>
        <w:tab/>
        <w:t>Where this Article 25 would limit any contractual entitlement of any Indemnitees to indemnification or reimbursement, such contractual entitlement shall prevail.</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270" w:right="459" w:bottom="1440" w:gutter="0" w:footer="0" w:header="0"/>
        </w:sectPr>
      </w:pPr>
    </w:p>
    <w:bookmarkStart w:id="403" w:name="page404"/>
    <w:bookmarkEnd w:id="403"/>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25.6</w:t>
        <w:tab/>
        <w:t>Amendment of this Article 25 may not prejudice the entitlement of any Indemnitees to reimbursement as referred to in Article 25.1 as a result of acts or omissions in the period during which that Article was in force.</w:t>
      </w:r>
    </w:p>
    <w:p>
      <w:pPr>
        <w:spacing w:after="0" w:line="315" w:lineRule="exact"/>
        <w:rPr>
          <w:sz w:val="20"/>
          <w:szCs w:val="20"/>
          <w:color w:val="auto"/>
        </w:rPr>
      </w:pPr>
    </w:p>
    <w:p>
      <w:pPr>
        <w:ind w:left="544" w:hanging="544"/>
        <w:spacing w:after="0"/>
        <w:tabs>
          <w:tab w:leader="none" w:pos="544"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135" w:lineRule="exact"/>
        <w:rPr>
          <w:sz w:val="20"/>
          <w:szCs w:val="20"/>
          <w:color w:val="auto"/>
        </w:rPr>
      </w:pPr>
    </w:p>
    <w:p>
      <w:pPr>
        <w:ind w:left="544" w:right="520" w:hanging="539"/>
        <w:spacing w:after="0" w:line="277" w:lineRule="auto"/>
        <w:tabs>
          <w:tab w:leader="none" w:pos="524" w:val="left"/>
        </w:tabs>
        <w:rPr>
          <w:sz w:val="20"/>
          <w:szCs w:val="20"/>
          <w:color w:val="auto"/>
        </w:rPr>
      </w:pPr>
      <w:r>
        <w:rPr>
          <w:rFonts w:ascii="Arial" w:cs="Arial" w:eastAsia="Arial" w:hAnsi="Arial"/>
          <w:sz w:val="18"/>
          <w:szCs w:val="18"/>
          <w:color w:val="auto"/>
        </w:rPr>
        <w:t>26.1</w:t>
        <w:tab/>
        <w:t>Annually, within six months of the end of the financial year, a General Meeting shall be held. The notice for this meeting shall in any case mention the following matters:</w:t>
      </w:r>
    </w:p>
    <w:p>
      <w:pPr>
        <w:spacing w:after="0" w:line="76" w:lineRule="exact"/>
        <w:rPr>
          <w:sz w:val="20"/>
          <w:szCs w:val="20"/>
          <w:color w:val="auto"/>
        </w:rPr>
      </w:pPr>
    </w:p>
    <w:p>
      <w:pPr>
        <w:ind w:left="1184" w:right="100" w:hanging="644"/>
        <w:spacing w:after="0" w:line="277" w:lineRule="auto"/>
        <w:tabs>
          <w:tab w:leader="none" w:pos="118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consideration of the Annual Accounts, the Management Report and the information, referred to in section 2:392 subsection 1 of the Dutch Civil Code, insofar as that provision applies to the Company;</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adoption of the Annual Accounts;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allocation of the profits or the determination how a loss will be accounted for.</w:t>
      </w:r>
    </w:p>
    <w:p>
      <w:pPr>
        <w:spacing w:after="0" w:line="117" w:lineRule="exact"/>
        <w:rPr>
          <w:sz w:val="20"/>
          <w:szCs w:val="20"/>
          <w:color w:val="auto"/>
        </w:rPr>
      </w:pPr>
    </w:p>
    <w:p>
      <w:pPr>
        <w:ind w:left="544" w:right="80"/>
        <w:spacing w:after="0" w:line="277" w:lineRule="auto"/>
        <w:rPr>
          <w:sz w:val="20"/>
          <w:szCs w:val="20"/>
          <w:color w:val="auto"/>
        </w:rPr>
      </w:pPr>
      <w:r>
        <w:rPr>
          <w:rFonts w:ascii="Arial" w:cs="Arial" w:eastAsia="Arial" w:hAnsi="Arial"/>
          <w:sz w:val="18"/>
          <w:szCs w:val="18"/>
          <w:color w:val="auto"/>
        </w:rPr>
        <w:t>These items need not be mentioned in the notice of meeting if the period for preparing the Annual Accounts and for presenting the Management Report has been extended by the General Meeting or if the notice of meeting mentions a proposal to that effect.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The Board shall be authorised to convene a General Meeting.</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26.3</w:t>
        <w:tab/>
        <w:t>A General Meeting shall be convened whenever the Board considers appropriate, without prejudice to sections 2:110 up to including 2:112 of the Dutch Civil Code.</w:t>
      </w:r>
    </w:p>
    <w:p>
      <w:pPr>
        <w:spacing w:after="0" w:line="315" w:lineRule="exact"/>
        <w:rPr>
          <w:sz w:val="20"/>
          <w:szCs w:val="20"/>
          <w:color w:val="auto"/>
        </w:rPr>
      </w:pPr>
    </w:p>
    <w:p>
      <w:pPr>
        <w:ind w:left="544" w:hanging="544"/>
        <w:spacing w:after="0"/>
        <w:tabs>
          <w:tab w:leader="none" w:pos="544"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Venue, notice and agenda of the General Meetings</w:t>
      </w:r>
    </w:p>
    <w:p>
      <w:pPr>
        <w:spacing w:after="0" w:line="135" w:lineRule="exact"/>
        <w:rPr>
          <w:sz w:val="20"/>
          <w:szCs w:val="20"/>
          <w:color w:val="auto"/>
        </w:rPr>
      </w:pPr>
    </w:p>
    <w:p>
      <w:pPr>
        <w:ind w:left="544" w:right="460" w:hanging="539"/>
        <w:spacing w:after="0" w:line="277" w:lineRule="auto"/>
        <w:tabs>
          <w:tab w:leader="none" w:pos="524" w:val="left"/>
        </w:tabs>
        <w:rPr>
          <w:sz w:val="20"/>
          <w:szCs w:val="20"/>
          <w:color w:val="auto"/>
        </w:rPr>
      </w:pPr>
      <w:r>
        <w:rPr>
          <w:rFonts w:ascii="Arial" w:cs="Arial" w:eastAsia="Arial" w:hAnsi="Arial"/>
          <w:sz w:val="18"/>
          <w:szCs w:val="18"/>
          <w:color w:val="auto"/>
        </w:rPr>
        <w:t>27.1</w:t>
        <w:tab/>
        <w:t>General Meetings shall be held in the Netherlands, in Amsterdam, Rotterdam, The Hague, Arnhem, Utrecht or Haarlemmermeer (Schiphol Airport).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color w:val="auto"/>
        </w:rPr>
        <w:t>Notice of a General Meeting shall be given by the Board or a Director.</w:t>
      </w:r>
    </w:p>
    <w:p>
      <w:pPr>
        <w:spacing w:after="0" w:line="131" w:lineRule="exact"/>
        <w:rPr>
          <w:sz w:val="20"/>
          <w:szCs w:val="20"/>
          <w:color w:val="auto"/>
        </w:rPr>
      </w:pPr>
    </w:p>
    <w:p>
      <w:pPr>
        <w:ind w:left="544" w:right="300" w:hanging="539"/>
        <w:spacing w:after="0" w:line="342" w:lineRule="auto"/>
        <w:tabs>
          <w:tab w:leader="none" w:pos="524"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color w:val="auto"/>
        </w:rPr>
        <w:t>Notice of a General Meeting shall be given by means of an announcement made by electronic means of communication which is directly and permanently accessible until the General Meeting and with due observance of the applicable law and stock exchange rules.</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6"/>
          <w:szCs w:val="16"/>
          <w:color w:val="auto"/>
        </w:rPr>
        <w:t>The notice of a General Meeting shall mention:</w:t>
      </w:r>
    </w:p>
    <w:p>
      <w:pPr>
        <w:spacing w:after="0" w:line="131" w:lineRule="exact"/>
        <w:rPr>
          <w:sz w:val="20"/>
          <w:szCs w:val="20"/>
          <w:color w:val="auto"/>
        </w:rPr>
      </w:pPr>
    </w:p>
    <w:p>
      <w:pPr>
        <w:ind w:left="1184" w:hanging="644"/>
        <w:spacing w:after="0"/>
        <w:tabs>
          <w:tab w:leader="none" w:pos="118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matters to be discussed;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place and time of the meeting;</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procedure for attending the meeting by a proxy authorised in writing; and</w:t>
      </w:r>
    </w:p>
    <w:p>
      <w:pPr>
        <w:spacing w:after="0" w:line="130" w:lineRule="exact"/>
        <w:rPr>
          <w:rFonts w:ascii="Arial" w:cs="Arial" w:eastAsia="Arial" w:hAnsi="Arial"/>
          <w:sz w:val="18"/>
          <w:szCs w:val="18"/>
          <w:color w:val="auto"/>
        </w:rPr>
      </w:pPr>
    </w:p>
    <w:p>
      <w:pPr>
        <w:ind w:left="1184" w:right="320" w:hanging="644"/>
        <w:spacing w:after="0" w:line="277" w:lineRule="auto"/>
        <w:tabs>
          <w:tab w:leader="none" w:pos="118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procedure for attending the meeting and the exercise of the voting rights by any means of electronic communication in the event such right can be exercised in accordance with Article 30.2.</w:t>
      </w:r>
    </w:p>
    <w:p>
      <w:pPr>
        <w:spacing w:after="0" w:line="76"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27.5</w:t>
        <w:tab/>
        <w:t>Notifications which pursuant to the law or these Articles of Association are to be addressed to the General Meeting may be included in the notice of meeting and, where applicable, in the document that has been made available at the offices of the Company for inspection, provided that this is mentioned in the notice.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404" w:name="page405"/>
    <w:bookmarkEnd w:id="404"/>
    <w:p>
      <w:pPr>
        <w:ind w:left="544" w:right="80" w:hanging="539"/>
        <w:spacing w:after="0" w:line="301"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27.6</w:t>
      </w:r>
      <w:r>
        <w:rPr>
          <w:sz w:val="20"/>
          <w:szCs w:val="20"/>
          <w:color w:val="auto"/>
        </w:rPr>
        <w:tab/>
      </w:r>
      <w:r>
        <w:rPr>
          <w:rFonts w:ascii="Arial" w:cs="Arial" w:eastAsia="Arial" w:hAnsi="Arial"/>
          <w:sz w:val="16"/>
          <w:szCs w:val="16"/>
          <w:color w:val="auto"/>
        </w:rPr>
        <w:t>A matter of which discussion has been requested in writing by one or more Persons with Meeting Rights who are so entitled pursuant to section 2:114a subsection 2 of the Dutch Civil Code shall be mentioned in the notice of meeting or announced in the same manner if the Company has received the request, including the reasons, or a proposal for a resolution no later than on the date specified in section 2:114a subsection 2 of the Dutch Civil Code. The requirement of written form for the request shall be met if the request has been recorded electronically.</w:t>
      </w:r>
    </w:p>
    <w:p>
      <w:pPr>
        <w:spacing w:after="0" w:line="6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27.7</w:t>
      </w:r>
      <w:r>
        <w:rPr>
          <w:sz w:val="20"/>
          <w:szCs w:val="20"/>
          <w:color w:val="auto"/>
        </w:rPr>
        <w:tab/>
      </w:r>
      <w:r>
        <w:rPr>
          <w:rFonts w:ascii="Arial" w:cs="Arial" w:eastAsia="Arial" w:hAnsi="Arial"/>
          <w:sz w:val="16"/>
          <w:szCs w:val="16"/>
          <w:color w:val="auto"/>
        </w:rPr>
        <w:t>Notice shall be given with due observance of the notice period prescribed by applicable law.</w:t>
      </w:r>
    </w:p>
    <w:p>
      <w:pPr>
        <w:spacing w:after="0" w:line="370" w:lineRule="exact"/>
        <w:rPr>
          <w:sz w:val="20"/>
          <w:szCs w:val="20"/>
          <w:color w:val="auto"/>
        </w:rPr>
      </w:pPr>
    </w:p>
    <w:p>
      <w:pPr>
        <w:ind w:left="544" w:hanging="544"/>
        <w:spacing w:after="0"/>
        <w:tabs>
          <w:tab w:leader="none" w:pos="544"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Chairman and secretary of the General Meeting</w:t>
      </w:r>
    </w:p>
    <w:p>
      <w:pPr>
        <w:spacing w:after="0" w:line="121" w:lineRule="exact"/>
        <w:rPr>
          <w:rFonts w:ascii="Arial" w:cs="Arial" w:eastAsia="Arial" w:hAnsi="Arial"/>
          <w:sz w:val="18"/>
          <w:szCs w:val="18"/>
          <w:b w:val="1"/>
          <w:bCs w:val="1"/>
          <w:color w:val="auto"/>
        </w:rPr>
      </w:pPr>
    </w:p>
    <w:p>
      <w:pPr>
        <w:ind w:left="544" w:right="3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General Meeting shall be presided over by the chairman of the Board, who, nevertheless, may charge another person to preside over the meeting in his or her place even if he or she is present at the meeting. If the chairman of the Board is absent and he has not charged another person to preside over the meeting in his or her place, the Directors present at the meeting shall appoint one of them to be chairman. In the absence of all Directors, the General Meeting shall appoint its chairman. The chairman shall designate the secretary of the General Meeting.</w:t>
      </w:r>
    </w:p>
    <w:p>
      <w:pPr>
        <w:spacing w:after="0" w:line="301" w:lineRule="exact"/>
        <w:rPr>
          <w:rFonts w:ascii="Arial" w:cs="Arial" w:eastAsia="Arial" w:hAnsi="Arial"/>
          <w:sz w:val="18"/>
          <w:szCs w:val="18"/>
          <w:b w:val="1"/>
          <w:bCs w:val="1"/>
          <w:color w:val="auto"/>
        </w:rPr>
      </w:pPr>
    </w:p>
    <w:p>
      <w:pPr>
        <w:ind w:left="544" w:hanging="544"/>
        <w:spacing w:after="0"/>
        <w:tabs>
          <w:tab w:leader="none" w:pos="544"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Minutes and recording of resolutions of the General Meeting</w:t>
      </w:r>
    </w:p>
    <w:p>
      <w:pPr>
        <w:spacing w:after="0" w:line="135" w:lineRule="exact"/>
        <w:rPr>
          <w:sz w:val="20"/>
          <w:szCs w:val="20"/>
          <w:color w:val="auto"/>
        </w:rPr>
      </w:pPr>
    </w:p>
    <w:p>
      <w:pPr>
        <w:ind w:left="544" w:right="280" w:hanging="539"/>
        <w:spacing w:after="0" w:line="263" w:lineRule="auto"/>
        <w:tabs>
          <w:tab w:leader="none" w:pos="524" w:val="left"/>
        </w:tabs>
        <w:rPr>
          <w:sz w:val="20"/>
          <w:szCs w:val="20"/>
          <w:color w:val="auto"/>
        </w:rPr>
      </w:pPr>
      <w:r>
        <w:rPr>
          <w:rFonts w:ascii="Arial" w:cs="Arial" w:eastAsia="Arial" w:hAnsi="Arial"/>
          <w:sz w:val="18"/>
          <w:szCs w:val="18"/>
          <w:color w:val="auto"/>
        </w:rPr>
        <w:t>29.1</w:t>
        <w:tab/>
        <w:t>The secretary of the General Meeting shall keep minutes of the proceedings at the meeting, unless a notarial record is prepared in accordance with Article 29.2. Minutes shall be adopted and in evidence of such adoption be signed by the chairman and the secretary of the General Meeting.</w:t>
      </w:r>
    </w:p>
    <w:p>
      <w:pPr>
        <w:spacing w:after="0" w:line="89"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29.2</w:t>
        <w:tab/>
        <w:t>The chairman of the General Meeting and each Director may at any time give instructions that a notarial record of the proceedings at the meeting be prepared at the expense of the Company.</w:t>
      </w:r>
    </w:p>
    <w:p>
      <w:pPr>
        <w:spacing w:after="0" w:line="76"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29.3</w:t>
        <w:tab/>
        <w:t>If the Board was not represented at the meeting, the chairman of the General Meeting shall as soon as possible notify the chairman of the Board of the adopted resolutions.</w:t>
      </w:r>
    </w:p>
    <w:p>
      <w:pPr>
        <w:spacing w:after="0" w:line="76" w:lineRule="exact"/>
        <w:rPr>
          <w:sz w:val="20"/>
          <w:szCs w:val="20"/>
          <w:color w:val="auto"/>
        </w:rPr>
      </w:pPr>
    </w:p>
    <w:p>
      <w:pPr>
        <w:ind w:left="544" w:right="420" w:hanging="539"/>
        <w:spacing w:after="0" w:line="342" w:lineRule="auto"/>
        <w:tabs>
          <w:tab w:leader="none" w:pos="524"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6"/>
          <w:szCs w:val="16"/>
          <w:color w:val="auto"/>
        </w:rPr>
        <w:t>The Board shall keep a record of the adopted resolutions. The records shall be available at the offices of the Company for inspection by the Persons with Meeting Rights. Upon request, each of them shall be provided with a copy or extract of such records at no more than cost.</w:t>
      </w:r>
    </w:p>
    <w:p>
      <w:pPr>
        <w:spacing w:after="0" w:line="268" w:lineRule="exact"/>
        <w:rPr>
          <w:sz w:val="20"/>
          <w:szCs w:val="20"/>
          <w:color w:val="auto"/>
        </w:rPr>
      </w:pPr>
    </w:p>
    <w:p>
      <w:pPr>
        <w:ind w:left="544" w:hanging="544"/>
        <w:spacing w:after="0"/>
        <w:tabs>
          <w:tab w:leader="none" w:pos="544"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Rights at the General Meeting</w:t>
      </w:r>
    </w:p>
    <w:p>
      <w:pPr>
        <w:spacing w:after="0" w:line="135" w:lineRule="exact"/>
        <w:rPr>
          <w:sz w:val="20"/>
          <w:szCs w:val="20"/>
          <w:color w:val="auto"/>
        </w:rPr>
      </w:pPr>
    </w:p>
    <w:p>
      <w:pPr>
        <w:ind w:left="544" w:right="200" w:hanging="539"/>
        <w:spacing w:after="0" w:line="277" w:lineRule="auto"/>
        <w:tabs>
          <w:tab w:leader="none" w:pos="524" w:val="left"/>
        </w:tabs>
        <w:rPr>
          <w:sz w:val="20"/>
          <w:szCs w:val="20"/>
          <w:color w:val="auto"/>
        </w:rPr>
      </w:pPr>
      <w:r>
        <w:rPr>
          <w:rFonts w:ascii="Arial" w:cs="Arial" w:eastAsia="Arial" w:hAnsi="Arial"/>
          <w:sz w:val="18"/>
          <w:szCs w:val="18"/>
          <w:color w:val="auto"/>
        </w:rPr>
        <w:t>30.1</w:t>
        <w:tab/>
        <w:t>Each Person with Meeting Rights shall be authorised to attend the General Meeting, to address the General Meeting and to exercise the voting rights he or she is entitled to in person or by a proxy authorised in writing.</w:t>
      </w:r>
    </w:p>
    <w:p>
      <w:pPr>
        <w:spacing w:after="0" w:line="76" w:lineRule="exact"/>
        <w:rPr>
          <w:sz w:val="20"/>
          <w:szCs w:val="20"/>
          <w:color w:val="auto"/>
        </w:rPr>
      </w:pPr>
    </w:p>
    <w:p>
      <w:pPr>
        <w:ind w:left="544" w:hanging="539"/>
        <w:spacing w:after="0" w:line="286" w:lineRule="auto"/>
        <w:tabs>
          <w:tab w:leader="none" w:pos="524"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7"/>
          <w:szCs w:val="17"/>
          <w:color w:val="auto"/>
        </w:rPr>
        <w:t>Each Person with Meeting Rights shall be authorised to attend the General Meeting in person or by a proxy authorised in writing, to address the General Meeting and to exercise the voting rights he or she is entitled to by electronic means of communication, if this is mentioned in the notice of the meeting. To do so, the Person with Meeting Rights must be identifiable through the electronic means of</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4"/>
          </w:cols>
          <w:pgMar w:left="436" w:top="274" w:right="479" w:bottom="1440" w:gutter="0" w:footer="0" w:header="0"/>
        </w:sectPr>
      </w:pPr>
    </w:p>
    <w:bookmarkStart w:id="405" w:name="page406"/>
    <w:bookmarkEnd w:id="405"/>
    <w:p>
      <w:pPr>
        <w:jc w:val="both"/>
        <w:ind w:left="54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communication and be able to directly observe the proceedings at the meeting and to exercise the voting rights. A Person with Meeting Rights so attending shall be deemed to be present or represented at the meeting. The persons giving notice of the meeting may set conditions for the use of the electronic means of communication. These conditions shall be mentioned in the notice of the meeting.</w:t>
      </w:r>
    </w:p>
    <w:p>
      <w:pPr>
        <w:spacing w:after="0" w:line="7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30.3</w:t>
        <w:tab/>
        <w:t>For the purpose of Articles 30.1 and 30.2 the requirement of written form for the authorisation shall be met if the authorisation has been recorded electronically.</w:t>
      </w:r>
    </w:p>
    <w:p>
      <w:pPr>
        <w:spacing w:after="0" w:line="76" w:lineRule="exact"/>
        <w:rPr>
          <w:sz w:val="20"/>
          <w:szCs w:val="20"/>
          <w:color w:val="auto"/>
        </w:rPr>
      </w:pPr>
    </w:p>
    <w:p>
      <w:pPr>
        <w:ind w:left="544" w:right="120" w:hanging="539"/>
        <w:spacing w:after="0" w:line="275" w:lineRule="auto"/>
        <w:tabs>
          <w:tab w:leader="none" w:pos="524"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7"/>
          <w:szCs w:val="17"/>
          <w:color w:val="auto"/>
        </w:rPr>
        <w:t>For the purpose of Articles 30.1 and 30.2 the persons who on a record date to be set by the Board with due observance of section 2:119 subsection 2 of the Dutch Civil Code have the right to vote or attend the General Meeting and are registered as such in a register designated by the Board shall be deemed to have such rights and therefore be deemed to be Persons with Meeting Rights, irrespective of whom are entitled to the Shares at the time of the meeting. The notice of meeting shall mention the record date as well as the manner in which the persons entitled to vote and attend the General Meeting can register and the manner in which they can exercise their rights.</w:t>
      </w:r>
    </w:p>
    <w:p>
      <w:pPr>
        <w:spacing w:after="0" w:line="82" w:lineRule="exact"/>
        <w:rPr>
          <w:sz w:val="20"/>
          <w:szCs w:val="20"/>
          <w:color w:val="auto"/>
        </w:rPr>
      </w:pPr>
    </w:p>
    <w:p>
      <w:pPr>
        <w:ind w:left="544" w:right="160" w:hanging="539"/>
        <w:spacing w:after="0" w:line="296" w:lineRule="auto"/>
        <w:tabs>
          <w:tab w:leader="none" w:pos="524"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color w:val="auto"/>
        </w:rPr>
        <w:t>A Person with Meeting Rights who on the record date referred to in Article 30.4 has the right to vote or attend the General Meeting, or a proxy authorised in writing, will only be admitted to the meeting if the Person with Meeting Rights has informed the Board of his or her intention to attend the meeting and, if applicable, of the authorisation prior to the date to be set by the Board. Such date may not be set earlier than on the eighth day prior to the date of the meeting. The notice of meeting shall mention the date referred to in the preceding sentence. The Company shall offer the Person with Meeting Rights the possibility to inform the Company by electronic means of the authorisation.</w:t>
      </w:r>
    </w:p>
    <w:p>
      <w:pPr>
        <w:spacing w:after="0" w:line="67" w:lineRule="exact"/>
        <w:rPr>
          <w:sz w:val="20"/>
          <w:szCs w:val="20"/>
          <w:color w:val="auto"/>
        </w:rPr>
      </w:pPr>
    </w:p>
    <w:p>
      <w:pPr>
        <w:ind w:left="544" w:right="60" w:hanging="539"/>
        <w:spacing w:after="0" w:line="263" w:lineRule="auto"/>
        <w:tabs>
          <w:tab w:leader="none" w:pos="524" w:val="left"/>
        </w:tabs>
        <w:rPr>
          <w:sz w:val="20"/>
          <w:szCs w:val="20"/>
          <w:color w:val="auto"/>
        </w:rPr>
      </w:pPr>
      <w:r>
        <w:rPr>
          <w:rFonts w:ascii="Arial" w:cs="Arial" w:eastAsia="Arial" w:hAnsi="Arial"/>
          <w:sz w:val="18"/>
          <w:szCs w:val="18"/>
          <w:color w:val="auto"/>
        </w:rPr>
        <w:t>30.6</w:t>
        <w:tab/>
        <w:t>Each person present at the General Meeting who is entitled to vote must sign the attendance list, stating his or her name and the number of votes he or she may cast. The chairman of the meeting may determine that the attendance list must also be signed by other persons present at the meeting.</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6"/>
          <w:szCs w:val="16"/>
          <w:color w:val="auto"/>
        </w:rPr>
        <w:t>Directors shall as such have an advisory vote at the General Meeting.</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30.8</w:t>
      </w:r>
      <w:r>
        <w:rPr>
          <w:sz w:val="20"/>
          <w:szCs w:val="20"/>
          <w:color w:val="auto"/>
        </w:rPr>
        <w:tab/>
      </w:r>
      <w:r>
        <w:rPr>
          <w:rFonts w:ascii="Arial" w:cs="Arial" w:eastAsia="Arial" w:hAnsi="Arial"/>
          <w:sz w:val="16"/>
          <w:szCs w:val="16"/>
          <w:color w:val="auto"/>
        </w:rPr>
        <w:t>The chairman of the General Meeting shall decide on the admittance of other persons to the meeting.</w:t>
      </w:r>
    </w:p>
    <w:p>
      <w:pPr>
        <w:spacing w:after="0" w:line="370" w:lineRule="exact"/>
        <w:rPr>
          <w:sz w:val="20"/>
          <w:szCs w:val="20"/>
          <w:color w:val="auto"/>
        </w:rPr>
      </w:pPr>
    </w:p>
    <w:p>
      <w:pPr>
        <w:ind w:left="544" w:hanging="544"/>
        <w:spacing w:after="0"/>
        <w:tabs>
          <w:tab w:leader="none" w:pos="544"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Order of the General Meeting</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chairman of the General Meeting shall determine the order of the meeting.</w:t>
      </w:r>
    </w:p>
    <w:p>
      <w:pPr>
        <w:spacing w:after="0" w:line="131" w:lineRule="exact"/>
        <w:rPr>
          <w:sz w:val="20"/>
          <w:szCs w:val="20"/>
          <w:color w:val="auto"/>
        </w:rPr>
      </w:pPr>
    </w:p>
    <w:p>
      <w:pPr>
        <w:ind w:left="544" w:right="360" w:hanging="539"/>
        <w:spacing w:after="0" w:line="277" w:lineRule="auto"/>
        <w:tabs>
          <w:tab w:leader="none" w:pos="524" w:val="left"/>
        </w:tabs>
        <w:rPr>
          <w:sz w:val="20"/>
          <w:szCs w:val="20"/>
          <w:color w:val="auto"/>
        </w:rPr>
      </w:pPr>
      <w:r>
        <w:rPr>
          <w:rFonts w:ascii="Arial" w:cs="Arial" w:eastAsia="Arial" w:hAnsi="Arial"/>
          <w:sz w:val="18"/>
          <w:szCs w:val="18"/>
          <w:color w:val="auto"/>
        </w:rPr>
        <w:t>31.2</w:t>
        <w:tab/>
        <w:t>The chairman of the General Meeting may limit the time any person present at the meeting may address the meeting and may take any other measures as to ensure orderly proceedings at the meeting.</w:t>
      </w:r>
    </w:p>
    <w:p>
      <w:pPr>
        <w:spacing w:after="0" w:line="315" w:lineRule="exact"/>
        <w:rPr>
          <w:sz w:val="20"/>
          <w:szCs w:val="20"/>
          <w:color w:val="auto"/>
        </w:rPr>
      </w:pPr>
    </w:p>
    <w:p>
      <w:pPr>
        <w:ind w:left="544" w:hanging="544"/>
        <w:spacing w:after="0"/>
        <w:tabs>
          <w:tab w:leader="none" w:pos="544"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resolutions at the General Meeting</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Each Share confers the right to cast one vote. Blank votes and invalid votes shall be regarded as not having been cast.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4"/>
          </w:cols>
          <w:pgMar w:left="436" w:top="274" w:right="479" w:bottom="1440" w:gutter="0" w:footer="0" w:header="0"/>
        </w:sectPr>
      </w:pPr>
    </w:p>
    <w:bookmarkStart w:id="406" w:name="page407"/>
    <w:bookmarkEnd w:id="406"/>
    <w:p>
      <w:pPr>
        <w:ind w:left="544" w:right="40" w:hanging="539"/>
        <w:spacing w:after="0" w:line="254"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32.2</w:t>
        <w:tab/>
        <w:t>Upon convening a General Meeting, the Board may determine that votes which are cast prior to the meeting by electronic means of communication or by letter shall be put on par with votes which are cast at the time of the meeting. These votes shall not be cast earlier than on the record date set by the Board with due observance of section 2:117b subsection 3 of the Dutch Civil Code. For the purposes of the two preceding sentences, the persons who have the right to vote or attend the meeting and are registered as such in a register designated by the Board as of the record date set by the Board shall be deemed to have such rights for purposes of the General Meeting and therefore be deemed to be Persons with Meeting Rights, irrespective of whoever is entitled to the Shares at the time of the General Meeting. The notice of meeting shall mention the record date as well as the manner in which the persons entitled to vote and attend the General Meeting can register and the manner in which they can exercise their rights.</w:t>
      </w:r>
    </w:p>
    <w:p>
      <w:pPr>
        <w:spacing w:after="0" w:line="9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color w:val="auto"/>
        </w:rPr>
        <w:t>Unless the law or these Articles of Association require a larger majority, all resolutions shall be adopted by an absolute majority of the votes cast.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color w:val="auto"/>
        </w:rPr>
        <w:t>The chairman of the General Meeting shall determine the manner of voting.</w:t>
      </w:r>
    </w:p>
    <w:p>
      <w:pPr>
        <w:spacing w:after="0" w:line="131" w:lineRule="exact"/>
        <w:rPr>
          <w:sz w:val="20"/>
          <w:szCs w:val="20"/>
          <w:color w:val="auto"/>
        </w:rPr>
      </w:pPr>
    </w:p>
    <w:p>
      <w:pPr>
        <w:ind w:left="544" w:right="240" w:hanging="539"/>
        <w:spacing w:after="0" w:line="301" w:lineRule="auto"/>
        <w:tabs>
          <w:tab w:leader="none" w:pos="524"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6"/>
          <w:szCs w:val="16"/>
          <w:color w:val="auto"/>
        </w:rPr>
        <w:t>The chairman’s decision at the General Meeting on the result of a vote shall be conclusive. The same shall apply to the contents of an adopted resolution, to the extent that the vote related to a proposal not made in writing. If immediately after the chairman’s decision its correctness is contested, there shall be a new free vote if the majority of the meeting or, if the original vote was not taken on a poll or by a ballot, any person present who is entitled to vote so requires. Such new vote shall overrule the legal consequences of the original vote.</w:t>
      </w:r>
    </w:p>
    <w:p>
      <w:pPr>
        <w:spacing w:after="0" w:line="63" w:lineRule="exact"/>
        <w:rPr>
          <w:sz w:val="20"/>
          <w:szCs w:val="20"/>
          <w:color w:val="auto"/>
        </w:rPr>
      </w:pPr>
    </w:p>
    <w:p>
      <w:pPr>
        <w:ind w:left="544" w:right="400" w:hanging="539"/>
        <w:spacing w:after="0" w:line="277" w:lineRule="auto"/>
        <w:tabs>
          <w:tab w:leader="none" w:pos="524" w:val="left"/>
        </w:tabs>
        <w:rPr>
          <w:sz w:val="20"/>
          <w:szCs w:val="20"/>
          <w:color w:val="auto"/>
        </w:rPr>
      </w:pPr>
      <w:r>
        <w:rPr>
          <w:rFonts w:ascii="Arial" w:cs="Arial" w:eastAsia="Arial" w:hAnsi="Arial"/>
          <w:sz w:val="18"/>
          <w:szCs w:val="18"/>
          <w:color w:val="auto"/>
        </w:rPr>
        <w:t>32.6</w:t>
        <w:tab/>
        <w:t>A written statement of the chairman of the General Meeting that the General Meeting has adopted a resolution shall constitute proof of such resolution vis-à-vis third parties.</w:t>
      </w:r>
    </w:p>
    <w:p>
      <w:pPr>
        <w:spacing w:after="0" w:line="76" w:lineRule="exact"/>
        <w:rPr>
          <w:sz w:val="20"/>
          <w:szCs w:val="20"/>
          <w:color w:val="auto"/>
        </w:rPr>
      </w:pPr>
    </w:p>
    <w:p>
      <w:pPr>
        <w:ind w:left="544" w:right="120" w:hanging="539"/>
        <w:spacing w:after="0" w:line="296" w:lineRule="auto"/>
        <w:tabs>
          <w:tab w:leader="none" w:pos="524"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color w:val="auto"/>
        </w:rPr>
        <w:t>In the General Meeting no votes may be cast in respect of a Share held by the Company or a Subsidiary thereof; no votes may be cast in respect of a Share the depositary receipt for which is held by the Company or a Subsidiary thereof. However, the holders of a right of usufruct and holders of a right of pledge on Shares held by the Company and its Subsidiaries are not excluded from their right to vote, if the right of usufruct or the right of pledge was created prior to the time such Share was held by the Company or a Subsidiary thereof. Neither the Company nor a Subsidiary thereof may cast votes in respect of a Share on which it holds a right of usufruct or a right of pledge.</w:t>
      </w:r>
    </w:p>
    <w:p>
      <w:pPr>
        <w:spacing w:after="0" w:line="67" w:lineRule="exact"/>
        <w:rPr>
          <w:sz w:val="20"/>
          <w:szCs w:val="20"/>
          <w:color w:val="auto"/>
        </w:rPr>
      </w:pPr>
    </w:p>
    <w:p>
      <w:pPr>
        <w:ind w:left="544" w:right="600" w:hanging="539"/>
        <w:spacing w:after="0" w:line="308" w:lineRule="auto"/>
        <w:tabs>
          <w:tab w:leader="none" w:pos="524"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7"/>
          <w:szCs w:val="17"/>
          <w:color w:val="auto"/>
        </w:rPr>
        <w:t>When determining to what extent the Shareholders cast votes, are present or represented or to what extent the share capital is provided or represented, no account shall be taken of Shares which are not entitled to voting rights pursuant to Article 32.7.</w:t>
      </w:r>
    </w:p>
    <w:p>
      <w:pPr>
        <w:spacing w:after="0" w:line="291" w:lineRule="exact"/>
        <w:rPr>
          <w:sz w:val="20"/>
          <w:szCs w:val="20"/>
          <w:color w:val="auto"/>
        </w:rPr>
      </w:pPr>
    </w:p>
    <w:p>
      <w:pPr>
        <w:ind w:left="544" w:hanging="544"/>
        <w:spacing w:after="0"/>
        <w:tabs>
          <w:tab w:leader="none" w:pos="544"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Meetings of holders of Shares of a particular class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The Board shall be authorised to convene a meeting of holders of Shares of a particular class.</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4" w:right="459" w:bottom="1440" w:gutter="0" w:footer="0" w:header="0"/>
        </w:sectPr>
      </w:pPr>
    </w:p>
    <w:bookmarkStart w:id="407" w:name="page408"/>
    <w:bookmarkEnd w:id="407"/>
    <w:p>
      <w:pPr>
        <w:ind w:left="544" w:right="80" w:hanging="539"/>
        <w:spacing w:after="0" w:line="308"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33.2</w:t>
      </w:r>
      <w:r>
        <w:rPr>
          <w:sz w:val="20"/>
          <w:szCs w:val="20"/>
          <w:color w:val="auto"/>
        </w:rPr>
        <w:tab/>
      </w:r>
      <w:r>
        <w:rPr>
          <w:rFonts w:ascii="Arial" w:cs="Arial" w:eastAsia="Arial" w:hAnsi="Arial"/>
          <w:sz w:val="17"/>
          <w:szCs w:val="17"/>
          <w:color w:val="auto"/>
        </w:rPr>
        <w:t>A meeting of holders of Shares of a particular class shall be convened whenever pursuant to the law or these Articles of Association a resolution of the meeting of holders of Shares of such class is required and furthermore whenever the Board considers appropriate.</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Articles 27 up to and including 32 shall apply by analogy to meetings of holders of Shares of a particular class, provided, however, that:</w:t>
      </w:r>
    </w:p>
    <w:p>
      <w:pPr>
        <w:spacing w:after="0" w:line="131" w:lineRule="exact"/>
        <w:rPr>
          <w:sz w:val="20"/>
          <w:szCs w:val="20"/>
          <w:color w:val="auto"/>
        </w:rPr>
      </w:pPr>
    </w:p>
    <w:p>
      <w:pPr>
        <w:ind w:left="1184" w:hanging="644"/>
        <w:spacing w:after="0"/>
        <w:tabs>
          <w:tab w:leader="none" w:pos="1184" w:val="left"/>
        </w:tabs>
        <w:numPr>
          <w:ilvl w:val="1"/>
          <w:numId w:val="336"/>
        </w:numPr>
        <w:rPr>
          <w:rFonts w:ascii="Arial" w:cs="Arial" w:eastAsia="Arial" w:hAnsi="Arial"/>
          <w:sz w:val="18"/>
          <w:szCs w:val="18"/>
          <w:color w:val="auto"/>
        </w:rPr>
      </w:pPr>
      <w:r>
        <w:rPr>
          <w:rFonts w:ascii="Arial" w:cs="Arial" w:eastAsia="Arial" w:hAnsi="Arial"/>
          <w:sz w:val="18"/>
          <w:szCs w:val="18"/>
          <w:color w:val="auto"/>
        </w:rPr>
        <w:t>notice shall be given no later than on the sixth day prior to the date of the meeting; and</w:t>
      </w:r>
    </w:p>
    <w:p>
      <w:pPr>
        <w:spacing w:after="0" w:line="130" w:lineRule="exact"/>
        <w:rPr>
          <w:rFonts w:ascii="Arial" w:cs="Arial" w:eastAsia="Arial" w:hAnsi="Arial"/>
          <w:sz w:val="18"/>
          <w:szCs w:val="18"/>
          <w:color w:val="auto"/>
        </w:rPr>
      </w:pPr>
    </w:p>
    <w:p>
      <w:pPr>
        <w:jc w:val="both"/>
        <w:ind w:left="1184" w:hanging="644"/>
        <w:spacing w:after="0" w:line="279" w:lineRule="auto"/>
        <w:tabs>
          <w:tab w:leader="none" w:pos="1184" w:val="left"/>
        </w:tabs>
        <w:numPr>
          <w:ilvl w:val="1"/>
          <w:numId w:val="336"/>
        </w:numPr>
        <w:rPr>
          <w:rFonts w:ascii="Arial" w:cs="Arial" w:eastAsia="Arial" w:hAnsi="Arial"/>
          <w:sz w:val="17"/>
          <w:szCs w:val="17"/>
          <w:color w:val="auto"/>
        </w:rPr>
      </w:pPr>
      <w:r>
        <w:rPr>
          <w:rFonts w:ascii="Arial" w:cs="Arial" w:eastAsia="Arial" w:hAnsi="Arial"/>
          <w:sz w:val="17"/>
          <w:szCs w:val="17"/>
          <w:color w:val="auto"/>
        </w:rPr>
        <w:t>on the proposal of the Board, holders of Shares of a particular class may adopt resolutions without holding a meeting, provided that they are adopted by unanimous vote of the holders of Shares of the particular class entitled to vote and that the votes are cast in writing or by electronic means; the holders of Shares of the particular class involved shall as soon as possible notify the chairman of the Board of the adopted resolutions; Article 29.4 shall apply by analogy to these resolutions.</w:t>
      </w:r>
    </w:p>
    <w:p>
      <w:pPr>
        <w:spacing w:after="0" w:line="315" w:lineRule="exact"/>
        <w:rPr>
          <w:rFonts w:ascii="Arial" w:cs="Arial" w:eastAsia="Arial" w:hAnsi="Arial"/>
          <w:sz w:val="17"/>
          <w:szCs w:val="17"/>
          <w:color w:val="auto"/>
        </w:rPr>
      </w:pPr>
    </w:p>
    <w:p>
      <w:pPr>
        <w:ind w:left="544" w:hanging="544"/>
        <w:spacing w:after="0"/>
        <w:tabs>
          <w:tab w:leader="none" w:pos="544"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Company’s financial year shall coincide with the calendar year.</w:t>
      </w:r>
    </w:p>
    <w:p>
      <w:pPr>
        <w:spacing w:after="0" w:line="369" w:lineRule="exact"/>
        <w:rPr>
          <w:rFonts w:ascii="Arial" w:cs="Arial" w:eastAsia="Arial" w:hAnsi="Arial"/>
          <w:sz w:val="18"/>
          <w:szCs w:val="18"/>
          <w:b w:val="1"/>
          <w:bCs w:val="1"/>
          <w:color w:val="auto"/>
        </w:rPr>
      </w:pPr>
    </w:p>
    <w:p>
      <w:pPr>
        <w:ind w:left="544" w:hanging="544"/>
        <w:spacing w:after="0"/>
        <w:tabs>
          <w:tab w:leader="none" w:pos="544"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Annual Accounts and Management Report</w:t>
      </w:r>
    </w:p>
    <w:p>
      <w:pPr>
        <w:spacing w:after="0" w:line="135" w:lineRule="exact"/>
        <w:rPr>
          <w:sz w:val="20"/>
          <w:szCs w:val="20"/>
          <w:color w:val="auto"/>
        </w:rPr>
      </w:pPr>
    </w:p>
    <w:p>
      <w:pPr>
        <w:ind w:left="544" w:right="180" w:hanging="539"/>
        <w:spacing w:after="0" w:line="255" w:lineRule="auto"/>
        <w:tabs>
          <w:tab w:leader="none" w:pos="524" w:val="left"/>
        </w:tabs>
        <w:rPr>
          <w:sz w:val="20"/>
          <w:szCs w:val="20"/>
          <w:color w:val="auto"/>
        </w:rPr>
      </w:pPr>
      <w:r>
        <w:rPr>
          <w:rFonts w:ascii="Arial" w:cs="Arial" w:eastAsia="Arial" w:hAnsi="Arial"/>
          <w:sz w:val="18"/>
          <w:szCs w:val="18"/>
          <w:color w:val="auto"/>
        </w:rPr>
        <w:t>35.1</w:t>
        <w:tab/>
        <w:t>Annually, within five months of the end of the financial year, subject to an extension of such period not exceeding five months by the General Meeting on the basis of special circumstances, the Board shall prepare Annual Accounts and shall make these available at the offices of the Company for inspection by the Persons with Meeting Rights. The Board shall also make the Management Report available at the offices of the Company for inspection by the Persons with Meeting Rights within said period. The Board shall add to the Annual Accounts and the Management Report the information, referred to in section 2:392 subsection 1 of the Dutch Civil Code, insofar as that subsection applies to the Company.</w:t>
      </w:r>
    </w:p>
    <w:p>
      <w:pPr>
        <w:spacing w:after="0" w:line="98" w:lineRule="exact"/>
        <w:rPr>
          <w:sz w:val="20"/>
          <w:szCs w:val="20"/>
          <w:color w:val="auto"/>
        </w:rPr>
      </w:pPr>
    </w:p>
    <w:p>
      <w:pPr>
        <w:ind w:left="544" w:right="480" w:hanging="539"/>
        <w:spacing w:after="0" w:line="277" w:lineRule="auto"/>
        <w:tabs>
          <w:tab w:leader="none" w:pos="524" w:val="left"/>
        </w:tabs>
        <w:rPr>
          <w:sz w:val="20"/>
          <w:szCs w:val="20"/>
          <w:color w:val="auto"/>
        </w:rPr>
      </w:pPr>
      <w:r>
        <w:rPr>
          <w:rFonts w:ascii="Arial" w:cs="Arial" w:eastAsia="Arial" w:hAnsi="Arial"/>
          <w:sz w:val="18"/>
          <w:szCs w:val="18"/>
          <w:color w:val="auto"/>
        </w:rPr>
        <w:t>35.2</w:t>
        <w:tab/>
        <w:t>The Annual Accounts shall be signed by all Directors. If the signature of one or more of them is lacking, this shall be disclosed, stating the reasons thereof.</w:t>
      </w:r>
    </w:p>
    <w:p>
      <w:pPr>
        <w:spacing w:after="0" w:line="76" w:lineRule="exact"/>
        <w:rPr>
          <w:sz w:val="20"/>
          <w:szCs w:val="20"/>
          <w:color w:val="auto"/>
        </w:rPr>
      </w:pPr>
    </w:p>
    <w:p>
      <w:pPr>
        <w:ind w:left="544" w:right="20" w:hanging="539"/>
        <w:spacing w:after="0" w:line="259" w:lineRule="auto"/>
        <w:tabs>
          <w:tab w:leader="none" w:pos="524" w:val="left"/>
        </w:tabs>
        <w:rPr>
          <w:sz w:val="20"/>
          <w:szCs w:val="20"/>
          <w:color w:val="auto"/>
        </w:rPr>
      </w:pPr>
      <w:r>
        <w:rPr>
          <w:rFonts w:ascii="Arial" w:cs="Arial" w:eastAsia="Arial" w:hAnsi="Arial"/>
          <w:sz w:val="18"/>
          <w:szCs w:val="18"/>
          <w:color w:val="auto"/>
        </w:rPr>
        <w:t>35.3</w:t>
        <w:tab/>
        <w:t>The Company shall ensure that the Annual Accounts as prepared, the Management Report and the additional information to be added pursuant to section 2:392 subsection 1 of the Dutch Civil Code shall be available at the offices of the Company as of the date of the notice of the General Meeting at which they are to be discussed. The Persons with Meeting Rights may inspect the documents at the offices of the Company and obtain a copy thereof at no cost.</w:t>
      </w:r>
    </w:p>
    <w:p>
      <w:pPr>
        <w:spacing w:after="0" w:line="92" w:lineRule="exact"/>
        <w:rPr>
          <w:sz w:val="20"/>
          <w:szCs w:val="20"/>
          <w:color w:val="auto"/>
        </w:rPr>
      </w:pPr>
    </w:p>
    <w:p>
      <w:pPr>
        <w:ind w:left="544" w:right="420" w:hanging="539"/>
        <w:spacing w:after="0" w:line="277" w:lineRule="auto"/>
        <w:tabs>
          <w:tab w:leader="none" w:pos="524" w:val="left"/>
        </w:tabs>
        <w:rPr>
          <w:sz w:val="20"/>
          <w:szCs w:val="20"/>
          <w:color w:val="auto"/>
        </w:rPr>
      </w:pPr>
      <w:r>
        <w:rPr>
          <w:rFonts w:ascii="Arial" w:cs="Arial" w:eastAsia="Arial" w:hAnsi="Arial"/>
          <w:sz w:val="18"/>
          <w:szCs w:val="18"/>
          <w:color w:val="auto"/>
        </w:rPr>
        <w:t>35.4</w:t>
        <w:tab/>
        <w:t>The Annual Accounts shall be adopted by the General Meeting. Adoption of the Annual Accounts shall not be deemed to grant a Director a discharge.</w:t>
      </w:r>
    </w:p>
    <w:p>
      <w:pPr>
        <w:spacing w:after="0" w:line="315" w:lineRule="exact"/>
        <w:rPr>
          <w:sz w:val="20"/>
          <w:szCs w:val="20"/>
          <w:color w:val="auto"/>
        </w:rPr>
      </w:pPr>
    </w:p>
    <w:p>
      <w:pPr>
        <w:ind w:left="544" w:hanging="544"/>
        <w:spacing w:after="0"/>
        <w:tabs>
          <w:tab w:leader="none" w:pos="544"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Auditor</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The Company shall give an assignment to an Auditor to audit the Annual Accounts.</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4"/>
          </w:cols>
          <w:pgMar w:left="436" w:top="274" w:right="459" w:bottom="1440" w:gutter="0" w:footer="0" w:header="0"/>
        </w:sectPr>
      </w:pPr>
    </w:p>
    <w:bookmarkStart w:id="408" w:name="page409"/>
    <w:bookmarkEnd w:id="408"/>
    <w:p>
      <w:pPr>
        <w:ind w:left="544" w:right="80" w:hanging="539"/>
        <w:spacing w:after="0" w:line="342"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36.2</w:t>
      </w:r>
      <w:r>
        <w:rPr>
          <w:sz w:val="20"/>
          <w:szCs w:val="20"/>
          <w:color w:val="auto"/>
        </w:rPr>
        <w:tab/>
      </w:r>
      <w:r>
        <w:rPr>
          <w:rFonts w:ascii="Arial" w:cs="Arial" w:eastAsia="Arial" w:hAnsi="Arial"/>
          <w:sz w:val="16"/>
          <w:szCs w:val="16"/>
          <w:color w:val="auto"/>
        </w:rPr>
        <w:t>The General Meeting shall be authorised to give the assignment. If the General Meeting fails to do so, then the Board shall be authorised to give the assignment. The assignment may be revoked at any time by the General Meeting or, if the Board has given the assignment, by the Board.</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color w:val="auto"/>
        </w:rPr>
        <w:t>The Auditor shall report on his or her audit to the Board and shall issue a certificate containing its results.</w:t>
      </w:r>
    </w:p>
    <w:p>
      <w:pPr>
        <w:spacing w:after="0" w:line="370" w:lineRule="exact"/>
        <w:rPr>
          <w:sz w:val="20"/>
          <w:szCs w:val="20"/>
          <w:color w:val="auto"/>
        </w:rPr>
      </w:pPr>
    </w:p>
    <w:p>
      <w:pPr>
        <w:ind w:left="544" w:hanging="544"/>
        <w:spacing w:after="0"/>
        <w:tabs>
          <w:tab w:leader="none" w:pos="544"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Share premium reserves</w:t>
      </w:r>
    </w:p>
    <w:p>
      <w:pPr>
        <w:spacing w:after="0" w:line="135" w:lineRule="exact"/>
        <w:rPr>
          <w:sz w:val="20"/>
          <w:szCs w:val="20"/>
          <w:color w:val="auto"/>
        </w:rPr>
      </w:pPr>
    </w:p>
    <w:p>
      <w:pPr>
        <w:jc w:val="both"/>
        <w:ind w:left="544" w:right="600" w:hanging="539"/>
        <w:spacing w:after="0" w:line="311" w:lineRule="auto"/>
        <w:tabs>
          <w:tab w:leader="none" w:pos="524"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6"/>
          <w:szCs w:val="16"/>
          <w:color w:val="auto"/>
        </w:rPr>
        <w:t>The Company shall maintain separate share premium reserves for the benefit of the holders of each series of Financing Preferred Shares. Payments on Financing Preferred Shares of a particular series in excess of the nominal value shall be added to the share premium reserve maintained by the Company for the benefit of the holders of the series of Financing Preferred Shares on which the payment is made.</w:t>
      </w:r>
    </w:p>
    <w:p>
      <w:pPr>
        <w:spacing w:after="0" w:line="54" w:lineRule="exact"/>
        <w:rPr>
          <w:sz w:val="20"/>
          <w:szCs w:val="20"/>
          <w:color w:val="auto"/>
        </w:rPr>
      </w:pPr>
    </w:p>
    <w:p>
      <w:pPr>
        <w:ind w:left="544" w:right="160" w:hanging="539"/>
        <w:spacing w:after="0" w:line="311" w:lineRule="auto"/>
        <w:tabs>
          <w:tab w:leader="none" w:pos="524"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6"/>
          <w:szCs w:val="16"/>
          <w:color w:val="auto"/>
        </w:rPr>
        <w:t>Article 37.1 shall apply by analogy to any disposal by the Company of Financing Preferred Shares, or of depositary receipts thereof, provided that in such case the nominal value of the Financing Preferred Shares of the series concerned, or of the Financing Preferred Shares of the series concerned for which the depositary receipts have been issued, also shall be added to the relevant share premium reserve.</w:t>
      </w:r>
    </w:p>
    <w:p>
      <w:pPr>
        <w:spacing w:after="0" w:line="293" w:lineRule="exact"/>
        <w:rPr>
          <w:sz w:val="20"/>
          <w:szCs w:val="20"/>
          <w:color w:val="auto"/>
        </w:rPr>
      </w:pPr>
    </w:p>
    <w:p>
      <w:pPr>
        <w:ind w:left="544" w:hanging="544"/>
        <w:spacing w:after="0"/>
        <w:tabs>
          <w:tab w:leader="none" w:pos="544"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Profit and loss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6"/>
          <w:szCs w:val="16"/>
          <w:color w:val="auto"/>
        </w:rPr>
        <w:t>The General Meeting shall be authorised to allocate the profits, subject to Articles 38.2 and 38.3.</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color w:val="auto"/>
        </w:rPr>
        <w:t>From the profits made in any financial year, first of all, to the extent possible, the following distributions shall be made:</w:t>
      </w:r>
    </w:p>
    <w:p>
      <w:pPr>
        <w:spacing w:after="0" w:line="131" w:lineRule="exact"/>
        <w:rPr>
          <w:sz w:val="20"/>
          <w:szCs w:val="20"/>
          <w:color w:val="auto"/>
        </w:rPr>
      </w:pPr>
    </w:p>
    <w:p>
      <w:pPr>
        <w:ind w:left="1184" w:hanging="644"/>
        <w:spacing w:after="0" w:line="291" w:lineRule="auto"/>
        <w:tabs>
          <w:tab w:leader="none" w:pos="1184"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to the holders of Financing Preferred Shares, an amount equal to the average during the financial year concerned of the twelve month Euro Interbank Offered Rate (Euribor), as set by the European Central Bank, weighted by the number of days on which such interest rate was applicable, increased by a margin not exceeding five hundred basis points, to be set by the Board upon issue of the relevant Financing Preferred Shares, calculated on the weighted average during that financial year of the aggregate amount paid up and called up on their Financing Preferred Shares; therefore, any increases and reductions of the amounts paid up and called up on their Financing Preferred Shares during that financial year shall be taken into account for the purpose of calculating each distribution; the days during which the Financing Preferred Shares were held by the Company shall be disregarded; and</w:t>
      </w:r>
    </w:p>
    <w:p>
      <w:pPr>
        <w:spacing w:after="0" w:line="71" w:lineRule="exact"/>
        <w:rPr>
          <w:rFonts w:ascii="Arial" w:cs="Arial" w:eastAsia="Arial" w:hAnsi="Arial"/>
          <w:sz w:val="16"/>
          <w:szCs w:val="16"/>
          <w:color w:val="auto"/>
        </w:rPr>
      </w:pPr>
    </w:p>
    <w:p>
      <w:pPr>
        <w:jc w:val="both"/>
        <w:ind w:left="1184" w:right="20" w:hanging="644"/>
        <w:spacing w:after="0" w:line="263" w:lineRule="auto"/>
        <w:tabs>
          <w:tab w:leader="none" w:pos="118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if Financing Preferred Shares were cancelled during the preceding financial year, to the last former holders of those Financing Preferred Shares, an amount equal to the amount of the distribution referred to in Article 11.4 under (b), reduced by the amount of the distribution already received by them pursuant to that provision.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4"/>
          </w:cols>
          <w:pgMar w:left="436" w:top="274" w:right="459" w:bottom="1440" w:gutter="0" w:footer="0" w:header="0"/>
        </w:sectPr>
      </w:pPr>
    </w:p>
    <w:bookmarkStart w:id="409" w:name="page410"/>
    <w:bookmarkEnd w:id="409"/>
    <w:p>
      <w:pPr>
        <w:ind w:left="544"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in any financial year the profits are insufficient to make such distributions, the deficit shall, to the extent possible, be distributed from any of the Distributable Reserves determined by the Board. If the profits made in any financial year or the Distributable Reserves are insufficient to make such distributions, the deficit shall be distributed from the profits made and the Distributable Reserves maintained in the following financial years and the preceding sentence of this Article 38.2 and Article 38.3 shall first apply after the deficit has been fully made up. Other than as set out in this Article 38.2, the Financing Preferred Shares shall not participate in the profits and the reserves of the Company, except that the holders of a series of Financing Preferred Shares shall participate in the share premium reserve maintained by the Company for the benefit of the holders of such series of Financing Preferred Shares.</w:t>
      </w:r>
    </w:p>
    <w:p>
      <w:pPr>
        <w:spacing w:after="0" w:line="8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6"/>
          <w:szCs w:val="16"/>
          <w:color w:val="auto"/>
        </w:rPr>
        <w:t>The Board shall be authorised to determine that the profits remaining after application of Article 38.2 shall in whole or in part be reserved.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6"/>
          <w:szCs w:val="16"/>
          <w:color w:val="auto"/>
        </w:rPr>
        <w:t>The Board shall be authorised to determine how a loss will be accounted for.</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38.5</w:t>
      </w:r>
      <w:r>
        <w:rPr>
          <w:sz w:val="20"/>
          <w:szCs w:val="20"/>
          <w:color w:val="auto"/>
        </w:rPr>
        <w:tab/>
      </w:r>
      <w:r>
        <w:rPr>
          <w:rFonts w:ascii="Arial" w:cs="Arial" w:eastAsia="Arial" w:hAnsi="Arial"/>
          <w:sz w:val="16"/>
          <w:szCs w:val="16"/>
          <w:color w:val="auto"/>
        </w:rPr>
        <w:t>A deficit may only be applied against reserves maintained pursuant to the law to the extent permitted by law.</w:t>
      </w:r>
    </w:p>
    <w:p>
      <w:pPr>
        <w:spacing w:after="0" w:line="370" w:lineRule="exact"/>
        <w:rPr>
          <w:sz w:val="20"/>
          <w:szCs w:val="20"/>
          <w:color w:val="auto"/>
        </w:rPr>
      </w:pPr>
    </w:p>
    <w:p>
      <w:pPr>
        <w:ind w:left="544" w:hanging="544"/>
        <w:spacing w:after="0"/>
        <w:tabs>
          <w:tab w:leader="none" w:pos="544"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6"/>
          <w:szCs w:val="16"/>
          <w:color w:val="auto"/>
        </w:rPr>
        <w:t>The General Meeting shall be authorised to declare distributions, subject to Articles 39.2 up to and including 39.4.</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6"/>
          <w:szCs w:val="16"/>
          <w:color w:val="auto"/>
        </w:rPr>
        <w:t>The General Meeting may only resolve to declare distributions on the proposal of the Board.</w:t>
      </w:r>
    </w:p>
    <w:p>
      <w:pPr>
        <w:spacing w:after="0" w:line="131" w:lineRule="exact"/>
        <w:rPr>
          <w:sz w:val="20"/>
          <w:szCs w:val="20"/>
          <w:color w:val="auto"/>
        </w:rPr>
      </w:pPr>
    </w:p>
    <w:p>
      <w:pPr>
        <w:ind w:left="544" w:right="420" w:hanging="539"/>
        <w:spacing w:after="0" w:line="342" w:lineRule="auto"/>
        <w:tabs>
          <w:tab w:leader="none" w:pos="524"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6"/>
          <w:szCs w:val="16"/>
          <w:color w:val="auto"/>
        </w:rPr>
        <w:t>The Company may only make distributions to the Shareholders and other persons entitled to distributable profits to the extent that its equity exceeds the aggregate amount of the issued share capital and the reserves which must be maintained pursuant to applicable law.</w:t>
      </w:r>
    </w:p>
    <w:p>
      <w:pPr>
        <w:spacing w:after="0" w:line="29"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39.4</w:t>
        <w:tab/>
        <w:t>Any distribution of profits shall be made only following the adoption of the Annual Accounts by the General Meeting that show such distribution is permitted in accordance with Article 39.3.</w:t>
      </w:r>
    </w:p>
    <w:p>
      <w:pPr>
        <w:spacing w:after="0" w:line="76"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39.5</w:t>
        <w:tab/>
        <w:t>The Board may resolve to may make interim distributions, provided that the requirement of Article 39.3 has been met as evidenced by an interim financial statement as referred to in section 2:105 subsection 4 of the Dutch Civil Code.</w:t>
      </w:r>
    </w:p>
    <w:p>
      <w:pPr>
        <w:spacing w:after="0" w:line="76"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39.6</w:t>
        <w:tab/>
        <w:t>Shares held by the Company shall not be taken into account for the purpose of calculating each distribution, unless such Shares are encumbered with a right of usufruct or a right of pledge.</w:t>
      </w:r>
    </w:p>
    <w:p>
      <w:pPr>
        <w:spacing w:after="0" w:line="76" w:lineRule="exact"/>
        <w:rPr>
          <w:sz w:val="20"/>
          <w:szCs w:val="20"/>
          <w:color w:val="auto"/>
        </w:rPr>
      </w:pPr>
    </w:p>
    <w:p>
      <w:pPr>
        <w:ind w:left="544" w:right="20" w:hanging="539"/>
        <w:spacing w:after="0" w:line="263" w:lineRule="auto"/>
        <w:tabs>
          <w:tab w:leader="none" w:pos="524" w:val="left"/>
        </w:tabs>
        <w:rPr>
          <w:sz w:val="20"/>
          <w:szCs w:val="20"/>
          <w:color w:val="auto"/>
        </w:rPr>
      </w:pPr>
      <w:r>
        <w:rPr>
          <w:rFonts w:ascii="Arial" w:cs="Arial" w:eastAsia="Arial" w:hAnsi="Arial"/>
          <w:sz w:val="18"/>
          <w:szCs w:val="18"/>
          <w:color w:val="auto"/>
        </w:rPr>
        <w:t>39.7</w:t>
        <w:tab/>
        <w:t>Distributions on Shares of a particular class shall be made pro rata on all Shares of such particular class. Distributions to the last former holders of Financing Preferred Shares that have been cancelled shall be made pro rata on the aggregate amount of the Financing Preferred Shares held by such holders immediately before the cancellation.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4"/>
          </w:cols>
          <w:pgMar w:left="436" w:top="274" w:right="439" w:bottom="1440" w:gutter="0" w:footer="0" w:header="0"/>
        </w:sectPr>
      </w:pPr>
    </w:p>
    <w:bookmarkStart w:id="410" w:name="page411"/>
    <w:bookmarkEnd w:id="410"/>
    <w:p>
      <w:pPr>
        <w:ind w:left="544" w:right="28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39.8</w:t>
        <w:tab/>
        <w:t>Distributions shall be due and payable four weeks after they have been declared, unless the General Meeting determines another date on the proposal of the Board.</w:t>
      </w:r>
    </w:p>
    <w:p>
      <w:pPr>
        <w:spacing w:after="0" w:line="76"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39.9</w:t>
        <w:tab/>
        <w:t>Distributions which have not been collected within five years of the start of the day after the day on which they became due and payable shall revert to the Company.</w:t>
      </w:r>
    </w:p>
    <w:p>
      <w:pPr>
        <w:spacing w:after="0" w:line="76" w:lineRule="exact"/>
        <w:rPr>
          <w:sz w:val="20"/>
          <w:szCs w:val="20"/>
          <w:color w:val="auto"/>
        </w:rPr>
      </w:pPr>
    </w:p>
    <w:p>
      <w:pPr>
        <w:ind w:left="544" w:right="240" w:hanging="539"/>
        <w:spacing w:after="0" w:line="277" w:lineRule="auto"/>
        <w:rPr>
          <w:sz w:val="20"/>
          <w:szCs w:val="20"/>
          <w:color w:val="auto"/>
        </w:rPr>
      </w:pPr>
      <w:r>
        <w:rPr>
          <w:rFonts w:ascii="Arial" w:cs="Arial" w:eastAsia="Arial" w:hAnsi="Arial"/>
          <w:sz w:val="18"/>
          <w:szCs w:val="18"/>
          <w:color w:val="auto"/>
        </w:rPr>
        <w:t>39.10 The General Meeting may determine that distributions shall be made in whole or in part in the form of Shares or in a currency other than the euro, provided on the proposal of the Board.</w:t>
      </w:r>
    </w:p>
    <w:p>
      <w:pPr>
        <w:spacing w:after="0" w:line="76" w:lineRule="exact"/>
        <w:rPr>
          <w:sz w:val="20"/>
          <w:szCs w:val="20"/>
          <w:color w:val="auto"/>
        </w:rPr>
      </w:pPr>
    </w:p>
    <w:p>
      <w:pPr>
        <w:ind w:left="544" w:right="460" w:hanging="539"/>
        <w:spacing w:after="0" w:line="308" w:lineRule="auto"/>
        <w:tabs>
          <w:tab w:leader="none" w:pos="524" w:val="left"/>
        </w:tabs>
        <w:rPr>
          <w:sz w:val="20"/>
          <w:szCs w:val="20"/>
          <w:color w:val="auto"/>
        </w:rPr>
      </w:pPr>
      <w:r>
        <w:rPr>
          <w:rFonts w:ascii="Arial" w:cs="Arial" w:eastAsia="Arial" w:hAnsi="Arial"/>
          <w:sz w:val="18"/>
          <w:szCs w:val="18"/>
          <w:color w:val="auto"/>
        </w:rPr>
        <w:t>39.11</w:t>
      </w:r>
      <w:r>
        <w:rPr>
          <w:sz w:val="20"/>
          <w:szCs w:val="20"/>
          <w:color w:val="auto"/>
        </w:rPr>
        <w:tab/>
      </w:r>
      <w:r>
        <w:rPr>
          <w:rFonts w:ascii="Arial" w:cs="Arial" w:eastAsia="Arial" w:hAnsi="Arial"/>
          <w:sz w:val="17"/>
          <w:szCs w:val="17"/>
          <w:color w:val="auto"/>
        </w:rPr>
        <w:t>The Company shall announce any proposal for a distribution and the date when and the place where the distribution will be payable to all Shareholders by electronic means of communication with due observance of the applicable law and stock exchange rules.</w:t>
      </w:r>
    </w:p>
    <w:p>
      <w:pPr>
        <w:spacing w:after="0" w:line="291" w:lineRule="exact"/>
        <w:rPr>
          <w:sz w:val="20"/>
          <w:szCs w:val="20"/>
          <w:color w:val="auto"/>
        </w:rPr>
      </w:pPr>
    </w:p>
    <w:p>
      <w:pPr>
        <w:ind w:left="544" w:hanging="544"/>
        <w:spacing w:after="0"/>
        <w:tabs>
          <w:tab w:leader="none" w:pos="544"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these Articles of Association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color w:val="auto"/>
        </w:rPr>
        <w:t>The General Meeting shall be authorised to amend these Articles of Association.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color w:val="auto"/>
        </w:rPr>
        <w:t>The General Meeting may only resolve to amend these Articles of Association on the proposal of the Board.</w:t>
      </w:r>
    </w:p>
    <w:p>
      <w:pPr>
        <w:spacing w:after="0" w:line="131"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40.3</w:t>
        <w:tab/>
        <w:t>If a proposal to amend these Articles of Association is to be made to the General Meeting, such shall always be mentioned in the notice of the General Meeting.</w:t>
      </w:r>
    </w:p>
    <w:p>
      <w:pPr>
        <w:spacing w:after="0" w:line="315" w:lineRule="exact"/>
        <w:rPr>
          <w:sz w:val="20"/>
          <w:szCs w:val="20"/>
          <w:color w:val="auto"/>
        </w:rPr>
      </w:pPr>
    </w:p>
    <w:p>
      <w:pPr>
        <w:ind w:left="544" w:hanging="544"/>
        <w:spacing w:after="0"/>
        <w:tabs>
          <w:tab w:leader="none" w:pos="544"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Dissolution and liquidation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The General Meeting shall be authorised to dissolve the Company.</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The General Meeting may only resolve to dissolve the Company on the proposal of the Board.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Article 40.3 shall apply by analogy to a proposal to dissolve the Company.</w:t>
      </w:r>
    </w:p>
    <w:p>
      <w:pPr>
        <w:spacing w:after="0" w:line="131" w:lineRule="exact"/>
        <w:rPr>
          <w:sz w:val="20"/>
          <w:szCs w:val="20"/>
          <w:color w:val="auto"/>
        </w:rPr>
      </w:pPr>
    </w:p>
    <w:p>
      <w:pPr>
        <w:ind w:left="544" w:right="40" w:hanging="539"/>
        <w:spacing w:after="0" w:line="308" w:lineRule="auto"/>
        <w:tabs>
          <w:tab w:leader="none" w:pos="524"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7"/>
          <w:szCs w:val="17"/>
          <w:color w:val="auto"/>
        </w:rPr>
        <w:t>If the Company is dissolved pursuant to a resolution of the General Meeting, its assets shall be liquidated by the Executive Directors, under the supervision of the Non-Executive Directors, if and to the extent that the General Meeting shall not resolve otherwise.</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The General Meeting shall determine the remuneration of the liquidators and of the persons charged with the supervision of the liquidation.</w:t>
      </w:r>
    </w:p>
    <w:p>
      <w:pPr>
        <w:spacing w:after="0" w:line="131"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41.6</w:t>
        <w:tab/>
        <w:t>The liquidation shall take place with due observance of the relevant provisions of Book 2 title 1 of the Dutch Civil Code. During the liquidation period these Articles of Association shall, to the extent possible, remain in full force.</w:t>
      </w:r>
    </w:p>
    <w:p>
      <w:pPr>
        <w:spacing w:after="0" w:line="76" w:lineRule="exact"/>
        <w:rPr>
          <w:sz w:val="20"/>
          <w:szCs w:val="20"/>
          <w:color w:val="auto"/>
        </w:rPr>
      </w:pPr>
    </w:p>
    <w:p>
      <w:pPr>
        <w:ind w:left="544" w:right="340" w:hanging="539"/>
        <w:spacing w:after="0" w:line="277" w:lineRule="auto"/>
        <w:tabs>
          <w:tab w:leader="none" w:pos="524" w:val="left"/>
        </w:tabs>
        <w:rPr>
          <w:sz w:val="20"/>
          <w:szCs w:val="20"/>
          <w:color w:val="auto"/>
        </w:rPr>
      </w:pPr>
      <w:r>
        <w:rPr>
          <w:rFonts w:ascii="Arial" w:cs="Arial" w:eastAsia="Arial" w:hAnsi="Arial"/>
          <w:sz w:val="18"/>
          <w:szCs w:val="18"/>
          <w:color w:val="auto"/>
        </w:rPr>
        <w:t>41.7</w:t>
        <w:tab/>
        <w:t>From the balance of the assets of the Company remaining after the creditors have been paid first of all, to the extent possible, the following distributions shall be made:</w:t>
      </w:r>
    </w:p>
    <w:p>
      <w:pPr>
        <w:spacing w:after="0" w:line="76" w:lineRule="exact"/>
        <w:rPr>
          <w:sz w:val="20"/>
          <w:szCs w:val="20"/>
          <w:color w:val="auto"/>
        </w:rPr>
      </w:pPr>
    </w:p>
    <w:p>
      <w:pPr>
        <w:ind w:left="1184" w:right="280" w:hanging="644"/>
        <w:spacing w:after="0" w:line="277" w:lineRule="auto"/>
        <w:tabs>
          <w:tab w:leader="none" w:pos="118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to the holders of Financing Preferred Shares, in proportion to the aggregate amount of the Financing Preferred Shares held by such holders:</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amount paid up on their Financing Preferred Shares;</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any deficit, referred to in Article 38.2; and</w:t>
      </w:r>
    </w:p>
    <w:p>
      <w:pPr>
        <w:spacing w:after="0" w:line="15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884"/>
          </w:cols>
          <w:pgMar w:left="436" w:top="274" w:right="579" w:bottom="1440" w:gutter="0" w:footer="0" w:header="0"/>
        </w:sectPr>
      </w:pPr>
    </w:p>
    <w:bookmarkStart w:id="411" w:name="page412"/>
    <w:bookmarkEnd w:id="411"/>
    <w:p>
      <w:pPr>
        <w:ind w:left="1744" w:right="620" w:hanging="543"/>
        <w:spacing w:after="0" w:line="277" w:lineRule="auto"/>
        <w:tabs>
          <w:tab w:leader="none" w:pos="1744" w:val="left"/>
        </w:tabs>
        <w:numPr>
          <w:ilvl w:val="1"/>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amount equal to the amount referred to in Article 38.2 under (a) calculated up to the date on which the Company was dissolved;</w:t>
      </w:r>
    </w:p>
    <w:p>
      <w:pPr>
        <w:spacing w:after="0" w:line="75" w:lineRule="exact"/>
        <w:rPr>
          <w:rFonts w:ascii="Arial" w:cs="Arial" w:eastAsia="Arial" w:hAnsi="Arial"/>
          <w:sz w:val="18"/>
          <w:szCs w:val="18"/>
          <w:color w:val="auto"/>
        </w:rPr>
      </w:pPr>
    </w:p>
    <w:p>
      <w:pPr>
        <w:ind w:left="1184" w:right="20" w:hanging="644"/>
        <w:spacing w:after="0" w:line="263" w:lineRule="auto"/>
        <w:tabs>
          <w:tab w:leader="none" w:pos="118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to the holders of each series of Financing Preferred Shares, in proportion to the aggregate amount of the Financing Preferred Shares held by such holders, the balance of the share premium reserve maintained by the Company for the benefit of the holders of the relevant series of Financing Preferred Shares;</w:t>
      </w:r>
    </w:p>
    <w:p>
      <w:pPr>
        <w:spacing w:after="0" w:line="89" w:lineRule="exact"/>
        <w:rPr>
          <w:rFonts w:ascii="Arial" w:cs="Arial" w:eastAsia="Arial" w:hAnsi="Arial"/>
          <w:sz w:val="18"/>
          <w:szCs w:val="18"/>
          <w:color w:val="auto"/>
        </w:rPr>
      </w:pPr>
    </w:p>
    <w:p>
      <w:pPr>
        <w:ind w:left="1184" w:right="460" w:hanging="644"/>
        <w:spacing w:after="0" w:line="277" w:lineRule="auto"/>
        <w:tabs>
          <w:tab w:leader="none" w:pos="118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to the last former holders of the Financing Preferred Shares that have been cancelled, in proportion to the aggregate amount of the Financing Preferred Shares held by such holders immediately before cancellation:</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1"/>
          <w:numId w:val="347"/>
        </w:numPr>
        <w:rPr>
          <w:rFonts w:ascii="Arial" w:cs="Arial" w:eastAsia="Arial" w:hAnsi="Arial"/>
          <w:sz w:val="18"/>
          <w:szCs w:val="18"/>
          <w:color w:val="auto"/>
        </w:rPr>
      </w:pPr>
      <w:r>
        <w:rPr>
          <w:rFonts w:ascii="Arial" w:cs="Arial" w:eastAsia="Arial" w:hAnsi="Arial"/>
          <w:sz w:val="18"/>
          <w:szCs w:val="18"/>
          <w:color w:val="auto"/>
        </w:rPr>
        <w:t>any deficit, referred to in Article 38.2; and</w:t>
      </w:r>
    </w:p>
    <w:p>
      <w:pPr>
        <w:spacing w:after="0" w:line="131" w:lineRule="exact"/>
        <w:rPr>
          <w:sz w:val="20"/>
          <w:szCs w:val="20"/>
          <w:color w:val="auto"/>
        </w:rPr>
      </w:pPr>
    </w:p>
    <w:p>
      <w:pPr>
        <w:ind w:left="1744" w:right="60" w:hanging="543"/>
        <w:spacing w:after="0" w:line="263" w:lineRule="auto"/>
        <w:tabs>
          <w:tab w:leader="none" w:pos="174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if their Financing Preferred Shares were cancelled in the financial year in which the Company was dissolved, an amount equal to the amount of the distribution referred to in Article 11.4 under (b), reduced by the amount of the distribution already received by them pursuant to that provision.</w:t>
      </w:r>
    </w:p>
    <w:p>
      <w:pPr>
        <w:spacing w:after="0" w:line="76" w:lineRule="exact"/>
        <w:rPr>
          <w:sz w:val="20"/>
          <w:szCs w:val="20"/>
          <w:color w:val="auto"/>
        </w:rPr>
      </w:pPr>
    </w:p>
    <w:p>
      <w:pPr>
        <w:ind w:left="544"/>
        <w:spacing w:after="0" w:line="263" w:lineRule="auto"/>
        <w:rPr>
          <w:sz w:val="20"/>
          <w:szCs w:val="20"/>
          <w:color w:val="auto"/>
        </w:rPr>
      </w:pPr>
      <w:r>
        <w:rPr>
          <w:rFonts w:ascii="Arial" w:cs="Arial" w:eastAsia="Arial" w:hAnsi="Arial"/>
          <w:sz w:val="18"/>
          <w:szCs w:val="18"/>
          <w:color w:val="auto"/>
        </w:rPr>
        <w:t>If the surplus is insufficient to make such distributions in full, the surplus shall be distributed to the holders of Financing Preferred Shares and last former holders of Financing Preferred Shares that have been cancelled in proportion to the aggregate amount to which they would be entitled if the surplus would be sufficient.</w:t>
      </w:r>
    </w:p>
    <w:p>
      <w:pPr>
        <w:spacing w:after="0" w:line="89" w:lineRule="exact"/>
        <w:rPr>
          <w:sz w:val="20"/>
          <w:szCs w:val="20"/>
          <w:color w:val="auto"/>
        </w:rPr>
      </w:pPr>
    </w:p>
    <w:p>
      <w:pPr>
        <w:ind w:left="544" w:right="460" w:hanging="539"/>
        <w:spacing w:after="0" w:line="277" w:lineRule="auto"/>
        <w:tabs>
          <w:tab w:leader="none" w:pos="524" w:val="left"/>
        </w:tabs>
        <w:rPr>
          <w:sz w:val="20"/>
          <w:szCs w:val="20"/>
          <w:color w:val="auto"/>
        </w:rPr>
      </w:pPr>
      <w:r>
        <w:rPr>
          <w:rFonts w:ascii="Arial" w:cs="Arial" w:eastAsia="Arial" w:hAnsi="Arial"/>
          <w:sz w:val="18"/>
          <w:szCs w:val="18"/>
          <w:color w:val="auto"/>
        </w:rPr>
        <w:t>41.8</w:t>
        <w:tab/>
        <w:t>The balance remaining after application of Article 41.7 shall be distributed to the holders of Ordinary Shares in proportion to the aggregate amount of the Ordinary Shares held by such holders.</w:t>
      </w:r>
    </w:p>
    <w:p>
      <w:pPr>
        <w:spacing w:after="0" w:line="76" w:lineRule="exact"/>
        <w:rPr>
          <w:sz w:val="20"/>
          <w:szCs w:val="20"/>
          <w:color w:val="auto"/>
        </w:rPr>
      </w:pPr>
    </w:p>
    <w:p>
      <w:pPr>
        <w:ind w:left="544" w:right="340" w:hanging="539"/>
        <w:spacing w:after="0" w:line="277" w:lineRule="auto"/>
        <w:tabs>
          <w:tab w:leader="none" w:pos="524" w:val="left"/>
        </w:tabs>
        <w:rPr>
          <w:sz w:val="20"/>
          <w:szCs w:val="20"/>
          <w:color w:val="auto"/>
        </w:rPr>
      </w:pPr>
      <w:r>
        <w:rPr>
          <w:rFonts w:ascii="Arial" w:cs="Arial" w:eastAsia="Arial" w:hAnsi="Arial"/>
          <w:sz w:val="18"/>
          <w:szCs w:val="18"/>
          <w:color w:val="auto"/>
        </w:rPr>
        <w:t>41.9</w:t>
        <w:tab/>
        <w:t>After the Company has ceased to exist, its books, records and other data carriers shall remain in the custody of the person designated for that purpose by the liquidators for a period of seven years.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FINAL DECLARATIONS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Finally, the person appearing declares:</w:t>
      </w:r>
    </w:p>
    <w:p>
      <w:pPr>
        <w:spacing w:after="0" w:line="131" w:lineRule="exact"/>
        <w:rPr>
          <w:sz w:val="20"/>
          <w:szCs w:val="20"/>
          <w:color w:val="auto"/>
        </w:rPr>
      </w:pPr>
    </w:p>
    <w:p>
      <w:pPr>
        <w:ind w:left="544" w:right="660" w:hanging="544"/>
        <w:spacing w:after="0" w:line="277" w:lineRule="auto"/>
        <w:tabs>
          <w:tab w:leader="none" w:pos="54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pursuant to the present amendment of articles of association becoming effective each issued share in the share capital of the Company is converted into an ordinary share;</w:t>
      </w:r>
    </w:p>
    <w:p>
      <w:pPr>
        <w:spacing w:after="0" w:line="75" w:lineRule="exact"/>
        <w:rPr>
          <w:rFonts w:ascii="Arial" w:cs="Arial" w:eastAsia="Arial" w:hAnsi="Arial"/>
          <w:sz w:val="18"/>
          <w:szCs w:val="18"/>
          <w:color w:val="auto"/>
        </w:rPr>
      </w:pPr>
    </w:p>
    <w:p>
      <w:pPr>
        <w:ind w:left="544" w:right="140" w:hanging="544"/>
        <w:spacing w:after="0" w:line="273" w:lineRule="auto"/>
        <w:tabs>
          <w:tab w:leader="none" w:pos="544" w:val="left"/>
        </w:tabs>
        <w:numPr>
          <w:ilvl w:val="0"/>
          <w:numId w:val="349"/>
        </w:numPr>
        <w:rPr>
          <w:rFonts w:ascii="Arial" w:cs="Arial" w:eastAsia="Arial" w:hAnsi="Arial"/>
          <w:sz w:val="17"/>
          <w:szCs w:val="17"/>
          <w:color w:val="auto"/>
        </w:rPr>
      </w:pPr>
      <w:r>
        <w:rPr>
          <w:rFonts w:ascii="Arial" w:cs="Arial" w:eastAsia="Arial" w:hAnsi="Arial"/>
          <w:sz w:val="17"/>
          <w:szCs w:val="17"/>
          <w:color w:val="auto"/>
        </w:rPr>
        <w:t>by a resolution, dated the thirtieth day of June two thousand and twenty, the general meeting of the Company authorised the management board for a period of five years, commencing on the date on which this deed is executed and consequently ending on the thirtieth day of June two thousand and twenty-five, to issue shares and to grant rights to subscribe for shares. The resolution of the general meeting granting the authorisation specifies that the authority to issue shares and to grant rights to subscribe for shares concerns all unissued shares of the authorised share capital as applicable on the date on which this deed is executed or at any time in the future minus any shares that will be issued after that date pursuant to a resolution of the general meeting adopted prior to that date;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4"/>
          </w:cols>
          <w:pgMar w:left="436" w:top="274" w:right="459" w:bottom="1440" w:gutter="0" w:footer="0" w:header="0"/>
        </w:sectPr>
      </w:pPr>
    </w:p>
    <w:bookmarkStart w:id="412" w:name="page413"/>
    <w:bookmarkEnd w:id="412"/>
    <w:p>
      <w:pPr>
        <w:ind w:left="544" w:right="60" w:hanging="544"/>
        <w:spacing w:after="0" w:line="263" w:lineRule="auto"/>
        <w:tabs>
          <w:tab w:leader="none" w:pos="544" w:val="left"/>
        </w:tabs>
        <w:numPr>
          <w:ilvl w:val="0"/>
          <w:numId w:val="3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a resolution, dated the thirtieth day of June two thousand and twenty, the general meeting of the Company authorised the management board for a period of five years, commencing on the date on which this deed is executed and consequently ending on the thirtieth day of June two thousand and twenty-five, to limit or exclude pre-emption rights in respect of ordinary shares;</w:t>
      </w:r>
    </w:p>
    <w:p>
      <w:pPr>
        <w:spacing w:after="0" w:line="89" w:lineRule="exact"/>
        <w:rPr>
          <w:rFonts w:ascii="Arial" w:cs="Arial" w:eastAsia="Arial" w:hAnsi="Arial"/>
          <w:sz w:val="18"/>
          <w:szCs w:val="18"/>
          <w:color w:val="auto"/>
        </w:rPr>
      </w:pPr>
    </w:p>
    <w:p>
      <w:pPr>
        <w:ind w:left="544" w:right="20" w:hanging="544"/>
        <w:spacing w:after="0" w:line="291" w:lineRule="auto"/>
        <w:tabs>
          <w:tab w:leader="none" w:pos="544" w:val="left"/>
        </w:tabs>
        <w:numPr>
          <w:ilvl w:val="0"/>
          <w:numId w:val="350"/>
        </w:numPr>
        <w:rPr>
          <w:rFonts w:ascii="Arial" w:cs="Arial" w:eastAsia="Arial" w:hAnsi="Arial"/>
          <w:sz w:val="16"/>
          <w:szCs w:val="16"/>
          <w:color w:val="auto"/>
        </w:rPr>
      </w:pPr>
      <w:r>
        <w:rPr>
          <w:rFonts w:ascii="Arial" w:cs="Arial" w:eastAsia="Arial" w:hAnsi="Arial"/>
          <w:sz w:val="16"/>
          <w:szCs w:val="16"/>
          <w:color w:val="auto"/>
        </w:rPr>
        <w:t>by a resolution, dated the thirtieth day of June two thousand and twenty, the general meeting of the Company authorised the management board for a period of eighteen months, commencing on the date on which this deed is executed and consequently ending on the thirty-first day of December two thousand and twenty-one, to acquire ordinary shares in the share capital of the Company or depositary receipts thereof for consideration. The resolution of the general meeting granting the authorisation specifies that the maximum number of ordinary shares permitted pursuant to applicable law and the articles of association from time to time may be acquired and that ordinary shares may be acquired through repurchases negotiated in the open market or privately, in self-tender offers, or through accelerated repurchase arrangements, at prices ranging from the nominal value of the ordinary shares up to one hundred and ten percent (110%) of the market price of ordinary shares, provided that:</w:t>
      </w:r>
    </w:p>
    <w:p>
      <w:pPr>
        <w:spacing w:after="0" w:line="71" w:lineRule="exact"/>
        <w:rPr>
          <w:rFonts w:ascii="Arial" w:cs="Arial" w:eastAsia="Arial" w:hAnsi="Arial"/>
          <w:sz w:val="16"/>
          <w:szCs w:val="16"/>
          <w:color w:val="auto"/>
        </w:rPr>
      </w:pPr>
    </w:p>
    <w:p>
      <w:pPr>
        <w:ind w:left="1184" w:right="340" w:hanging="644"/>
        <w:spacing w:after="0" w:line="277" w:lineRule="auto"/>
        <w:tabs>
          <w:tab w:leader="none" w:pos="1184" w:val="left"/>
        </w:tabs>
        <w:numPr>
          <w:ilvl w:val="1"/>
          <w:numId w:val="350"/>
        </w:numPr>
        <w:rPr>
          <w:rFonts w:ascii="Arial" w:cs="Arial" w:eastAsia="Arial" w:hAnsi="Arial"/>
          <w:sz w:val="18"/>
          <w:szCs w:val="18"/>
          <w:color w:val="auto"/>
        </w:rPr>
      </w:pPr>
      <w:r>
        <w:rPr>
          <w:rFonts w:ascii="Arial" w:cs="Arial" w:eastAsia="Arial" w:hAnsi="Arial"/>
          <w:sz w:val="18"/>
          <w:szCs w:val="18"/>
          <w:color w:val="auto"/>
        </w:rPr>
        <w:t>for open market or privately negotiated repurchases, the market price shall be the price for ordinary shares on the NASDAQ Stock Market at the time of the transaction;</w:t>
      </w:r>
    </w:p>
    <w:p>
      <w:pPr>
        <w:spacing w:after="0" w:line="75" w:lineRule="exact"/>
        <w:rPr>
          <w:rFonts w:ascii="Arial" w:cs="Arial" w:eastAsia="Arial" w:hAnsi="Arial"/>
          <w:sz w:val="18"/>
          <w:szCs w:val="18"/>
          <w:color w:val="auto"/>
        </w:rPr>
      </w:pPr>
    </w:p>
    <w:p>
      <w:pPr>
        <w:jc w:val="both"/>
        <w:ind w:left="1184" w:right="380" w:hanging="644"/>
        <w:spacing w:after="0" w:line="263" w:lineRule="auto"/>
        <w:tabs>
          <w:tab w:leader="none" w:pos="1184" w:val="left"/>
        </w:tabs>
        <w:numPr>
          <w:ilvl w:val="1"/>
          <w:numId w:val="350"/>
        </w:numPr>
        <w:rPr>
          <w:rFonts w:ascii="Arial" w:cs="Arial" w:eastAsia="Arial" w:hAnsi="Arial"/>
          <w:sz w:val="18"/>
          <w:szCs w:val="18"/>
          <w:color w:val="auto"/>
        </w:rPr>
      </w:pPr>
      <w:r>
        <w:rPr>
          <w:rFonts w:ascii="Arial" w:cs="Arial" w:eastAsia="Arial" w:hAnsi="Arial"/>
          <w:sz w:val="18"/>
          <w:szCs w:val="18"/>
          <w:color w:val="auto"/>
        </w:rPr>
        <w:t>for self-tender offers, the market price shall be the volume weighted average price for the ordinary shares on the NASDAQ Stock Market during a period, determined by the management board, of no less than one and no more than five consecutive trading days immediately prior to the expiration of the tender offer;</w:t>
      </w:r>
    </w:p>
    <w:p>
      <w:pPr>
        <w:spacing w:after="0" w:line="89" w:lineRule="exact"/>
        <w:rPr>
          <w:rFonts w:ascii="Arial" w:cs="Arial" w:eastAsia="Arial" w:hAnsi="Arial"/>
          <w:sz w:val="18"/>
          <w:szCs w:val="18"/>
          <w:color w:val="auto"/>
        </w:rPr>
      </w:pPr>
    </w:p>
    <w:p>
      <w:pPr>
        <w:ind w:left="1184" w:right="320" w:hanging="644"/>
        <w:spacing w:after="0" w:line="277" w:lineRule="auto"/>
        <w:tabs>
          <w:tab w:leader="none" w:pos="1184" w:val="left"/>
        </w:tabs>
        <w:numPr>
          <w:ilvl w:val="1"/>
          <w:numId w:val="350"/>
        </w:numPr>
        <w:rPr>
          <w:rFonts w:ascii="Arial" w:cs="Arial" w:eastAsia="Arial" w:hAnsi="Arial"/>
          <w:sz w:val="18"/>
          <w:szCs w:val="18"/>
          <w:color w:val="auto"/>
        </w:rPr>
      </w:pPr>
      <w:r>
        <w:rPr>
          <w:rFonts w:ascii="Arial" w:cs="Arial" w:eastAsia="Arial" w:hAnsi="Arial"/>
          <w:sz w:val="18"/>
          <w:szCs w:val="18"/>
          <w:color w:val="auto"/>
        </w:rPr>
        <w:t>for accelerated repurchase arrangements, the market price shall be the volume weighted average price of the ordinary shares on the NASDAQ Stock Market over the term of the arrangement.</w:t>
      </w:r>
    </w:p>
    <w:p>
      <w:pPr>
        <w:spacing w:after="0" w:line="62" w:lineRule="exact"/>
        <w:rPr>
          <w:sz w:val="20"/>
          <w:szCs w:val="20"/>
          <w:color w:val="auto"/>
        </w:rPr>
      </w:pPr>
    </w:p>
    <w:p>
      <w:pPr>
        <w:ind w:left="544" w:right="160"/>
        <w:spacing w:after="0" w:line="277" w:lineRule="auto"/>
        <w:rPr>
          <w:sz w:val="20"/>
          <w:szCs w:val="20"/>
          <w:color w:val="auto"/>
        </w:rPr>
      </w:pPr>
      <w:r>
        <w:rPr>
          <w:rFonts w:ascii="Arial" w:cs="Arial" w:eastAsia="Arial" w:hAnsi="Arial"/>
          <w:sz w:val="18"/>
          <w:szCs w:val="18"/>
          <w:color w:val="auto"/>
        </w:rPr>
        <w:t>The volume weighted average price for any number of trading days shall be calculated as the arithmetic average of the daily volume weighted average price on those trading days;</w:t>
      </w:r>
    </w:p>
    <w:p>
      <w:pPr>
        <w:spacing w:after="0" w:line="76" w:lineRule="exact"/>
        <w:rPr>
          <w:sz w:val="20"/>
          <w:szCs w:val="20"/>
          <w:color w:val="auto"/>
        </w:rPr>
      </w:pPr>
    </w:p>
    <w:p>
      <w:pPr>
        <w:ind w:left="544" w:hanging="544"/>
        <w:spacing w:after="0" w:line="291" w:lineRule="auto"/>
        <w:tabs>
          <w:tab w:leader="none" w:pos="544" w:val="left"/>
        </w:tabs>
        <w:numPr>
          <w:ilvl w:val="0"/>
          <w:numId w:val="351"/>
        </w:numPr>
        <w:rPr>
          <w:rFonts w:ascii="Arial" w:cs="Arial" w:eastAsia="Arial" w:hAnsi="Arial"/>
          <w:sz w:val="16"/>
          <w:szCs w:val="16"/>
          <w:color w:val="auto"/>
        </w:rPr>
      </w:pPr>
      <w:r>
        <w:rPr>
          <w:rFonts w:ascii="Arial" w:cs="Arial" w:eastAsia="Arial" w:hAnsi="Arial"/>
          <w:sz w:val="16"/>
          <w:szCs w:val="16"/>
          <w:color w:val="auto"/>
        </w:rPr>
        <w:t>by a resolution, dated the thirtieth day of June two thousand and twenty, the general meeting of the Company authorised the management board for a period of eighteen months, commencing on the date on which this deed is executed and consequently ending on the thirty-first day of December two thousand and twenty-one, to acquire financing preferred shares in the share capital of the Company or depositary receipts thereof for consideration. The resolution of the general meeting granting the authorisation specifies that the maximum number of financing preferred shares permitted pursuant to applicable law and the articles of association from time to time may be acquired and that financing preferred shares may be acquired through repurchases negotiated in the open market or privately, in self-tender offers, or through accelerated repurchase arrangements, at prices ranging from the nominal value of the financing preferred shares up to the higher of:</w:t>
      </w:r>
    </w:p>
    <w:p>
      <w:pPr>
        <w:spacing w:after="0" w:line="71" w:lineRule="exact"/>
        <w:rPr>
          <w:rFonts w:ascii="Arial" w:cs="Arial" w:eastAsia="Arial" w:hAnsi="Arial"/>
          <w:sz w:val="16"/>
          <w:szCs w:val="16"/>
          <w:color w:val="auto"/>
        </w:rPr>
      </w:pPr>
    </w:p>
    <w:p>
      <w:pPr>
        <w:ind w:left="1184" w:right="220" w:hanging="644"/>
        <w:spacing w:after="0" w:line="277" w:lineRule="auto"/>
        <w:tabs>
          <w:tab w:leader="none" w:pos="1184"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the amount that would be paid by the Company upon cancellation of such financing preferred shares in accordance with the relevant provisions of the articles of association of the Company; and</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24"/>
          </w:cols>
          <w:pgMar w:left="436" w:top="274" w:right="539" w:bottom="1440" w:gutter="0" w:footer="0" w:header="0"/>
        </w:sectPr>
      </w:pPr>
    </w:p>
    <w:bookmarkStart w:id="413" w:name="page414"/>
    <w:bookmarkEnd w:id="413"/>
    <w:p>
      <w:pPr>
        <w:ind w:left="1184" w:right="180" w:hanging="644"/>
        <w:spacing w:after="0" w:line="263" w:lineRule="auto"/>
        <w:tabs>
          <w:tab w:leader="none" w:pos="1184" w:val="left"/>
        </w:tabs>
        <w:numPr>
          <w:ilvl w:val="1"/>
          <w:numId w:val="3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one hundred and ten percent (110%) of the market price of the ordinary shares into which the financing preferred shares may be converted in accordance with the relevant provisions of the articles of association of the Company, whereby the market price shall be determined in the manner as set out above under (d);</w:t>
      </w:r>
    </w:p>
    <w:p>
      <w:pPr>
        <w:spacing w:after="0" w:line="89" w:lineRule="exact"/>
        <w:rPr>
          <w:rFonts w:ascii="Arial" w:cs="Arial" w:eastAsia="Arial" w:hAnsi="Arial"/>
          <w:sz w:val="18"/>
          <w:szCs w:val="18"/>
          <w:color w:val="auto"/>
        </w:rPr>
      </w:pPr>
    </w:p>
    <w:p>
      <w:pPr>
        <w:ind w:left="544" w:right="20" w:hanging="544"/>
        <w:spacing w:after="0" w:line="279" w:lineRule="auto"/>
        <w:tabs>
          <w:tab w:leader="none" w:pos="544" w:val="left"/>
        </w:tabs>
        <w:numPr>
          <w:ilvl w:val="0"/>
          <w:numId w:val="353"/>
        </w:numPr>
        <w:rPr>
          <w:rFonts w:ascii="Arial" w:cs="Arial" w:eastAsia="Arial" w:hAnsi="Arial"/>
          <w:sz w:val="17"/>
          <w:szCs w:val="17"/>
          <w:color w:val="auto"/>
        </w:rPr>
      </w:pPr>
      <w:r>
        <w:rPr>
          <w:rFonts w:ascii="Arial" w:cs="Arial" w:eastAsia="Arial" w:hAnsi="Arial"/>
          <w:sz w:val="17"/>
          <w:szCs w:val="17"/>
          <w:color w:val="auto"/>
        </w:rPr>
        <w:t>by a resolution dated the thirtieth day of June two thousand and twenty, the general meeting of the Company resolved that the authorisations referred to above shall survive the transition of the articles of association of the Company in accordance with article 50 of the articles of association and that such authorisations shall, to the extent necessary, from the first day of July two thousand and twenty-one be deemed to have been granted to the board of the Company for the respective unexpired periods of such authorisations;</w:t>
      </w:r>
    </w:p>
    <w:p>
      <w:pPr>
        <w:spacing w:after="0" w:line="76" w:lineRule="exact"/>
        <w:rPr>
          <w:rFonts w:ascii="Arial" w:cs="Arial" w:eastAsia="Arial" w:hAnsi="Arial"/>
          <w:sz w:val="17"/>
          <w:szCs w:val="17"/>
          <w:color w:val="auto"/>
        </w:rPr>
      </w:pPr>
    </w:p>
    <w:p>
      <w:pPr>
        <w:ind w:left="544" w:right="360" w:hanging="544"/>
        <w:spacing w:after="0" w:line="308" w:lineRule="auto"/>
        <w:tabs>
          <w:tab w:leader="none" w:pos="544"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at the time of the present amendment of articles of association becoming effective the issued share capital of the Company amounts to three hundred and thirty-seven thousand nine hundred and twelve euros and sixty-nine eurocents (EUR 337,912.69).</w:t>
      </w:r>
    </w:p>
    <w:p>
      <w:pPr>
        <w:spacing w:after="0" w:line="146"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The certificate of which section 2:72 subsection 1 of the Dutch Civil Code prescribes that it shall be attached to this deed is attached to this deed (</w:t>
      </w:r>
      <w:r>
        <w:rPr>
          <w:rFonts w:ascii="Arial" w:cs="Arial" w:eastAsia="Arial" w:hAnsi="Arial"/>
          <w:sz w:val="18"/>
          <w:szCs w:val="18"/>
          <w:u w:val="single" w:color="auto"/>
          <w:color w:val="auto"/>
        </w:rPr>
        <w:t>annex</w:t>
      </w:r>
      <w:r>
        <w:rPr>
          <w:rFonts w:ascii="Arial" w:cs="Arial" w:eastAsia="Arial" w:hAnsi="Arial"/>
          <w:sz w:val="18"/>
          <w:szCs w:val="18"/>
          <w:color w:val="auto"/>
        </w:rPr>
        <w: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person appearing is known to me, civil law notary.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witness whereof this deed is executed in Amsterdam, the Netherlands, on the date first mentioned in the head of this deed.</w:t>
      </w:r>
    </w:p>
    <w:p>
      <w:pPr>
        <w:spacing w:after="0" w:line="22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After having conveyed the contents of this deed and having given an explanation thereto to the person appearing, she declared that she has taken note of the contents of this deed and agrees with the same. Thereupon, immediately after limited reading of this deed, it is signed by the person appearing and by me, civil law notary, at ten hours and forty-five minutes Central European Time.</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44"/>
          </w:cols>
          <w:pgMar w:left="436" w:top="274" w:right="519" w:bottom="1440" w:gutter="0" w:footer="0" w:header="0"/>
        </w:sectPr>
      </w:pPr>
    </w:p>
    <w:bookmarkStart w:id="414" w:name="page415"/>
    <w:bookmarkEnd w:id="4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PRIVILEGED AND STRICTLY CONFIDENTIAL</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Immatics N.V.</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Paul-Ehrlich-Straße 15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72076 Tübingen,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Republic of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Subject: Immatics N.V. / Legal Opinion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171450</wp:posOffset>
            </wp:positionV>
            <wp:extent cx="1303020" cy="90043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6">
                      <a:extLst>
                        <a:ext uri="{28A0092B-C50C-407E-A947-70E740481C1C}"/>
                      </a:extLst>
                    </a:blip>
                    <a:srcRect/>
                    <a:stretch>
                      <a:fillRect/>
                    </a:stretch>
                  </pic:blipFill>
                  <pic:spPr bwMode="auto">
                    <a:xfrm>
                      <a:off x="0" y="0"/>
                      <a:ext cx="130302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CMS Derks Star Busmann N.V.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Atrium | Parnassusweg 737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NL-1077 DG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94700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NL-1090 GS Amsterdam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Bank account (Stichting Derdengelden)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Iban: NL31 RABO 0103 3545 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Swift/bic: RABONL2U</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+31 20 301 63 01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+31 20 301 63 35</w:t>
      </w: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31 July 2020</w:t>
      </w:r>
    </w:p>
    <w:p>
      <w:pPr>
        <w:spacing w:after="0" w:line="632" w:lineRule="exact"/>
        <w:rPr>
          <w:sz w:val="20"/>
          <w:szCs w:val="20"/>
          <w:color w:val="auto"/>
        </w:rPr>
      </w:pPr>
    </w:p>
    <w:p>
      <w:pPr>
        <w:sectPr>
          <w:pgSz w:w="11900" w:h="16838" w:orient="portrait"/>
          <w:cols w:equalWidth="0" w:num="2">
            <w:col w:w="6904" w:space="720"/>
            <w:col w:w="3400"/>
          </w:cols>
          <w:pgMar w:left="436" w:top="121" w:right="439" w:bottom="1440" w:gutter="0" w:footer="0" w:header="0"/>
        </w:sectPr>
      </w:pPr>
    </w:p>
    <w:p>
      <w:pPr>
        <w:spacing w:after="0" w:line="25" w:lineRule="exact"/>
        <w:rPr>
          <w:sz w:val="20"/>
          <w:szCs w:val="20"/>
          <w:color w:val="auto"/>
        </w:rPr>
      </w:pPr>
    </w:p>
    <w:p>
      <w:pPr>
        <w:ind w:left="4" w:right="260"/>
        <w:spacing w:after="0" w:line="255" w:lineRule="auto"/>
        <w:rPr>
          <w:sz w:val="20"/>
          <w:szCs w:val="20"/>
          <w:color w:val="auto"/>
        </w:rPr>
      </w:pPr>
      <w:r>
        <w:rPr>
          <w:rFonts w:ascii="Arial" w:cs="Arial" w:eastAsia="Arial" w:hAnsi="Arial"/>
          <w:sz w:val="18"/>
          <w:szCs w:val="18"/>
          <w:color w:val="auto"/>
        </w:rPr>
        <w:t>We have acted as Dutch legal counsel to Immatics N.V., a public company with limited liability (</w:t>
      </w:r>
      <w:r>
        <w:rPr>
          <w:rFonts w:ascii="Arial" w:cs="Arial" w:eastAsia="Arial" w:hAnsi="Arial"/>
          <w:sz w:val="18"/>
          <w:szCs w:val="18"/>
          <w:i w:val="1"/>
          <w:iCs w:val="1"/>
          <w:color w:val="auto"/>
        </w:rPr>
        <w:t>naamloze vennootschap</w:t>
      </w:r>
      <w:r>
        <w:rPr>
          <w:rFonts w:ascii="Arial" w:cs="Arial" w:eastAsia="Arial" w:hAnsi="Arial"/>
          <w:sz w:val="18"/>
          <w:szCs w:val="18"/>
          <w:color w:val="auto"/>
        </w:rPr>
        <w:t>) of Amsterdam, the Netherlands (the “</w:t>
      </w:r>
      <w:r>
        <w:rPr>
          <w:rFonts w:ascii="Arial" w:cs="Arial" w:eastAsia="Arial" w:hAnsi="Arial"/>
          <w:sz w:val="18"/>
          <w:szCs w:val="18"/>
          <w:b w:val="1"/>
          <w:bCs w:val="1"/>
          <w:color w:val="auto"/>
        </w:rPr>
        <w:t>Company</w:t>
      </w:r>
      <w:r>
        <w:rPr>
          <w:rFonts w:ascii="Arial" w:cs="Arial" w:eastAsia="Arial" w:hAnsi="Arial"/>
          <w:sz w:val="18"/>
          <w:szCs w:val="18"/>
          <w:color w:val="auto"/>
        </w:rPr>
        <w:t>”) in respect of certain matters of Dutch law in connection with the filing of a registration statement on Form F-1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the United States Securities and Exchange Commission. The Registration Statement describes the business combination between Immatics Biotechnologies GmbH and Arya Sciences Acquisition Corp. (“</w:t>
      </w:r>
      <w:r>
        <w:rPr>
          <w:rFonts w:ascii="Arial" w:cs="Arial" w:eastAsia="Arial" w:hAnsi="Arial"/>
          <w:sz w:val="18"/>
          <w:szCs w:val="18"/>
          <w:b w:val="1"/>
          <w:bCs w:val="1"/>
          <w:color w:val="auto"/>
        </w:rPr>
        <w:t>ARYA</w:t>
      </w:r>
      <w:r>
        <w:rPr>
          <w:rFonts w:ascii="Arial" w:cs="Arial" w:eastAsia="Arial" w:hAnsi="Arial"/>
          <w:sz w:val="18"/>
          <w:szCs w:val="18"/>
          <w:color w:val="auto"/>
        </w:rPr>
        <w:t>”), pursuant to which several transactions have occurred and in connection therewith, the Company has become the ultimate parent company of Immatics Biotechnologies GmbH and ARYA (the “</w:t>
      </w:r>
      <w:r>
        <w:rPr>
          <w:rFonts w:ascii="Arial" w:cs="Arial" w:eastAsia="Arial" w:hAnsi="Arial"/>
          <w:sz w:val="18"/>
          <w:szCs w:val="18"/>
          <w:b w:val="1"/>
          <w:bCs w:val="1"/>
          <w:color w:val="auto"/>
        </w:rPr>
        <w:t>Business Combination</w:t>
      </w:r>
      <w:r>
        <w:rPr>
          <w:rFonts w:ascii="Arial" w:cs="Arial" w:eastAsia="Arial" w:hAnsi="Arial"/>
          <w:sz w:val="18"/>
          <w:szCs w:val="18"/>
          <w:color w:val="auto"/>
        </w:rPr>
        <w:t>”).</w:t>
      </w:r>
    </w:p>
    <w:p>
      <w:pPr>
        <w:spacing w:after="0" w:line="192"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As part of the Business Combination, 10,415,000 ordinary shares in the capital of the Company with a nominal value of € 0.01 each have been issued to the PIPE Investors (as such term has been defined in the Registration Statement) (the “</w:t>
      </w:r>
      <w:r>
        <w:rPr>
          <w:rFonts w:ascii="Arial" w:cs="Arial" w:eastAsia="Arial" w:hAnsi="Arial"/>
          <w:sz w:val="18"/>
          <w:szCs w:val="18"/>
          <w:b w:val="1"/>
          <w:bCs w:val="1"/>
          <w:color w:val="auto"/>
        </w:rPr>
        <w:t>PIPE Shares</w:t>
      </w:r>
      <w:r>
        <w:rPr>
          <w:rFonts w:ascii="Arial" w:cs="Arial" w:eastAsia="Arial" w:hAnsi="Arial"/>
          <w:sz w:val="18"/>
          <w:szCs w:val="18"/>
          <w:color w:val="auto"/>
        </w:rPr>
        <w: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do not express any opinion in relation to the content of the Registration Statement.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 of this legal opinion, we have examined and relied solely upon the following documents:</w:t>
      </w:r>
    </w:p>
    <w:p>
      <w:pPr>
        <w:spacing w:after="0" w:line="127" w:lineRule="exact"/>
        <w:rPr>
          <w:sz w:val="20"/>
          <w:szCs w:val="20"/>
          <w:color w:val="auto"/>
        </w:rPr>
      </w:pPr>
    </w:p>
    <w:p>
      <w:pPr>
        <w:ind w:left="544" w:right="1260" w:hanging="544"/>
        <w:spacing w:after="0" w:line="312" w:lineRule="auto"/>
        <w:tabs>
          <w:tab w:leader="none" w:pos="544" w:val="left"/>
        </w:tabs>
        <w:numPr>
          <w:ilvl w:val="0"/>
          <w:numId w:val="354"/>
        </w:numPr>
        <w:rPr>
          <w:rFonts w:ascii="Arial" w:cs="Arial" w:eastAsia="Arial" w:hAnsi="Arial"/>
          <w:sz w:val="17"/>
          <w:szCs w:val="17"/>
          <w:color w:val="auto"/>
        </w:rPr>
      </w:pPr>
      <w:r>
        <w:rPr>
          <w:rFonts w:ascii="Arial" w:cs="Arial" w:eastAsia="Arial" w:hAnsi="Arial"/>
          <w:sz w:val="17"/>
          <w:szCs w:val="17"/>
          <w:color w:val="auto"/>
        </w:rPr>
        <w:t>an electronically received copy of an extract relative to the Company, dated 31 July 2020 (the “</w:t>
      </w:r>
      <w:r>
        <w:rPr>
          <w:rFonts w:ascii="Arial" w:cs="Arial" w:eastAsia="Arial" w:hAnsi="Arial"/>
          <w:sz w:val="17"/>
          <w:szCs w:val="17"/>
          <w:b w:val="1"/>
          <w:bCs w:val="1"/>
          <w:color w:val="auto"/>
        </w:rPr>
        <w:t>Extract</w:t>
      </w:r>
      <w:r>
        <w:rPr>
          <w:rFonts w:ascii="Arial" w:cs="Arial" w:eastAsia="Arial" w:hAnsi="Arial"/>
          <w:sz w:val="17"/>
          <w:szCs w:val="17"/>
          <w:color w:val="auto"/>
        </w:rPr>
        <w:t>”) from the trade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of the Dutch Chamber of Commerce (</w:t>
      </w:r>
      <w:r>
        <w:rPr>
          <w:rFonts w:ascii="Arial" w:cs="Arial" w:eastAsia="Arial" w:hAnsi="Arial"/>
          <w:sz w:val="17"/>
          <w:szCs w:val="17"/>
          <w:i w:val="1"/>
          <w:iCs w:val="1"/>
          <w:color w:val="auto"/>
        </w:rPr>
        <w:t>Kamer van Koophandel</w:t>
      </w:r>
      <w:r>
        <w:rPr>
          <w:rFonts w:ascii="Arial" w:cs="Arial" w:eastAsia="Arial" w:hAnsi="Arial"/>
          <w:sz w:val="17"/>
          <w:szCs w:val="17"/>
          <w:color w:val="auto"/>
        </w:rPr>
        <w:t>) (the “</w:t>
      </w:r>
      <w:r>
        <w:rPr>
          <w:rFonts w:ascii="Arial" w:cs="Arial" w:eastAsia="Arial" w:hAnsi="Arial"/>
          <w:sz w:val="17"/>
          <w:szCs w:val="17"/>
          <w:b w:val="1"/>
          <w:bCs w:val="1"/>
          <w:color w:val="auto"/>
        </w:rPr>
        <w:t>Trade Register</w:t>
      </w:r>
      <w:r>
        <w:rPr>
          <w:rFonts w:ascii="Arial" w:cs="Arial" w:eastAsia="Arial" w:hAnsi="Arial"/>
          <w:sz w:val="17"/>
          <w:szCs w:val="17"/>
          <w:color w:val="auto"/>
        </w:rPr>
        <w:t>”);</w:t>
      </w:r>
    </w:p>
    <w:p>
      <w:pPr>
        <w:spacing w:after="0" w:line="45" w:lineRule="exact"/>
        <w:rPr>
          <w:rFonts w:ascii="Arial" w:cs="Arial" w:eastAsia="Arial" w:hAnsi="Arial"/>
          <w:sz w:val="17"/>
          <w:szCs w:val="17"/>
          <w:color w:val="auto"/>
        </w:rPr>
      </w:pPr>
    </w:p>
    <w:p>
      <w:pPr>
        <w:ind w:left="544" w:right="260" w:hanging="544"/>
        <w:spacing w:after="0" w:line="266" w:lineRule="auto"/>
        <w:tabs>
          <w:tab w:leader="none" w:pos="54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 official copy of the notarial deed of incorporation (</w:t>
      </w:r>
      <w:r>
        <w:rPr>
          <w:rFonts w:ascii="Arial" w:cs="Arial" w:eastAsia="Arial" w:hAnsi="Arial"/>
          <w:sz w:val="18"/>
          <w:szCs w:val="18"/>
          <w:i w:val="1"/>
          <w:iCs w:val="1"/>
          <w:color w:val="auto"/>
        </w:rPr>
        <w:t>akte van oprichting</w:t>
      </w:r>
      <w:r>
        <w:rPr>
          <w:rFonts w:ascii="Arial" w:cs="Arial" w:eastAsia="Arial" w:hAnsi="Arial"/>
          <w:sz w:val="18"/>
          <w:szCs w:val="18"/>
          <w:color w:val="auto"/>
        </w:rPr>
        <w:t>) of Immatics B.V., dated 10 March 2020 (the “</w:t>
      </w:r>
      <w:r>
        <w:rPr>
          <w:rFonts w:ascii="Arial" w:cs="Arial" w:eastAsia="Arial" w:hAnsi="Arial"/>
          <w:sz w:val="18"/>
          <w:szCs w:val="18"/>
          <w:b w:val="1"/>
          <w:bCs w:val="1"/>
          <w:color w:val="auto"/>
        </w:rPr>
        <w:t>Deed of</w:t>
      </w:r>
      <w:r>
        <w:rPr>
          <w:rFonts w:ascii="Arial" w:cs="Arial" w:eastAsia="Arial" w:hAnsi="Arial"/>
          <w:sz w:val="18"/>
          <w:szCs w:val="18"/>
          <w:color w:val="auto"/>
        </w:rPr>
        <w:t xml:space="preserve"> </w:t>
      </w:r>
      <w:r>
        <w:rPr>
          <w:rFonts w:ascii="Arial" w:cs="Arial" w:eastAsia="Arial" w:hAnsi="Arial"/>
          <w:sz w:val="18"/>
          <w:szCs w:val="18"/>
          <w:b w:val="1"/>
          <w:bCs w:val="1"/>
          <w:color w:val="auto"/>
        </w:rPr>
        <w:t>Incorporation</w:t>
      </w:r>
      <w:r>
        <w:rPr>
          <w:rFonts w:ascii="Arial" w:cs="Arial" w:eastAsia="Arial" w:hAnsi="Arial"/>
          <w:sz w:val="18"/>
          <w:szCs w:val="18"/>
          <w:color w:val="auto"/>
        </w:rPr>
        <w:t>”), containing the articles of association of the Company before the execution of the Deed of Conversion (the “</w:t>
      </w:r>
      <w:r>
        <w:rPr>
          <w:rFonts w:ascii="Arial" w:cs="Arial" w:eastAsia="Arial" w:hAnsi="Arial"/>
          <w:sz w:val="18"/>
          <w:szCs w:val="18"/>
          <w:b w:val="1"/>
          <w:bCs w:val="1"/>
          <w:color w:val="auto"/>
        </w:rPr>
        <w:t>B.V. Articles of Association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69951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5" w:lineRule="exact"/>
        <w:rPr>
          <w:sz w:val="20"/>
          <w:szCs w:val="20"/>
          <w:color w:val="auto"/>
        </w:rPr>
      </w:pPr>
    </w:p>
    <w:p>
      <w:pPr>
        <w:ind w:left="4" w:right="20"/>
        <w:spacing w:after="0" w:line="231" w:lineRule="auto"/>
        <w:rPr>
          <w:sz w:val="20"/>
          <w:szCs w:val="20"/>
          <w:color w:val="auto"/>
        </w:rPr>
      </w:pPr>
      <w:r>
        <w:rPr>
          <w:rFonts w:ascii="Arial" w:cs="Arial" w:eastAsia="Arial" w:hAnsi="Arial"/>
          <w:sz w:val="14"/>
          <w:szCs w:val="14"/>
          <w:color w:val="auto"/>
        </w:rPr>
        <w:t>All services are rendered under an agreement of instruction with CMS Derks Star Busmann N.V., with registered office in Amsterdam, the Netherlands. This agreement is subject to the General Conditions of CMS Derks Star Busmann N.V., which have been filed with the registrar of the District Court Amsterdam, the Netherlands, under no. 2017/51 and which contain a limitation of liability. These terms have been published on the website cms.law and will be provided upon request. CMS Derks Star Busmann N.V. is a company with limited liability under the laws of the Netherlands and is registered in the Netherlands with the trade register under no. 30201194 and in Belgium with the RPR Brussels under no. 0877.478.727. The VAT number of CMS Derks Star Busmann N.V. for the Netherlands is NL8140.16.479.B01 and for Belgium BE 0877.478.727.</w:t>
      </w:r>
    </w:p>
    <w:p>
      <w:pPr>
        <w:spacing w:after="0" w:line="184" w:lineRule="exact"/>
        <w:rPr>
          <w:sz w:val="20"/>
          <w:szCs w:val="20"/>
          <w:color w:val="auto"/>
        </w:rPr>
      </w:pPr>
    </w:p>
    <w:p>
      <w:pPr>
        <w:ind w:left="4" w:right="200"/>
        <w:spacing w:after="0" w:line="253" w:lineRule="auto"/>
        <w:rPr>
          <w:sz w:val="20"/>
          <w:szCs w:val="20"/>
          <w:color w:val="auto"/>
        </w:rPr>
      </w:pPr>
      <w:r>
        <w:rPr>
          <w:rFonts w:ascii="Arial" w:cs="Arial" w:eastAsia="Arial" w:hAnsi="Arial"/>
          <w:sz w:val="14"/>
          <w:szCs w:val="14"/>
          <w:color w:val="auto"/>
        </w:rPr>
        <w:t>CMS Derks Star Busmann is a member of CMS, the organisation of European law firms. In certain circumstances, CMS is used as a brand or business name of, or to refer to, some or all of the member firms or their offices. Further information can be found at www.cms.law.</w:t>
      </w:r>
    </w:p>
    <w:p>
      <w:pPr>
        <w:spacing w:after="0" w:line="174" w:lineRule="exact"/>
        <w:rPr>
          <w:sz w:val="20"/>
          <w:szCs w:val="20"/>
          <w:color w:val="auto"/>
        </w:rPr>
      </w:pPr>
    </w:p>
    <w:p>
      <w:pPr>
        <w:ind w:left="4" w:right="140"/>
        <w:spacing w:after="0" w:line="264" w:lineRule="auto"/>
        <w:rPr>
          <w:sz w:val="20"/>
          <w:szCs w:val="20"/>
          <w:color w:val="auto"/>
        </w:rPr>
      </w:pPr>
      <w:r>
        <w:rPr>
          <w:rFonts w:ascii="Arial" w:cs="Arial" w:eastAsia="Arial" w:hAnsi="Arial"/>
          <w:sz w:val="13"/>
          <w:szCs w:val="13"/>
          <w:color w:val="auto"/>
        </w:rPr>
        <w:t>CMS offices and associated offices: Aberdeen, Algiers, Amsterdam, Antwerp, Barcelona, Beijing, Belgrade, Berlin, Bratislava, Bristol, Brussels, Bucharest, Budapest, Casablanca, Cologne, Dresden, Duesseldorf, Dubai, Edinburgh, Frankfurt, Geneva, Hamburg, Hong Kong, Istanbul, Kyiv, Leipzig, Lisbon, Ljubljana, London, Luxembourg, Lyon, Madrid, Milan, Moscow, Munich, Muscat, Paris, Prague, Rio de Janeiro, Rome, Sarajevo, Seville, Shanghai, Sofia, Strasbourg, Stuttgart, Tehran, Tirana, Utrecht, Vienna, Warsaw, Zagreb and Zurich.</w:t>
      </w:r>
    </w:p>
    <w:p>
      <w:pPr>
        <w:sectPr>
          <w:pgSz w:w="11900" w:h="16838" w:orient="portrait"/>
          <w:cols w:equalWidth="0" w:num="1">
            <w:col w:w="11024"/>
          </w:cols>
          <w:pgMar w:left="436" w:top="121" w:right="439" w:bottom="1440" w:gutter="0" w:footer="0" w:header="0"/>
          <w:type w:val="continuous"/>
        </w:sectPr>
      </w:pPr>
    </w:p>
    <w:bookmarkStart w:id="415" w:name="page416"/>
    <w:bookmarkEnd w:id="4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663575</wp:posOffset>
            </wp:positionV>
            <wp:extent cx="6995160" cy="49549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495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4" w:right="140" w:hanging="544"/>
        <w:spacing w:after="0" w:line="282" w:lineRule="auto"/>
        <w:tabs>
          <w:tab w:leader="none" w:pos="54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 official copy of the notarial deed of conversion, dated 1 July 2020 (the “</w:t>
      </w:r>
      <w:r>
        <w:rPr>
          <w:rFonts w:ascii="Arial" w:cs="Arial" w:eastAsia="Arial" w:hAnsi="Arial"/>
          <w:sz w:val="18"/>
          <w:szCs w:val="18"/>
          <w:b w:val="1"/>
          <w:bCs w:val="1"/>
          <w:color w:val="auto"/>
        </w:rPr>
        <w:t>Deed of Conversion</w:t>
      </w:r>
      <w:r>
        <w:rPr>
          <w:rFonts w:ascii="Arial" w:cs="Arial" w:eastAsia="Arial" w:hAnsi="Arial"/>
          <w:sz w:val="18"/>
          <w:szCs w:val="18"/>
          <w:color w:val="auto"/>
        </w:rPr>
        <w:t>”), containing the current articles of association of the Company (the “</w:t>
      </w:r>
      <w:r>
        <w:rPr>
          <w:rFonts w:ascii="Arial" w:cs="Arial" w:eastAsia="Arial" w:hAnsi="Arial"/>
          <w:sz w:val="18"/>
          <w:szCs w:val="18"/>
          <w:b w:val="1"/>
          <w:bCs w:val="1"/>
          <w:color w:val="auto"/>
        </w:rPr>
        <w:t>N.V. Articles of Association</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44" w:hanging="544"/>
        <w:spacing w:after="0"/>
        <w:tabs>
          <w:tab w:leader="none" w:pos="54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 copy of the deed of issue of the PIPE Shares to the investors as set out in the deed (the “</w:t>
      </w:r>
      <w:r>
        <w:rPr>
          <w:rFonts w:ascii="Arial" w:cs="Arial" w:eastAsia="Arial" w:hAnsi="Arial"/>
          <w:sz w:val="18"/>
          <w:szCs w:val="18"/>
          <w:b w:val="1"/>
          <w:bCs w:val="1"/>
          <w:color w:val="auto"/>
        </w:rPr>
        <w:t>Deed of Issue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4" w:right="120" w:hanging="544"/>
        <w:spacing w:after="0" w:line="282" w:lineRule="auto"/>
        <w:tabs>
          <w:tab w:leader="none" w:pos="54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 electronically received copy of a written resolution of the management board (</w:t>
      </w:r>
      <w:r>
        <w:rPr>
          <w:rFonts w:ascii="Arial" w:cs="Arial" w:eastAsia="Arial" w:hAnsi="Arial"/>
          <w:sz w:val="18"/>
          <w:szCs w:val="18"/>
          <w:i w:val="1"/>
          <w:iCs w:val="1"/>
          <w:color w:val="auto"/>
        </w:rPr>
        <w:t>het bestuur</w:t>
      </w:r>
      <w:r>
        <w:rPr>
          <w:rFonts w:ascii="Arial" w:cs="Arial" w:eastAsia="Arial" w:hAnsi="Arial"/>
          <w:sz w:val="18"/>
          <w:szCs w:val="18"/>
          <w:color w:val="auto"/>
        </w:rPr>
        <w:t>) of the Company, dated 30 June 2020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w:t>
      </w:r>
      <w:r>
        <w:rPr>
          <w:rFonts w:ascii="Arial" w:cs="Arial" w:eastAsia="Arial" w:hAnsi="Arial"/>
          <w:sz w:val="18"/>
          <w:szCs w:val="18"/>
          <w:color w:val="auto"/>
        </w:rPr>
        <w:t>”); and</w:t>
      </w:r>
    </w:p>
    <w:p>
      <w:pPr>
        <w:spacing w:after="0" w:line="71" w:lineRule="exact"/>
        <w:rPr>
          <w:rFonts w:ascii="Arial" w:cs="Arial" w:eastAsia="Arial" w:hAnsi="Arial"/>
          <w:sz w:val="18"/>
          <w:szCs w:val="18"/>
          <w:color w:val="auto"/>
        </w:rPr>
      </w:pPr>
    </w:p>
    <w:p>
      <w:pPr>
        <w:ind w:left="544" w:right="160" w:hanging="544"/>
        <w:spacing w:after="0" w:line="342" w:lineRule="auto"/>
        <w:tabs>
          <w:tab w:leader="none" w:pos="544" w:val="left"/>
        </w:tabs>
        <w:numPr>
          <w:ilvl w:val="0"/>
          <w:numId w:val="355"/>
        </w:numPr>
        <w:rPr>
          <w:rFonts w:ascii="Arial" w:cs="Arial" w:eastAsia="Arial" w:hAnsi="Arial"/>
          <w:sz w:val="16"/>
          <w:szCs w:val="16"/>
          <w:color w:val="auto"/>
        </w:rPr>
      </w:pPr>
      <w:r>
        <w:rPr>
          <w:rFonts w:ascii="Arial" w:cs="Arial" w:eastAsia="Arial" w:hAnsi="Arial"/>
          <w:sz w:val="16"/>
          <w:szCs w:val="16"/>
          <w:color w:val="auto"/>
        </w:rPr>
        <w:t>an electronically received copy of a written resolution of the general meeting (</w:t>
      </w:r>
      <w:r>
        <w:rPr>
          <w:rFonts w:ascii="Arial" w:cs="Arial" w:eastAsia="Arial" w:hAnsi="Arial"/>
          <w:sz w:val="16"/>
          <w:szCs w:val="16"/>
          <w:i w:val="1"/>
          <w:iCs w:val="1"/>
          <w:color w:val="auto"/>
        </w:rPr>
        <w:t>algemene vergadering</w:t>
      </w:r>
      <w:r>
        <w:rPr>
          <w:rFonts w:ascii="Arial" w:cs="Arial" w:eastAsia="Arial" w:hAnsi="Arial"/>
          <w:sz w:val="16"/>
          <w:szCs w:val="16"/>
          <w:color w:val="auto"/>
        </w:rPr>
        <w:t>) of the Company, dated 30 June 2020 (the “</w:t>
      </w:r>
      <w:r>
        <w:rPr>
          <w:rFonts w:ascii="Arial" w:cs="Arial" w:eastAsia="Arial" w:hAnsi="Arial"/>
          <w:sz w:val="16"/>
          <w:szCs w:val="16"/>
          <w:b w:val="1"/>
          <w:bCs w:val="1"/>
          <w:color w:val="auto"/>
        </w:rPr>
        <w:t>Shareholder Resolution</w:t>
      </w:r>
      <w:r>
        <w:rPr>
          <w:rFonts w:ascii="Arial" w:cs="Arial" w:eastAsia="Arial" w:hAnsi="Arial"/>
          <w:sz w:val="16"/>
          <w:szCs w:val="16"/>
          <w:color w:val="auto"/>
        </w:rPr>
        <w:t>”, the Shareholder Resolution and the Board Resolution shall collectively be referred to as the “</w:t>
      </w:r>
      <w:r>
        <w:rPr>
          <w:rFonts w:ascii="Arial" w:cs="Arial" w:eastAsia="Arial" w:hAnsi="Arial"/>
          <w:sz w:val="16"/>
          <w:szCs w:val="16"/>
          <w:b w:val="1"/>
          <w:bCs w:val="1"/>
          <w:color w:val="auto"/>
        </w:rPr>
        <w:t>Resolutions</w:t>
      </w:r>
      <w:r>
        <w:rPr>
          <w:rFonts w:ascii="Arial" w:cs="Arial" w:eastAsia="Arial" w:hAnsi="Arial"/>
          <w:sz w:val="16"/>
          <w:szCs w:val="16"/>
          <w:color w:val="auto"/>
        </w:rPr>
        <w:t>”).</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connection with such examination and for the purpose of the legal opinion expressed herein we have assumed:</w:t>
      </w:r>
    </w:p>
    <w:p>
      <w:pPr>
        <w:spacing w:after="0" w:line="131" w:lineRule="exact"/>
        <w:rPr>
          <w:sz w:val="20"/>
          <w:szCs w:val="20"/>
          <w:color w:val="auto"/>
        </w:rPr>
      </w:pPr>
    </w:p>
    <w:p>
      <w:pPr>
        <w:ind w:left="544" w:hanging="544"/>
        <w:spacing w:after="0"/>
        <w:tabs>
          <w:tab w:leader="none" w:pos="54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at the time of the issuance of the PIPE Shares, the Company’s authorized capital was sufficient;</w:t>
      </w:r>
    </w:p>
    <w:p>
      <w:pPr>
        <w:spacing w:after="0" w:line="130" w:lineRule="exact"/>
        <w:rPr>
          <w:rFonts w:ascii="Arial" w:cs="Arial" w:eastAsia="Arial" w:hAnsi="Arial"/>
          <w:sz w:val="18"/>
          <w:szCs w:val="18"/>
          <w:color w:val="auto"/>
        </w:rPr>
      </w:pPr>
    </w:p>
    <w:p>
      <w:pPr>
        <w:ind w:left="544" w:right="200" w:hanging="544"/>
        <w:spacing w:after="0" w:line="277" w:lineRule="auto"/>
        <w:tabs>
          <w:tab w:leader="none" w:pos="54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PIPE Shares issued pursuant to the Deed of Issue have been accepted by their subscribers in accordance with all applicable laws (including for the avoidance of doubt, Dutch law);</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PIPE Shares have been validly paid up at the time of the issuance;</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genuineness of all signatures on all original documents of the persons purported to have signed the same;</w:t>
      </w:r>
    </w:p>
    <w:p>
      <w:pPr>
        <w:spacing w:after="0" w:line="130" w:lineRule="exact"/>
        <w:rPr>
          <w:rFonts w:ascii="Arial" w:cs="Arial" w:eastAsia="Arial" w:hAnsi="Arial"/>
          <w:sz w:val="18"/>
          <w:szCs w:val="18"/>
          <w:color w:val="auto"/>
        </w:rPr>
      </w:pPr>
    </w:p>
    <w:p>
      <w:pPr>
        <w:ind w:left="544" w:right="160" w:hanging="544"/>
        <w:spacing w:after="0" w:line="277" w:lineRule="auto"/>
        <w:tabs>
          <w:tab w:leader="none" w:pos="54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conformity to their originals of all documents submitted or transmitted to us in the form of photocopies, electronically or otherwise, and the authenticity and completeness of such originals;</w:t>
      </w:r>
    </w:p>
    <w:p>
      <w:pPr>
        <w:spacing w:after="0" w:line="75" w:lineRule="exact"/>
        <w:rPr>
          <w:rFonts w:ascii="Arial" w:cs="Arial" w:eastAsia="Arial" w:hAnsi="Arial"/>
          <w:sz w:val="18"/>
          <w:szCs w:val="18"/>
          <w:color w:val="auto"/>
        </w:rPr>
      </w:pPr>
    </w:p>
    <w:p>
      <w:pPr>
        <w:ind w:left="544" w:right="240" w:hanging="544"/>
        <w:spacing w:after="0" w:line="263" w:lineRule="auto"/>
        <w:tabs>
          <w:tab w:leader="none" w:pos="54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that the Resolutions and the resolutions reflected therein have been validly signed and were and are in full force and effect at the time of the issuance of the PIPE Shares and that none of these resolutions have been or will be withdrawn or restated and that no resolutions have been or will be adopted to amend the contents of these resolutions;</w:t>
      </w:r>
    </w:p>
    <w:p>
      <w:pPr>
        <w:spacing w:after="0" w:line="89" w:lineRule="exact"/>
        <w:rPr>
          <w:rFonts w:ascii="Arial" w:cs="Arial" w:eastAsia="Arial" w:hAnsi="Arial"/>
          <w:sz w:val="18"/>
          <w:szCs w:val="18"/>
          <w:color w:val="auto"/>
        </w:rPr>
      </w:pPr>
    </w:p>
    <w:p>
      <w:pPr>
        <w:ind w:left="544" w:right="20" w:hanging="544"/>
        <w:spacing w:after="0" w:line="263" w:lineRule="auto"/>
        <w:tabs>
          <w:tab w:leader="none" w:pos="54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that the Deed of Incorporation and the Deed of Conversion are valid notarial deeds (</w:t>
      </w:r>
      <w:r>
        <w:rPr>
          <w:rFonts w:ascii="Arial" w:cs="Arial" w:eastAsia="Arial" w:hAnsi="Arial"/>
          <w:sz w:val="18"/>
          <w:szCs w:val="18"/>
          <w:i w:val="1"/>
          <w:iCs w:val="1"/>
          <w:color w:val="auto"/>
        </w:rPr>
        <w:t>notariële aktes</w:t>
      </w:r>
      <w:r>
        <w:rPr>
          <w:rFonts w:ascii="Arial" w:cs="Arial" w:eastAsia="Arial" w:hAnsi="Arial"/>
          <w:sz w:val="18"/>
          <w:szCs w:val="18"/>
          <w:color w:val="auto"/>
        </w:rPr>
        <w:t>), that the contents thereof are correct and complete, it being hereby confirmed that on the face of the Deed of Incorporation and the Deed of Conversion it does not appear that the Deed of Incorporation and the Deed of Conversion are not valid notarial deeds;</w:t>
      </w:r>
    </w:p>
    <w:p>
      <w:pPr>
        <w:spacing w:after="0" w:line="89" w:lineRule="exact"/>
        <w:rPr>
          <w:rFonts w:ascii="Arial" w:cs="Arial" w:eastAsia="Arial" w:hAnsi="Arial"/>
          <w:sz w:val="18"/>
          <w:szCs w:val="18"/>
          <w:color w:val="auto"/>
        </w:rPr>
      </w:pPr>
    </w:p>
    <w:p>
      <w:pPr>
        <w:ind w:left="544" w:hanging="544"/>
        <w:spacing w:after="0" w:line="286" w:lineRule="auto"/>
        <w:tabs>
          <w:tab w:leader="none" w:pos="544"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that the B.V. Articles of Association were in full force and effect before the execution of the Deed of Conversion and that the N.V. Articles of Association are in full force and effect as at the date hereof, it being hereby confirmed that on the face of the N.V. Articles of Association and the Extract it does not appear that the N.V. Articles of Association are not in full force and effect as at the date hereof;</w:t>
      </w:r>
    </w:p>
    <w:p>
      <w:pPr>
        <w:sectPr>
          <w:pgSz w:w="11900" w:h="16838" w:orient="portrait"/>
          <w:cols w:equalWidth="0" w:num="1">
            <w:col w:w="11004"/>
          </w:cols>
          <w:pgMar w:left="436" w:top="1440" w:right="459" w:bottom="0" w:gutter="0" w:footer="0" w:header="0"/>
        </w:sectPr>
      </w:pPr>
    </w:p>
    <w:bookmarkStart w:id="416" w:name="page417"/>
    <w:bookmarkEnd w:id="416"/>
    <w:p>
      <w:pPr>
        <w:ind w:left="544" w:hanging="544"/>
        <w:spacing w:after="0" w:line="263" w:lineRule="auto"/>
        <w:tabs>
          <w:tab w:leader="none" w:pos="54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any and all authorisations and consents of, or other filings with or notifications to, any public authority or other relevant body or person in or of any jurisdiction which may be required (other than under Dutch law) in respect of the execution or performance of the Business Combination have been or will be duly obtained or made, as the case may be;</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864"/>
          </w:cols>
          <w:pgMar w:left="436" w:top="125" w:right="599" w:bottom="1440" w:gutter="0" w:footer="0" w:header="0"/>
        </w:sectPr>
      </w:pPr>
    </w:p>
    <w:bookmarkStart w:id="417" w:name="page418"/>
    <w:bookmarkEnd w:id="4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663575</wp:posOffset>
            </wp:positionV>
            <wp:extent cx="6995160" cy="49549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495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4" w:hanging="544"/>
        <w:spacing w:after="0" w:line="263" w:lineRule="auto"/>
        <w:tabs>
          <w:tab w:leader="none" w:pos="54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that no petition has been presented to nor order made by a court for the bankruptcy (</w:t>
      </w:r>
      <w:r>
        <w:rPr>
          <w:rFonts w:ascii="Arial" w:cs="Arial" w:eastAsia="Arial" w:hAnsi="Arial"/>
          <w:sz w:val="18"/>
          <w:szCs w:val="18"/>
          <w:i w:val="1"/>
          <w:iCs w:val="1"/>
          <w:color w:val="auto"/>
        </w:rPr>
        <w:t>faillissement</w:t>
      </w:r>
      <w:r>
        <w:rPr>
          <w:rFonts w:ascii="Arial" w:cs="Arial" w:eastAsia="Arial" w:hAnsi="Arial"/>
          <w:sz w:val="18"/>
          <w:szCs w:val="18"/>
          <w:color w:val="auto"/>
        </w:rPr>
        <w:t>) of the Company and that no resolution has been adopted concerning a statutory merger (</w:t>
      </w:r>
      <w:r>
        <w:rPr>
          <w:rFonts w:ascii="Arial" w:cs="Arial" w:eastAsia="Arial" w:hAnsi="Arial"/>
          <w:sz w:val="18"/>
          <w:szCs w:val="18"/>
          <w:i w:val="1"/>
          <w:iCs w:val="1"/>
          <w:color w:val="auto"/>
        </w:rPr>
        <w:t>juridische fusie</w:t>
      </w:r>
      <w:r>
        <w:rPr>
          <w:rFonts w:ascii="Arial" w:cs="Arial" w:eastAsia="Arial" w:hAnsi="Arial"/>
          <w:sz w:val="18"/>
          <w:szCs w:val="18"/>
          <w:color w:val="auto"/>
        </w:rPr>
        <w:t>) or division (</w:t>
      </w:r>
      <w:r>
        <w:rPr>
          <w:rFonts w:ascii="Arial" w:cs="Arial" w:eastAsia="Arial" w:hAnsi="Arial"/>
          <w:sz w:val="18"/>
          <w:szCs w:val="18"/>
          <w:i w:val="1"/>
          <w:iCs w:val="1"/>
          <w:color w:val="auto"/>
        </w:rPr>
        <w:t>splitsing</w:t>
      </w:r>
      <w:r>
        <w:rPr>
          <w:rFonts w:ascii="Arial" w:cs="Arial" w:eastAsia="Arial" w:hAnsi="Arial"/>
          <w:sz w:val="18"/>
          <w:szCs w:val="18"/>
          <w:color w:val="auto"/>
        </w:rPr>
        <w:t>) involving the Company as disappearing entity, or a voluntary liquidation (</w:t>
      </w:r>
      <w:r>
        <w:rPr>
          <w:rFonts w:ascii="Arial" w:cs="Arial" w:eastAsia="Arial" w:hAnsi="Arial"/>
          <w:sz w:val="18"/>
          <w:szCs w:val="18"/>
          <w:i w:val="1"/>
          <w:iCs w:val="1"/>
          <w:color w:val="auto"/>
        </w:rPr>
        <w:t>ontbinding</w:t>
      </w:r>
      <w:r>
        <w:rPr>
          <w:rFonts w:ascii="Arial" w:cs="Arial" w:eastAsia="Arial" w:hAnsi="Arial"/>
          <w:sz w:val="18"/>
          <w:szCs w:val="18"/>
          <w:color w:val="auto"/>
        </w:rPr>
        <w:t>) of the Company;</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358"/>
        </w:numPr>
        <w:rPr>
          <w:rFonts w:ascii="Arial" w:cs="Arial" w:eastAsia="Arial" w:hAnsi="Arial"/>
          <w:sz w:val="16"/>
          <w:szCs w:val="16"/>
          <w:color w:val="auto"/>
        </w:rPr>
      </w:pPr>
      <w:r>
        <w:rPr>
          <w:rFonts w:ascii="Arial" w:cs="Arial" w:eastAsia="Arial" w:hAnsi="Arial"/>
          <w:sz w:val="16"/>
          <w:szCs w:val="16"/>
          <w:color w:val="auto"/>
        </w:rPr>
        <w:t>that, at the date hereof, the information contained in the Extract truly and correctly reflects the position of the Company as mentioned therein;</w:t>
      </w:r>
    </w:p>
    <w:p>
      <w:pPr>
        <w:spacing w:after="0" w:line="153" w:lineRule="exact"/>
        <w:rPr>
          <w:rFonts w:ascii="Arial" w:cs="Arial" w:eastAsia="Arial" w:hAnsi="Arial"/>
          <w:sz w:val="16"/>
          <w:szCs w:val="16"/>
          <w:color w:val="auto"/>
        </w:rPr>
      </w:pPr>
    </w:p>
    <w:p>
      <w:pPr>
        <w:ind w:left="544" w:right="20" w:hanging="544"/>
        <w:spacing w:after="0" w:line="277" w:lineRule="auto"/>
        <w:tabs>
          <w:tab w:leader="none" w:pos="54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that, at the date hereof, the Company is not included on the consolidated list of persons, groups and entities subject to EU financial sanctions (the “</w:t>
      </w:r>
      <w:r>
        <w:rPr>
          <w:rFonts w:ascii="Arial" w:cs="Arial" w:eastAsia="Arial" w:hAnsi="Arial"/>
          <w:sz w:val="18"/>
          <w:szCs w:val="18"/>
          <w:b w:val="1"/>
          <w:bCs w:val="1"/>
          <w:color w:val="auto"/>
        </w:rPr>
        <w:t>Sanctions List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44" w:right="620" w:hanging="544"/>
        <w:spacing w:after="0" w:line="277" w:lineRule="auto"/>
        <w:tabs>
          <w:tab w:leader="none" w:pos="54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that, at the date hereof, the directors of the Company are not included on the list of natural persons subject to a director’s disqualification (</w:t>
      </w:r>
      <w:r>
        <w:rPr>
          <w:rFonts w:ascii="Arial" w:cs="Arial" w:eastAsia="Arial" w:hAnsi="Arial"/>
          <w:sz w:val="18"/>
          <w:szCs w:val="18"/>
          <w:i w:val="1"/>
          <w:iCs w:val="1"/>
          <w:color w:val="auto"/>
        </w:rPr>
        <w:t>civielrechtelijk bestuursverbod</w:t>
      </w:r>
      <w:r>
        <w:rPr>
          <w:rFonts w:ascii="Arial" w:cs="Arial" w:eastAsia="Arial" w:hAnsi="Arial"/>
          <w:sz w:val="18"/>
          <w:szCs w:val="18"/>
          <w:color w:val="auto"/>
        </w:rPr>
        <w:t>) under the laws of the Netherlands (the “</w:t>
      </w:r>
      <w:r>
        <w:rPr>
          <w:rFonts w:ascii="Arial" w:cs="Arial" w:eastAsia="Arial" w:hAnsi="Arial"/>
          <w:sz w:val="18"/>
          <w:szCs w:val="18"/>
          <w:b w:val="1"/>
          <w:bCs w:val="1"/>
          <w:color w:val="auto"/>
        </w:rPr>
        <w:t>Disqualification List</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544" w:right="60" w:hanging="544"/>
        <w:spacing w:after="0" w:line="290" w:lineRule="auto"/>
        <w:tabs>
          <w:tab w:leader="none" w:pos="544" w:val="left"/>
        </w:tabs>
        <w:numPr>
          <w:ilvl w:val="0"/>
          <w:numId w:val="358"/>
        </w:numPr>
        <w:rPr>
          <w:rFonts w:ascii="Arial" w:cs="Arial" w:eastAsia="Arial" w:hAnsi="Arial"/>
          <w:sz w:val="16"/>
          <w:szCs w:val="16"/>
          <w:color w:val="auto"/>
        </w:rPr>
      </w:pPr>
      <w:r>
        <w:rPr>
          <w:rFonts w:ascii="Arial" w:cs="Arial" w:eastAsia="Arial" w:hAnsi="Arial"/>
          <w:sz w:val="16"/>
          <w:szCs w:val="16"/>
          <w:color w:val="auto"/>
        </w:rPr>
        <w:t>that the Company has not been dissolved (</w:t>
      </w:r>
      <w:r>
        <w:rPr>
          <w:rFonts w:ascii="Arial" w:cs="Arial" w:eastAsia="Arial" w:hAnsi="Arial"/>
          <w:sz w:val="16"/>
          <w:szCs w:val="16"/>
          <w:i w:val="1"/>
          <w:iCs w:val="1"/>
          <w:color w:val="auto"/>
        </w:rPr>
        <w:t>ontbonden</w:t>
      </w:r>
      <w:r>
        <w:rPr>
          <w:rFonts w:ascii="Arial" w:cs="Arial" w:eastAsia="Arial" w:hAnsi="Arial"/>
          <w:sz w:val="16"/>
          <w:szCs w:val="16"/>
          <w:color w:val="auto"/>
        </w:rPr>
        <w:t>), merged (</w:t>
      </w:r>
      <w:r>
        <w:rPr>
          <w:rFonts w:ascii="Arial" w:cs="Arial" w:eastAsia="Arial" w:hAnsi="Arial"/>
          <w:sz w:val="16"/>
          <w:szCs w:val="16"/>
          <w:i w:val="1"/>
          <w:iCs w:val="1"/>
          <w:color w:val="auto"/>
        </w:rPr>
        <w:t>gefuseerd</w:t>
      </w:r>
      <w:r>
        <w:rPr>
          <w:rFonts w:ascii="Arial" w:cs="Arial" w:eastAsia="Arial" w:hAnsi="Arial"/>
          <w:sz w:val="16"/>
          <w:szCs w:val="16"/>
          <w:color w:val="auto"/>
        </w:rPr>
        <w:t>) involving the Company as disappearing entity, demerged (</w:t>
      </w:r>
      <w:r>
        <w:rPr>
          <w:rFonts w:ascii="Arial" w:cs="Arial" w:eastAsia="Arial" w:hAnsi="Arial"/>
          <w:sz w:val="16"/>
          <w:szCs w:val="16"/>
          <w:i w:val="1"/>
          <w:iCs w:val="1"/>
          <w:color w:val="auto"/>
        </w:rPr>
        <w:t>gesplitst</w:t>
      </w:r>
      <w:r>
        <w:rPr>
          <w:rFonts w:ascii="Arial" w:cs="Arial" w:eastAsia="Arial" w:hAnsi="Arial"/>
          <w:sz w:val="16"/>
          <w:szCs w:val="16"/>
          <w:color w:val="auto"/>
        </w:rPr>
        <w:t>), converted (</w:t>
      </w:r>
      <w:r>
        <w:rPr>
          <w:rFonts w:ascii="Arial" w:cs="Arial" w:eastAsia="Arial" w:hAnsi="Arial"/>
          <w:sz w:val="16"/>
          <w:szCs w:val="16"/>
          <w:i w:val="1"/>
          <w:iCs w:val="1"/>
          <w:color w:val="auto"/>
        </w:rPr>
        <w:t>omgezet</w:t>
      </w:r>
      <w:r>
        <w:rPr>
          <w:rFonts w:ascii="Arial" w:cs="Arial" w:eastAsia="Arial" w:hAnsi="Arial"/>
          <w:sz w:val="16"/>
          <w:szCs w:val="16"/>
          <w:color w:val="auto"/>
        </w:rPr>
        <w:t>), granted a suspension of payments (</w:t>
      </w:r>
      <w:r>
        <w:rPr>
          <w:rFonts w:ascii="Arial" w:cs="Arial" w:eastAsia="Arial" w:hAnsi="Arial"/>
          <w:sz w:val="16"/>
          <w:szCs w:val="16"/>
          <w:i w:val="1"/>
          <w:iCs w:val="1"/>
          <w:color w:val="auto"/>
        </w:rPr>
        <w:t>surséance verleend</w:t>
      </w:r>
      <w:r>
        <w:rPr>
          <w:rFonts w:ascii="Arial" w:cs="Arial" w:eastAsia="Arial" w:hAnsi="Arial"/>
          <w:sz w:val="16"/>
          <w:szCs w:val="16"/>
          <w:color w:val="auto"/>
        </w:rPr>
        <w:t>), subjected to emergency regulations (</w:t>
      </w:r>
      <w:r>
        <w:rPr>
          <w:rFonts w:ascii="Arial" w:cs="Arial" w:eastAsia="Arial" w:hAnsi="Arial"/>
          <w:sz w:val="16"/>
          <w:szCs w:val="16"/>
          <w:i w:val="1"/>
          <w:iCs w:val="1"/>
          <w:color w:val="auto"/>
        </w:rPr>
        <w:t>noodregeling</w:t>
      </w:r>
      <w:r>
        <w:rPr>
          <w:rFonts w:ascii="Arial" w:cs="Arial" w:eastAsia="Arial" w:hAnsi="Arial"/>
          <w:sz w:val="16"/>
          <w:szCs w:val="16"/>
          <w:color w:val="auto"/>
        </w:rPr>
        <w:t>) as provided for in the Financial Supervision Act (</w:t>
      </w:r>
      <w:r>
        <w:rPr>
          <w:rFonts w:ascii="Arial" w:cs="Arial" w:eastAsia="Arial" w:hAnsi="Arial"/>
          <w:sz w:val="16"/>
          <w:szCs w:val="16"/>
          <w:i w:val="1"/>
          <w:iCs w:val="1"/>
          <w:color w:val="auto"/>
        </w:rPr>
        <w:t>Wet op het Financieel Toezicht</w:t>
      </w:r>
      <w:r>
        <w:rPr>
          <w:rFonts w:ascii="Arial" w:cs="Arial" w:eastAsia="Arial" w:hAnsi="Arial"/>
          <w:sz w:val="16"/>
          <w:szCs w:val="16"/>
          <w:color w:val="auto"/>
        </w:rPr>
        <w:t>), declared bankrupt (</w:t>
      </w:r>
      <w:r>
        <w:rPr>
          <w:rFonts w:ascii="Arial" w:cs="Arial" w:eastAsia="Arial" w:hAnsi="Arial"/>
          <w:sz w:val="16"/>
          <w:szCs w:val="16"/>
          <w:i w:val="1"/>
          <w:iCs w:val="1"/>
          <w:color w:val="auto"/>
        </w:rPr>
        <w:t>failliet verklaard</w:t>
      </w:r>
      <w:r>
        <w:rPr>
          <w:rFonts w:ascii="Arial" w:cs="Arial" w:eastAsia="Arial" w:hAnsi="Arial"/>
          <w:sz w:val="16"/>
          <w:szCs w:val="16"/>
          <w:color w:val="auto"/>
        </w:rPr>
        <w:t>), subjected to any other insolvency proceedings listed in Annex A or winding up proceedings listed in Annex B of Council Regulation (EC) No 1346/2000 on insolvency proceedings of 29 May 2000, listed on the list referred to in article 2 (3) of Council Regulation (EC) No 2580/2001 of 27 December 2001, listed in Annex I to Council Regulation (EC) No 881/2002 of 27 May 2002 or listed and marked with an asterisk in the Annex to Council Common Position 2001/931 of 27 December 2001 relating to measures to combat terrorism, as amended from time to time, and no trustee (</w:t>
      </w:r>
      <w:r>
        <w:rPr>
          <w:rFonts w:ascii="Arial" w:cs="Arial" w:eastAsia="Arial" w:hAnsi="Arial"/>
          <w:sz w:val="16"/>
          <w:szCs w:val="16"/>
          <w:i w:val="1"/>
          <w:iCs w:val="1"/>
          <w:color w:val="auto"/>
        </w:rPr>
        <w:t>curator</w:t>
      </w:r>
      <w:r>
        <w:rPr>
          <w:rFonts w:ascii="Arial" w:cs="Arial" w:eastAsia="Arial" w:hAnsi="Arial"/>
          <w:sz w:val="16"/>
          <w:szCs w:val="16"/>
          <w:color w:val="auto"/>
        </w:rPr>
        <w:t>), administrator (</w:t>
      </w:r>
      <w:r>
        <w:rPr>
          <w:rFonts w:ascii="Arial" w:cs="Arial" w:eastAsia="Arial" w:hAnsi="Arial"/>
          <w:sz w:val="16"/>
          <w:szCs w:val="16"/>
          <w:i w:val="1"/>
          <w:iCs w:val="1"/>
          <w:color w:val="auto"/>
        </w:rPr>
        <w:t>bewindvoerder</w:t>
      </w:r>
      <w:r>
        <w:rPr>
          <w:rFonts w:ascii="Arial" w:cs="Arial" w:eastAsia="Arial" w:hAnsi="Arial"/>
          <w:sz w:val="16"/>
          <w:szCs w:val="16"/>
          <w:color w:val="auto"/>
        </w:rPr>
        <w:t>) or similar officer has been appointed in respect of the Company or any of its respective assets.</w:t>
      </w:r>
    </w:p>
    <w:p>
      <w:pPr>
        <w:spacing w:after="0" w:line="165" w:lineRule="exact"/>
        <w:rPr>
          <w:sz w:val="20"/>
          <w:szCs w:val="20"/>
          <w:color w:val="auto"/>
        </w:rPr>
      </w:pPr>
    </w:p>
    <w:p>
      <w:pPr>
        <w:ind w:left="4"/>
        <w:spacing w:after="0" w:line="288" w:lineRule="auto"/>
        <w:rPr>
          <w:sz w:val="20"/>
          <w:szCs w:val="20"/>
          <w:color w:val="auto"/>
        </w:rPr>
      </w:pPr>
      <w:r>
        <w:rPr>
          <w:rFonts w:ascii="Arial" w:cs="Arial" w:eastAsia="Arial" w:hAnsi="Arial"/>
          <w:sz w:val="16"/>
          <w:szCs w:val="16"/>
          <w:color w:val="auto"/>
        </w:rPr>
        <w:t>In support of the assumptions under (xi), (xii) and (xiv), we have carried out the following investigations. The office of the bankruptcy registrar of the District Court of Amsterdam has confirmed to us by telephone today at 10:19 CEST that the Company has not been declared bankrupt (</w:t>
      </w:r>
      <w:r>
        <w:rPr>
          <w:rFonts w:ascii="Arial" w:cs="Arial" w:eastAsia="Arial" w:hAnsi="Arial"/>
          <w:sz w:val="16"/>
          <w:szCs w:val="16"/>
          <w:i w:val="1"/>
          <w:iCs w:val="1"/>
          <w:color w:val="auto"/>
        </w:rPr>
        <w:t>in staat van</w:t>
      </w:r>
      <w:r>
        <w:rPr>
          <w:rFonts w:ascii="Arial" w:cs="Arial" w:eastAsia="Arial" w:hAnsi="Arial"/>
          <w:sz w:val="16"/>
          <w:szCs w:val="16"/>
          <w:color w:val="auto"/>
        </w:rPr>
        <w:t xml:space="preserve"> </w:t>
      </w:r>
      <w:r>
        <w:rPr>
          <w:rFonts w:ascii="Arial" w:cs="Arial" w:eastAsia="Arial" w:hAnsi="Arial"/>
          <w:sz w:val="16"/>
          <w:szCs w:val="16"/>
          <w:i w:val="1"/>
          <w:iCs w:val="1"/>
          <w:color w:val="auto"/>
        </w:rPr>
        <w:t>faillissement</w:t>
      </w:r>
      <w:r>
        <w:rPr>
          <w:rFonts w:ascii="Arial" w:cs="Arial" w:eastAsia="Arial" w:hAnsi="Arial"/>
          <w:sz w:val="16"/>
          <w:szCs w:val="16"/>
          <w:color w:val="auto"/>
        </w:rPr>
        <w:t>) and has not been granted a suspension of payment (</w:t>
      </w:r>
      <w:r>
        <w:rPr>
          <w:rFonts w:ascii="Arial" w:cs="Arial" w:eastAsia="Arial" w:hAnsi="Arial"/>
          <w:sz w:val="16"/>
          <w:szCs w:val="16"/>
          <w:i w:val="1"/>
          <w:iCs w:val="1"/>
          <w:color w:val="auto"/>
        </w:rPr>
        <w:t>surséance van betaling</w:t>
      </w:r>
      <w:r>
        <w:rPr>
          <w:rFonts w:ascii="Arial" w:cs="Arial" w:eastAsia="Arial" w:hAnsi="Arial"/>
          <w:sz w:val="16"/>
          <w:szCs w:val="16"/>
          <w:color w:val="auto"/>
        </w:rPr>
        <w:t>). Furthermore, we have obtained a confirmation through</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http://www.rechtspraak.nl</w:t>
      </w:r>
      <w:r>
        <w:rPr>
          <w:rFonts w:ascii="Arial" w:cs="Arial" w:eastAsia="Arial" w:hAnsi="Arial"/>
          <w:sz w:val="16"/>
          <w:szCs w:val="16"/>
          <w:color w:val="auto"/>
        </w:rPr>
        <w:t>, derived from the segment for EU registrations of the Central Insolvency Register, that the Company is not registered as being subject to insolvency proceedings. The Trade Register has confirmed to us by telephone today at 10:16 CEST that the Company has not been dissolved at the initiative of the Dutch Chamber of Commerce and that no resolution to dissolve, merge (</w:t>
      </w:r>
      <w:r>
        <w:rPr>
          <w:rFonts w:ascii="Arial" w:cs="Arial" w:eastAsia="Arial" w:hAnsi="Arial"/>
          <w:sz w:val="16"/>
          <w:szCs w:val="16"/>
          <w:i w:val="1"/>
          <w:iCs w:val="1"/>
          <w:color w:val="auto"/>
        </w:rPr>
        <w:t>juridisch fuseren</w:t>
      </w:r>
      <w:r>
        <w:rPr>
          <w:rFonts w:ascii="Arial" w:cs="Arial" w:eastAsia="Arial" w:hAnsi="Arial"/>
          <w:sz w:val="16"/>
          <w:szCs w:val="16"/>
          <w:color w:val="auto"/>
        </w:rPr>
        <w:t>) or demerge (</w:t>
      </w:r>
      <w:r>
        <w:rPr>
          <w:rFonts w:ascii="Arial" w:cs="Arial" w:eastAsia="Arial" w:hAnsi="Arial"/>
          <w:sz w:val="16"/>
          <w:szCs w:val="16"/>
          <w:i w:val="1"/>
          <w:iCs w:val="1"/>
          <w:color w:val="auto"/>
        </w:rPr>
        <w:t>splitsen</w:t>
      </w:r>
      <w:r>
        <w:rPr>
          <w:rFonts w:ascii="Arial" w:cs="Arial" w:eastAsia="Arial" w:hAnsi="Arial"/>
          <w:sz w:val="16"/>
          <w:szCs w:val="16"/>
          <w:color w:val="auto"/>
        </w:rPr>
        <w:t xml:space="preserve">) the Company was filed. In the same telephone call, the official of the Trade Register confirmed to us that no amendments in the registration of the Company occurred in the period from the provision of the Extract to us through the date and time hereof. Moreover, in support of the assumption under (xii), we have carried out an online search today at 10:23 CEST </w:t>
      </w:r>
      <w:r>
        <w:rPr>
          <w:rFonts w:ascii="Arial" w:cs="Arial" w:eastAsia="Arial" w:hAnsi="Arial"/>
          <w:sz w:val="16"/>
          <w:szCs w:val="16"/>
          <w:u w:val="single" w:color="auto"/>
          <w:color w:val="auto"/>
        </w:rPr>
        <w:t>https://webgate.ec.europa.eu/europeaid/fsd/fsf</w:t>
      </w:r>
      <w:r>
        <w:rPr>
          <w:rFonts w:ascii="Arial" w:cs="Arial" w:eastAsia="Arial" w:hAnsi="Arial"/>
          <w:sz w:val="16"/>
          <w:szCs w:val="16"/>
          <w:color w:val="auto"/>
        </w:rPr>
        <w:t xml:space="preserve"> showing that the Company is not included on the Sanctions List. We have not investigated any matter that is the subject of an assumption made in this legal opinion other than as set forth herein.</w:t>
      </w:r>
    </w:p>
    <w:p>
      <w:pPr>
        <w:spacing w:after="0" w:line="101"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04"/>
          </w:cols>
          <w:pgMar w:left="436" w:top="1440" w:right="459" w:bottom="0" w:gutter="0" w:footer="0" w:header="0"/>
        </w:sectPr>
      </w:pPr>
    </w:p>
    <w:bookmarkStart w:id="418" w:name="page419"/>
    <w:bookmarkEnd w:id="4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663575</wp:posOffset>
            </wp:positionV>
            <wp:extent cx="6995160" cy="49549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495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We express no opinion as to any law other than the laws of the Netherlands in force at the date hereof as applied and interpreted according to present duly published case law of the Dutch courts. No opinion is rendered with respect to any matters of fact, anti-trust law, market abuse, equal treatment of shareholders, financial assistance, tax law or the laws of the European Communities, to the extent not or not fully implemented in the laws of the Netherlands.</w:t>
      </w:r>
    </w:p>
    <w:p>
      <w:pPr>
        <w:spacing w:after="0" w:line="187" w:lineRule="exact"/>
        <w:rPr>
          <w:sz w:val="20"/>
          <w:szCs w:val="20"/>
          <w:color w:val="auto"/>
        </w:rPr>
      </w:pPr>
    </w:p>
    <w:p>
      <w:pPr>
        <w:ind w:left="4" w:right="160"/>
        <w:spacing w:after="0" w:line="301" w:lineRule="auto"/>
        <w:rPr>
          <w:sz w:val="20"/>
          <w:szCs w:val="20"/>
          <w:color w:val="auto"/>
        </w:rPr>
      </w:pPr>
      <w:r>
        <w:rPr>
          <w:rFonts w:ascii="Arial" w:cs="Arial" w:eastAsia="Arial" w:hAnsi="Arial"/>
          <w:sz w:val="16"/>
          <w:szCs w:val="16"/>
          <w:color w:val="auto"/>
        </w:rPr>
        <w:t>In this legal opinion, Dutch legal concepts are expressed in English terms and not in their original Dutch terms. Where indicated in italics, Dutch equivalents of these English terms have been given for the purpose of clarification. The Dutch concepts may not be identical to the concepts described by the same English terms as they exist under the laws of other jurisdictions. Terms and expressions of law and of legal concepts as used in this legal opinion have the meaning attributed to them under the laws of the Netherlands and this legal opinion should be read and understood accordingly.</w:t>
      </w:r>
    </w:p>
    <w:p>
      <w:pPr>
        <w:spacing w:after="0" w:line="157"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This legal opinion is strictly limited to the matters stated herein and may not be read as extending by implication to any matter not specifically referred to. Nothing in this legal opinion should be taken as expressing an opinion in respect of the factual accuracy of any representations or warranties, or other information, contained in any document, referred to herein or examined in connection with this legal opinion, except as expressly stated otherwise. For the purpose hereof, we have assumed such accuracy.</w:t>
      </w:r>
    </w:p>
    <w:p>
      <w:pPr>
        <w:spacing w:after="0" w:line="187" w:lineRule="exact"/>
        <w:rPr>
          <w:sz w:val="20"/>
          <w:szCs w:val="20"/>
          <w:color w:val="auto"/>
        </w:rPr>
      </w:pPr>
    </w:p>
    <w:p>
      <w:pPr>
        <w:jc w:val="both"/>
        <w:ind w:left="4" w:right="420"/>
        <w:spacing w:after="0" w:line="263" w:lineRule="auto"/>
        <w:rPr>
          <w:sz w:val="20"/>
          <w:szCs w:val="20"/>
          <w:color w:val="auto"/>
        </w:rPr>
      </w:pPr>
      <w:r>
        <w:rPr>
          <w:rFonts w:ascii="Arial" w:cs="Arial" w:eastAsia="Arial" w:hAnsi="Arial"/>
          <w:sz w:val="18"/>
          <w:szCs w:val="18"/>
          <w:color w:val="auto"/>
        </w:rPr>
        <w:t>Based upon the foregoing (including, without limitation, the documents and the assumptions set out above) and subject to the qualifications set out below and any facts, circumstances, events or documents not disclosed to us in the course of our examination referred to above, we are, at the date hereof, of the opinion that: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PIPE Shares have been validly issued, fully paid and are non-assessable.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 expressed above is subject to the following qualifications:</w:t>
      </w:r>
    </w:p>
    <w:p>
      <w:pPr>
        <w:spacing w:after="0" w:line="131" w:lineRule="exact"/>
        <w:rPr>
          <w:sz w:val="20"/>
          <w:szCs w:val="20"/>
          <w:color w:val="auto"/>
        </w:rPr>
      </w:pPr>
    </w:p>
    <w:p>
      <w:pPr>
        <w:ind w:left="544" w:right="80" w:hanging="544"/>
        <w:spacing w:after="0" w:line="263" w:lineRule="auto"/>
        <w:tabs>
          <w:tab w:leader="none" w:pos="54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The opinion expressed above may be affected or limited by any applicable bankruptcy, insolvency, fraudulent conveyance </w:t>
      </w:r>
      <w:r>
        <w:rPr>
          <w:rFonts w:ascii="Arial" w:cs="Arial" w:eastAsia="Arial" w:hAnsi="Arial"/>
          <w:sz w:val="18"/>
          <w:szCs w:val="18"/>
          <w:i w:val="1"/>
          <w:iCs w:val="1"/>
          <w:color w:val="auto"/>
        </w:rPr>
        <w:t>(actio pauliana</w:t>
      </w:r>
      <w:r>
        <w:rPr>
          <w:rFonts w:ascii="Arial" w:cs="Arial" w:eastAsia="Arial" w:hAnsi="Arial"/>
          <w:sz w:val="18"/>
          <w:szCs w:val="18"/>
          <w:color w:val="auto"/>
        </w:rPr>
        <w:t>), reorganization, suspension of payment and other or similar laws now or hereafter in effect, relating to or affecting the enforcement or protection of creditors’ rights.</w:t>
      </w:r>
    </w:p>
    <w:p>
      <w:pPr>
        <w:spacing w:after="0" w:line="89" w:lineRule="exact"/>
        <w:rPr>
          <w:rFonts w:ascii="Arial" w:cs="Arial" w:eastAsia="Arial" w:hAnsi="Arial"/>
          <w:sz w:val="18"/>
          <w:szCs w:val="18"/>
          <w:color w:val="auto"/>
        </w:rPr>
      </w:pPr>
    </w:p>
    <w:p>
      <w:pPr>
        <w:ind w:left="544" w:right="20" w:hanging="544"/>
        <w:spacing w:after="0" w:line="263" w:lineRule="auto"/>
        <w:tabs>
          <w:tab w:leader="none" w:pos="54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 power of attorney (</w:t>
      </w:r>
      <w:r>
        <w:rPr>
          <w:rFonts w:ascii="Arial" w:cs="Arial" w:eastAsia="Arial" w:hAnsi="Arial"/>
          <w:sz w:val="18"/>
          <w:szCs w:val="18"/>
          <w:i w:val="1"/>
          <w:iCs w:val="1"/>
          <w:color w:val="auto"/>
        </w:rPr>
        <w:t>volmacht</w:t>
      </w:r>
      <w:r>
        <w:rPr>
          <w:rFonts w:ascii="Arial" w:cs="Arial" w:eastAsia="Arial" w:hAnsi="Arial"/>
          <w:sz w:val="18"/>
          <w:szCs w:val="18"/>
          <w:color w:val="auto"/>
        </w:rPr>
        <w:t>) or mandate (</w:t>
      </w:r>
      <w:r>
        <w:rPr>
          <w:rFonts w:ascii="Arial" w:cs="Arial" w:eastAsia="Arial" w:hAnsi="Arial"/>
          <w:sz w:val="18"/>
          <w:szCs w:val="18"/>
          <w:i w:val="1"/>
          <w:iCs w:val="1"/>
          <w:color w:val="auto"/>
        </w:rPr>
        <w:t>lastgeving</w:t>
      </w:r>
      <w:r>
        <w:rPr>
          <w:rFonts w:ascii="Arial" w:cs="Arial" w:eastAsia="Arial" w:hAnsi="Arial"/>
          <w:sz w:val="18"/>
          <w:szCs w:val="18"/>
          <w:color w:val="auto"/>
        </w:rPr>
        <w:t>) granted or issued by the Company will terminate by force of law and without any notice being required upon bankruptcy of the Company and will become ineffective upon a suspension of payments (</w:t>
      </w:r>
      <w:r>
        <w:rPr>
          <w:rFonts w:ascii="Arial" w:cs="Arial" w:eastAsia="Arial" w:hAnsi="Arial"/>
          <w:sz w:val="18"/>
          <w:szCs w:val="18"/>
          <w:i w:val="1"/>
          <w:iCs w:val="1"/>
          <w:color w:val="auto"/>
        </w:rPr>
        <w:t>surséance van betaling</w:t>
      </w:r>
      <w:r>
        <w:rPr>
          <w:rFonts w:ascii="Arial" w:cs="Arial" w:eastAsia="Arial" w:hAnsi="Arial"/>
          <w:sz w:val="18"/>
          <w:szCs w:val="18"/>
          <w:color w:val="auto"/>
        </w:rPr>
        <w:t>) being granted to the Company.</w:t>
      </w:r>
    </w:p>
    <w:p>
      <w:pPr>
        <w:sectPr>
          <w:pgSz w:w="11900" w:h="16838" w:orient="portrait"/>
          <w:cols w:equalWidth="0" w:num="1">
            <w:col w:w="10984"/>
          </w:cols>
          <w:pgMar w:left="436" w:top="1440" w:right="479" w:bottom="213" w:gutter="0" w:footer="0" w:header="0"/>
        </w:sectPr>
      </w:pPr>
    </w:p>
    <w:bookmarkStart w:id="419" w:name="page420"/>
    <w:bookmarkEnd w:id="419"/>
    <w:p>
      <w:pPr>
        <w:ind w:left="544" w:hanging="544"/>
        <w:spacing w:after="0" w:line="273" w:lineRule="auto"/>
        <w:tabs>
          <w:tab w:leader="none" w:pos="544"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 court applying the laws of the Netherlands may: (i) at the request of any party to an agreement change the effect of an arrangement or dissolve it in whole or in part in the event of unforeseen circumstances (</w:t>
      </w:r>
      <w:r>
        <w:rPr>
          <w:rFonts w:ascii="Arial" w:cs="Arial" w:eastAsia="Arial" w:hAnsi="Arial"/>
          <w:sz w:val="17"/>
          <w:szCs w:val="17"/>
          <w:i w:val="1"/>
          <w:iCs w:val="1"/>
          <w:color w:val="auto"/>
        </w:rPr>
        <w:t>onvoorziene omstandigheden</w:t>
      </w:r>
      <w:r>
        <w:rPr>
          <w:rFonts w:ascii="Arial" w:cs="Arial" w:eastAsia="Arial" w:hAnsi="Arial"/>
          <w:sz w:val="17"/>
          <w:szCs w:val="17"/>
          <w:color w:val="auto"/>
        </w:rPr>
        <w:t>) of such nature that do not, according the standards of reasonableness and fairness, justify the other party to expect the agreement to be maintained unchanged; (ii) limit any claim for damages or penalties on the basis that such claim is deemed excessive by the court; and (iii) refuse to give effect to any provisions for the payment of expenses in respect of the costs of enforcement (actual or attempted) or unsuccessful litigation brought before such court or tribunal or where such court or tribunal has itself made an order for costs.</w:t>
      </w:r>
    </w:p>
    <w:p>
      <w:pPr>
        <w:spacing w:after="0" w:line="110"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0964"/>
          </w:cols>
          <w:pgMar w:left="436" w:top="125" w:right="499" w:bottom="1440" w:gutter="0" w:footer="0" w:header="0"/>
        </w:sectPr>
      </w:pPr>
    </w:p>
    <w:bookmarkStart w:id="420" w:name="page421"/>
    <w:bookmarkEnd w:id="4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663575</wp:posOffset>
            </wp:positionV>
            <wp:extent cx="6995160" cy="49549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495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4" w:right="80" w:hanging="544"/>
        <w:spacing w:after="0" w:line="257" w:lineRule="auto"/>
        <w:tabs>
          <w:tab w:leader="none" w:pos="54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If a party is controlled by or otherwise connected with a person, organization or country that is currently the subject of sanctions by the United Nations, the European Community or the Netherlands, implemented, effective or sanctioned in the Netherlands under the Sanctions Act 1977 (</w:t>
      </w:r>
      <w:r>
        <w:rPr>
          <w:rFonts w:ascii="Arial" w:cs="Arial" w:eastAsia="Arial" w:hAnsi="Arial"/>
          <w:sz w:val="18"/>
          <w:szCs w:val="18"/>
          <w:i w:val="1"/>
          <w:iCs w:val="1"/>
          <w:color w:val="auto"/>
        </w:rPr>
        <w:t>Sanctiewet 1977</w:t>
      </w:r>
      <w:r>
        <w:rPr>
          <w:rFonts w:ascii="Arial" w:cs="Arial" w:eastAsia="Arial" w:hAnsi="Arial"/>
          <w:sz w:val="18"/>
          <w:szCs w:val="18"/>
          <w:color w:val="auto"/>
        </w:rPr>
        <w:t>), the Economic Offences Act (</w:t>
      </w:r>
      <w:r>
        <w:rPr>
          <w:rFonts w:ascii="Arial" w:cs="Arial" w:eastAsia="Arial" w:hAnsi="Arial"/>
          <w:sz w:val="18"/>
          <w:szCs w:val="18"/>
          <w:i w:val="1"/>
          <w:iCs w:val="1"/>
          <w:color w:val="auto"/>
        </w:rPr>
        <w:t>Wet op de economische delicten</w:t>
      </w:r>
      <w:r>
        <w:rPr>
          <w:rFonts w:ascii="Arial" w:cs="Arial" w:eastAsia="Arial" w:hAnsi="Arial"/>
          <w:sz w:val="18"/>
          <w:szCs w:val="18"/>
          <w:color w:val="auto"/>
        </w:rPr>
        <w:t>) or the Financial Supervision Act (</w:t>
      </w:r>
      <w:r>
        <w:rPr>
          <w:rFonts w:ascii="Arial" w:cs="Arial" w:eastAsia="Arial" w:hAnsi="Arial"/>
          <w:sz w:val="18"/>
          <w:szCs w:val="18"/>
          <w:i w:val="1"/>
          <w:iCs w:val="1"/>
          <w:color w:val="auto"/>
        </w:rPr>
        <w:t>Wet op het Financieel</w:t>
      </w:r>
      <w:r>
        <w:rPr>
          <w:rFonts w:ascii="Arial" w:cs="Arial" w:eastAsia="Arial" w:hAnsi="Arial"/>
          <w:sz w:val="18"/>
          <w:szCs w:val="18"/>
          <w:color w:val="auto"/>
        </w:rPr>
        <w:t xml:space="preserve"> </w:t>
      </w:r>
      <w:r>
        <w:rPr>
          <w:rFonts w:ascii="Arial" w:cs="Arial" w:eastAsia="Arial" w:hAnsi="Arial"/>
          <w:sz w:val="18"/>
          <w:szCs w:val="18"/>
          <w:i w:val="1"/>
          <w:iCs w:val="1"/>
          <w:color w:val="auto"/>
        </w:rPr>
        <w:t>Toezicht</w:t>
      </w:r>
      <w:r>
        <w:rPr>
          <w:rFonts w:ascii="Arial" w:cs="Arial" w:eastAsia="Arial" w:hAnsi="Arial"/>
          <w:sz w:val="18"/>
          <w:szCs w:val="18"/>
          <w:color w:val="auto"/>
        </w:rPr>
        <w:t>) or is otherwise the target of any such sanctions, the obligations of the Company to that party may be unenforceable, void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w:t>
      </w:r>
    </w:p>
    <w:p>
      <w:pPr>
        <w:spacing w:after="0" w:line="93" w:lineRule="exact"/>
        <w:rPr>
          <w:rFonts w:ascii="Arial" w:cs="Arial" w:eastAsia="Arial" w:hAnsi="Arial"/>
          <w:sz w:val="18"/>
          <w:szCs w:val="18"/>
          <w:color w:val="auto"/>
        </w:rPr>
      </w:pPr>
    </w:p>
    <w:p>
      <w:pPr>
        <w:ind w:left="544" w:right="180" w:hanging="544"/>
        <w:spacing w:after="0" w:line="263" w:lineRule="auto"/>
        <w:tabs>
          <w:tab w:leader="none" w:pos="54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term “non-assessable” has no equivalent legal term under Dutch law and for the purpose of these opinions, “non-assessable” means that a holder of a PIPE Share will not by reason of merely being such a holder, be subject to assessment or calls by the Company or its creditors for further payment on such PIPE Share.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This opinion is rendered to you for the sole purpose of the filing of this opinion as an exhibit to the Registration Statement to be submitted by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 on the date hereof, to which filing we consent under the express condition that:</w:t>
      </w:r>
    </w:p>
    <w:p>
      <w:pPr>
        <w:spacing w:after="0" w:line="116" w:lineRule="exact"/>
        <w:rPr>
          <w:sz w:val="20"/>
          <w:szCs w:val="20"/>
          <w:color w:val="auto"/>
        </w:rPr>
      </w:pPr>
    </w:p>
    <w:p>
      <w:pPr>
        <w:ind w:left="544" w:hanging="544"/>
        <w:spacing w:after="0"/>
        <w:tabs>
          <w:tab w:leader="none" w:pos="544" w:val="left"/>
        </w:tabs>
        <w:numPr>
          <w:ilvl w:val="0"/>
          <w:numId w:val="362"/>
        </w:numPr>
        <w:rPr>
          <w:rFonts w:ascii="Arial" w:cs="Arial" w:eastAsia="Arial" w:hAnsi="Arial"/>
          <w:sz w:val="17"/>
          <w:szCs w:val="17"/>
          <w:color w:val="auto"/>
        </w:rPr>
      </w:pPr>
      <w:r>
        <w:rPr>
          <w:rFonts w:ascii="Arial" w:cs="Arial" w:eastAsia="Arial" w:hAnsi="Arial"/>
          <w:sz w:val="17"/>
          <w:szCs w:val="17"/>
          <w:color w:val="auto"/>
        </w:rPr>
        <w:t>we do not admit that we are within the category of persons whose consent is required within Section 7 of the Securities Act of 1933;</w:t>
      </w:r>
    </w:p>
    <w:p>
      <w:pPr>
        <w:spacing w:after="0" w:line="142" w:lineRule="exact"/>
        <w:rPr>
          <w:rFonts w:ascii="Arial" w:cs="Arial" w:eastAsia="Arial" w:hAnsi="Arial"/>
          <w:sz w:val="17"/>
          <w:szCs w:val="17"/>
          <w:color w:val="auto"/>
        </w:rPr>
      </w:pPr>
    </w:p>
    <w:p>
      <w:pPr>
        <w:ind w:left="544" w:right="500" w:hanging="544"/>
        <w:spacing w:after="0" w:line="277" w:lineRule="auto"/>
        <w:tabs>
          <w:tab w:leader="none" w:pos="54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any issues of interpretation of liability arising under this legal opinion will be governed exclusively by the laws of the Netherlands and be brought exclusively before a Dutch court;</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this legal opinion is subject to acceptance of the limitation of liability as mentioned on the first page of this letter;</w:t>
      </w:r>
    </w:p>
    <w:p>
      <w:pPr>
        <w:spacing w:after="0" w:line="130" w:lineRule="exact"/>
        <w:rPr>
          <w:rFonts w:ascii="Arial" w:cs="Arial" w:eastAsia="Arial" w:hAnsi="Arial"/>
          <w:sz w:val="18"/>
          <w:szCs w:val="18"/>
          <w:color w:val="auto"/>
        </w:rPr>
      </w:pPr>
    </w:p>
    <w:p>
      <w:pPr>
        <w:ind w:left="544" w:right="320" w:hanging="544"/>
        <w:spacing w:after="0" w:line="277" w:lineRule="auto"/>
        <w:tabs>
          <w:tab w:leader="none" w:pos="54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we do not assume any obligation to notify or to inform you of any developments subsequent to the date hereof that might render its contents untrue or inaccurate in whole or in part at such time; and</w:t>
      </w:r>
    </w:p>
    <w:p>
      <w:pPr>
        <w:spacing w:after="0" w:line="75" w:lineRule="exact"/>
        <w:rPr>
          <w:rFonts w:ascii="Arial" w:cs="Arial" w:eastAsia="Arial" w:hAnsi="Arial"/>
          <w:sz w:val="18"/>
          <w:szCs w:val="18"/>
          <w:color w:val="auto"/>
        </w:rPr>
      </w:pPr>
    </w:p>
    <w:p>
      <w:pPr>
        <w:ind w:left="544" w:hanging="544"/>
        <w:spacing w:after="0" w:line="277" w:lineRule="auto"/>
        <w:tabs>
          <w:tab w:leader="none" w:pos="54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this legal opinion is strictly limited to the matters set forth herein and no opinion may be inferred or implied beyond our opinion expressly stated herein.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ectPr>
          <w:pgSz w:w="11900" w:h="16838" w:orient="portrait"/>
          <w:cols w:equalWidth="0" w:num="1">
            <w:col w:w="10944"/>
          </w:cols>
          <w:pgMar w:left="436" w:top="1440" w:right="519" w:bottom="1440" w:gutter="0" w:footer="0" w:header="0"/>
        </w:sectPr>
      </w:pPr>
    </w:p>
    <w:bookmarkStart w:id="421" w:name="page422"/>
    <w:bookmarkEnd w:id="4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1915160</wp:posOffset>
            </wp:positionV>
            <wp:extent cx="6995160" cy="22631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CMS Derks Star Busmann N.V.</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0019"/>
          </w:cols>
          <w:pgMar w:left="440" w:top="1440" w:right="1440"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 RIGHTS AND LOCK-UP AGREEMENT</w:t>
      </w:r>
    </w:p>
    <w:p>
      <w:pPr>
        <w:spacing w:after="0" w:line="22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THIS INVESTOR RIGHTS AND LOCK-UP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July 1, 2020, by and among Immatics</w:t>
      </w:r>
      <w:r>
        <w:rPr>
          <w:rFonts w:ascii="Arial" w:cs="Arial" w:eastAsia="Arial" w:hAnsi="Arial"/>
          <w:sz w:val="18"/>
          <w:szCs w:val="18"/>
          <w:b w:val="1"/>
          <w:bCs w:val="1"/>
          <w:color w:val="auto"/>
        </w:rPr>
        <w:t xml:space="preserve"> </w:t>
      </w:r>
      <w:r>
        <w:rPr>
          <w:rFonts w:ascii="Arial" w:cs="Arial" w:eastAsia="Arial" w:hAnsi="Arial"/>
          <w:sz w:val="18"/>
          <w:szCs w:val="18"/>
          <w:color w:val="auto"/>
        </w:rPr>
        <w:t>N.V., a Dutch public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the parties listed as Investors on Schedule I hereto (each, an “</w:t>
      </w:r>
      <w:r>
        <w:rPr>
          <w:rFonts w:ascii="Arial" w:cs="Arial" w:eastAsia="Arial" w:hAnsi="Arial"/>
          <w:sz w:val="18"/>
          <w:szCs w:val="18"/>
          <w:b w:val="1"/>
          <w:bCs w:val="1"/>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176"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WHEREAS, ARYA Sciences Acquisition Corp., a Cayman Islands exempted limited company (“</w:t>
      </w:r>
      <w:r>
        <w:rPr>
          <w:rFonts w:ascii="Arial" w:cs="Arial" w:eastAsia="Arial" w:hAnsi="Arial"/>
          <w:sz w:val="17"/>
          <w:szCs w:val="17"/>
          <w:b w:val="1"/>
          <w:bCs w:val="1"/>
          <w:color w:val="auto"/>
        </w:rPr>
        <w:t>ARYA</w:t>
      </w:r>
      <w:r>
        <w:rPr>
          <w:rFonts w:ascii="Arial" w:cs="Arial" w:eastAsia="Arial" w:hAnsi="Arial"/>
          <w:sz w:val="17"/>
          <w:szCs w:val="17"/>
          <w:color w:val="auto"/>
        </w:rPr>
        <w:t>”), the Company, Immatics Merger Sub 1, a Cayman Islands exempted company (“</w:t>
      </w:r>
      <w:r>
        <w:rPr>
          <w:rFonts w:ascii="Arial" w:cs="Arial" w:eastAsia="Arial" w:hAnsi="Arial"/>
          <w:sz w:val="17"/>
          <w:szCs w:val="17"/>
          <w:b w:val="1"/>
          <w:bCs w:val="1"/>
          <w:color w:val="auto"/>
        </w:rPr>
        <w:t>ARYA Merger Sub</w:t>
      </w:r>
      <w:r>
        <w:rPr>
          <w:rFonts w:ascii="Arial" w:cs="Arial" w:eastAsia="Arial" w:hAnsi="Arial"/>
          <w:sz w:val="17"/>
          <w:szCs w:val="17"/>
          <w:color w:val="auto"/>
        </w:rPr>
        <w:t>”), Immatics Merger Sub 2, a Cayman Islands exempted company (“</w:t>
      </w:r>
      <w:r>
        <w:rPr>
          <w:rFonts w:ascii="Arial" w:cs="Arial" w:eastAsia="Arial" w:hAnsi="Arial"/>
          <w:sz w:val="17"/>
          <w:szCs w:val="17"/>
          <w:b w:val="1"/>
          <w:bCs w:val="1"/>
          <w:color w:val="auto"/>
        </w:rPr>
        <w:t>IB Merger Sub</w:t>
      </w:r>
      <w:r>
        <w:rPr>
          <w:rFonts w:ascii="Arial" w:cs="Arial" w:eastAsia="Arial" w:hAnsi="Arial"/>
          <w:sz w:val="17"/>
          <w:szCs w:val="17"/>
          <w:color w:val="auto"/>
        </w:rPr>
        <w:t>”), and Immatics Biotechnologies GmbH, a German limited liability company (“</w:t>
      </w:r>
      <w:r>
        <w:rPr>
          <w:rFonts w:ascii="Arial" w:cs="Arial" w:eastAsia="Arial" w:hAnsi="Arial"/>
          <w:sz w:val="17"/>
          <w:szCs w:val="17"/>
          <w:b w:val="1"/>
          <w:bCs w:val="1"/>
          <w:color w:val="auto"/>
        </w:rPr>
        <w:t>GmbH</w:t>
      </w:r>
      <w:r>
        <w:rPr>
          <w:rFonts w:ascii="Arial" w:cs="Arial" w:eastAsia="Arial" w:hAnsi="Arial"/>
          <w:sz w:val="17"/>
          <w:szCs w:val="17"/>
          <w:color w:val="auto"/>
        </w:rPr>
        <w:t>”) have entered into that certain Business Combination Agreement, dated as of March 17, 2020 (as amended or supplemented from time to time,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pursuant to which, among other things: (i) each Participating Shareholder (as defined in the Business Combination Agreement) of GmbH exchanged his, her or its shares of GmbH for Ordinary Shares on the terms and subject to the conditions therein (the “</w:t>
      </w:r>
      <w:r>
        <w:rPr>
          <w:rFonts w:ascii="Arial" w:cs="Arial" w:eastAsia="Arial" w:hAnsi="Arial"/>
          <w:sz w:val="17"/>
          <w:szCs w:val="17"/>
          <w:b w:val="1"/>
          <w:bCs w:val="1"/>
          <w:color w:val="auto"/>
        </w:rPr>
        <w:t>Exchange</w:t>
      </w:r>
      <w:r>
        <w:rPr>
          <w:rFonts w:ascii="Arial" w:cs="Arial" w:eastAsia="Arial" w:hAnsi="Arial"/>
          <w:sz w:val="17"/>
          <w:szCs w:val="17"/>
          <w:color w:val="auto"/>
        </w:rPr>
        <w:t>”) and (ii) ARYA Merger Sub will merge with and into ARYA (the “</w:t>
      </w:r>
      <w:r>
        <w:rPr>
          <w:rFonts w:ascii="Arial" w:cs="Arial" w:eastAsia="Arial" w:hAnsi="Arial"/>
          <w:sz w:val="17"/>
          <w:szCs w:val="17"/>
          <w:b w:val="1"/>
          <w:bCs w:val="1"/>
          <w:color w:val="auto"/>
        </w:rPr>
        <w:t>First Merger</w:t>
      </w:r>
      <w:r>
        <w:rPr>
          <w:rFonts w:ascii="Arial" w:cs="Arial" w:eastAsia="Arial" w:hAnsi="Arial"/>
          <w:sz w:val="17"/>
          <w:szCs w:val="17"/>
          <w:color w:val="auto"/>
        </w:rPr>
        <w:t>”), with ARYA surviving as a wholly owned subsidiary of the Company;</w:t>
      </w:r>
    </w:p>
    <w:p>
      <w:pPr>
        <w:spacing w:after="0" w:line="17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WHEREAS, ARYA, ARYA Sciences Holdings, a Cayman Islands exempted company (“</w:t>
      </w:r>
      <w:r>
        <w:rPr>
          <w:rFonts w:ascii="Arial" w:cs="Arial" w:eastAsia="Arial" w:hAnsi="Arial"/>
          <w:sz w:val="18"/>
          <w:szCs w:val="18"/>
          <w:b w:val="1"/>
          <w:bCs w:val="1"/>
          <w:color w:val="auto"/>
        </w:rPr>
        <w:t>Sponsor</w:t>
      </w:r>
      <w:r>
        <w:rPr>
          <w:rFonts w:ascii="Arial" w:cs="Arial" w:eastAsia="Arial" w:hAnsi="Arial"/>
          <w:sz w:val="18"/>
          <w:szCs w:val="18"/>
          <w:color w:val="auto"/>
        </w:rPr>
        <w:t>”), Dr. David Hung, Dr. Todd Wider and Kevin Conroy (together with Sponsor, the “</w:t>
      </w:r>
      <w:r>
        <w:rPr>
          <w:rFonts w:ascii="Arial" w:cs="Arial" w:eastAsia="Arial" w:hAnsi="Arial"/>
          <w:sz w:val="18"/>
          <w:szCs w:val="18"/>
          <w:b w:val="1"/>
          <w:bCs w:val="1"/>
          <w:color w:val="auto"/>
        </w:rPr>
        <w:t>ARYA IPO Investors</w:t>
      </w:r>
      <w:r>
        <w:rPr>
          <w:rFonts w:ascii="Arial" w:cs="Arial" w:eastAsia="Arial" w:hAnsi="Arial"/>
          <w:sz w:val="18"/>
          <w:szCs w:val="18"/>
          <w:color w:val="auto"/>
        </w:rPr>
        <w:t>”) are parties to that certain Registration and Shareholder Rights Agreement, dated October 10, 2018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80"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WHEREAS, the ARYA IPO Investors currently hold (i) Class B ordinary shares, par value $0.0001 per share, of ARYA issued by ARYA prior to the consummation of ARYA’s initial public offering (collectively, the “</w:t>
      </w:r>
      <w:r>
        <w:rPr>
          <w:rFonts w:ascii="Arial" w:cs="Arial" w:eastAsia="Arial" w:hAnsi="Arial"/>
          <w:sz w:val="18"/>
          <w:szCs w:val="18"/>
          <w:b w:val="1"/>
          <w:bCs w:val="1"/>
          <w:color w:val="auto"/>
        </w:rPr>
        <w:t>Founder Shares</w:t>
      </w:r>
      <w:r>
        <w:rPr>
          <w:rFonts w:ascii="Arial" w:cs="Arial" w:eastAsia="Arial" w:hAnsi="Arial"/>
          <w:sz w:val="18"/>
          <w:szCs w:val="18"/>
          <w:color w:val="auto"/>
        </w:rPr>
        <w:t>”) and (ii) warrants to purchase Class A ordinary shares, par value $0.0001 per share (“</w:t>
      </w:r>
      <w:r>
        <w:rPr>
          <w:rFonts w:ascii="Arial" w:cs="Arial" w:eastAsia="Arial" w:hAnsi="Arial"/>
          <w:sz w:val="18"/>
          <w:szCs w:val="18"/>
          <w:b w:val="1"/>
          <w:bCs w:val="1"/>
          <w:color w:val="auto"/>
        </w:rPr>
        <w:t>Class A Shares</w:t>
      </w:r>
      <w:r>
        <w:rPr>
          <w:rFonts w:ascii="Arial" w:cs="Arial" w:eastAsia="Arial" w:hAnsi="Arial"/>
          <w:sz w:val="18"/>
          <w:szCs w:val="18"/>
          <w:color w:val="auto"/>
        </w:rPr>
        <w:t>”), of ARYA issued by ARYA simultaneously with the consummation of ARYA’s initial public offering (the “</w:t>
      </w:r>
      <w:r>
        <w:rPr>
          <w:rFonts w:ascii="Arial" w:cs="Arial" w:eastAsia="Arial" w:hAnsi="Arial"/>
          <w:sz w:val="18"/>
          <w:szCs w:val="18"/>
          <w:b w:val="1"/>
          <w:bCs w:val="1"/>
          <w:color w:val="auto"/>
        </w:rPr>
        <w:t>Sponsor’s Warrants</w:t>
      </w:r>
      <w:r>
        <w:rPr>
          <w:rFonts w:ascii="Arial" w:cs="Arial" w:eastAsia="Arial" w:hAnsi="Arial"/>
          <w:sz w:val="18"/>
          <w:szCs w:val="18"/>
          <w:color w:val="auto"/>
        </w:rPr>
        <w:t>”);</w:t>
      </w:r>
    </w:p>
    <w:p>
      <w:pPr>
        <w:spacing w:after="0" w:line="187"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WHEREAS, the Founder Shares will automatically convert into Class A Shares at the time of the initial Business Combination (as defined in the Prior Agreement) on a one-for-one basis, subject to adjustment, on the terms and conditions provided in ARYA’s amended and restated memorandum and articles of association, as the same may be amended from time, and will be exchanged for Ordinary Shares in connection with the First Merger;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Sponsor will forfeit all Sponsor’s Warrants at the consummation of the Business Combination;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Perceptive Life Sciences Master Fund, Ltd, a Cayman Island exempted company (together with the ARYA IPO Investors,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ARYA Investors</w:t>
      </w:r>
      <w:r>
        <w:rPr>
          <w:rFonts w:ascii="Arial" w:cs="Arial" w:eastAsia="Arial" w:hAnsi="Arial"/>
          <w:sz w:val="16"/>
          <w:szCs w:val="16"/>
          <w:color w:val="auto"/>
        </w:rPr>
        <w:t>”) has subscribed to purchase Ordinary Shares in the PIPE Financing (defined below) in connection with the consummation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certain Investors (“</w:t>
      </w:r>
      <w:r>
        <w:rPr>
          <w:rFonts w:ascii="Arial" w:cs="Arial" w:eastAsia="Arial" w:hAnsi="Arial"/>
          <w:sz w:val="17"/>
          <w:szCs w:val="17"/>
          <w:b w:val="1"/>
          <w:bCs w:val="1"/>
          <w:color w:val="auto"/>
        </w:rPr>
        <w:t>GmbH Investors</w:t>
      </w:r>
      <w:r>
        <w:rPr>
          <w:rFonts w:ascii="Arial" w:cs="Arial" w:eastAsia="Arial" w:hAnsi="Arial"/>
          <w:sz w:val="17"/>
          <w:szCs w:val="17"/>
          <w:color w:val="auto"/>
        </w:rPr>
        <w:t>”) hold ownership interests in GmbH, consisting of ordinary shares (“</w:t>
      </w:r>
      <w:r>
        <w:rPr>
          <w:rFonts w:ascii="Arial" w:cs="Arial" w:eastAsia="Arial" w:hAnsi="Arial"/>
          <w:sz w:val="17"/>
          <w:szCs w:val="17"/>
          <w:b w:val="1"/>
          <w:bCs w:val="1"/>
          <w:color w:val="auto"/>
        </w:rPr>
        <w:t>GmbH ordinary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w:t>
      </w:r>
      <w:r>
        <w:rPr>
          <w:rFonts w:ascii="Arial" w:cs="Arial" w:eastAsia="Arial" w:hAnsi="Arial"/>
          <w:sz w:val="17"/>
          <w:szCs w:val="17"/>
          <w:color w:val="auto"/>
        </w:rPr>
        <w:t>”); shares designated as Series C preferred shares (“</w:t>
      </w:r>
      <w:r>
        <w:rPr>
          <w:rFonts w:ascii="Arial" w:cs="Arial" w:eastAsia="Arial" w:hAnsi="Arial"/>
          <w:sz w:val="17"/>
          <w:szCs w:val="17"/>
          <w:b w:val="1"/>
          <w:bCs w:val="1"/>
          <w:color w:val="auto"/>
        </w:rPr>
        <w:t>GmbH Series C Preferred Shares</w:t>
      </w:r>
      <w:r>
        <w:rPr>
          <w:rFonts w:ascii="Arial" w:cs="Arial" w:eastAsia="Arial" w:hAnsi="Arial"/>
          <w:sz w:val="17"/>
          <w:szCs w:val="17"/>
          <w:color w:val="auto"/>
        </w:rPr>
        <w:t>”); shares designated as Series D preferred shares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GmbH Series D Preferred Shares</w:t>
      </w:r>
      <w:r>
        <w:rPr>
          <w:rFonts w:ascii="Arial" w:cs="Arial" w:eastAsia="Arial" w:hAnsi="Arial"/>
          <w:sz w:val="16"/>
          <w:szCs w:val="16"/>
          <w:color w:val="auto"/>
        </w:rPr>
        <w:t>”), and shares designated as Series E preferred shares (“</w:t>
      </w:r>
      <w:r>
        <w:rPr>
          <w:rFonts w:ascii="Arial" w:cs="Arial" w:eastAsia="Arial" w:hAnsi="Arial"/>
          <w:sz w:val="16"/>
          <w:szCs w:val="16"/>
          <w:b w:val="1"/>
          <w:bCs w:val="1"/>
          <w:color w:val="auto"/>
        </w:rPr>
        <w:t>GmbH Series E Preferred Shares</w:t>
      </w:r>
      <w:r>
        <w:rPr>
          <w:rFonts w:ascii="Arial" w:cs="Arial" w:eastAsia="Arial" w:hAnsi="Arial"/>
          <w:sz w:val="16"/>
          <w:szCs w:val="16"/>
          <w:color w:val="auto"/>
        </w:rPr>
        <w:t>” and together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GmbH ordinary shares, GmbH Series C Preferred Shares and GmbH Series D Preferred Shares, the “</w:t>
      </w:r>
      <w:r>
        <w:rPr>
          <w:rFonts w:ascii="Arial" w:cs="Arial" w:eastAsia="Arial" w:hAnsi="Arial"/>
          <w:sz w:val="18"/>
          <w:szCs w:val="18"/>
          <w:b w:val="1"/>
          <w:bCs w:val="1"/>
          <w:color w:val="auto"/>
        </w:rPr>
        <w:t>GmbH Shares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423" w:name="page424"/>
    <w:bookmarkEnd w:id="423"/>
    <w:p>
      <w:pPr>
        <w:ind w:left="4" w:right="2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WHEREAS, GmbH Shares will be exchanged for ordinary shares, nominal value €0.01 per share, of the Company (“</w:t>
      </w:r>
      <w:r>
        <w:rPr>
          <w:rFonts w:ascii="Arial" w:cs="Arial" w:eastAsia="Arial" w:hAnsi="Arial"/>
          <w:sz w:val="18"/>
          <w:szCs w:val="18"/>
          <w:b w:val="1"/>
          <w:bCs w:val="1"/>
          <w:color w:val="auto"/>
        </w:rPr>
        <w:t>Ordinary Shares</w:t>
      </w:r>
      <w:r>
        <w:rPr>
          <w:rFonts w:ascii="Arial" w:cs="Arial" w:eastAsia="Arial" w:hAnsi="Arial"/>
          <w:sz w:val="18"/>
          <w:szCs w:val="18"/>
          <w:color w:val="auto"/>
        </w:rPr>
        <w:t>”) on or about the date hereof, pursuant to the Business Combination Agreement; and</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WHEREAS, the parties to the Prior Agreement desire to terminate the Prior Agreement to provide for the terms and conditions included herein.</w:t>
      </w:r>
    </w:p>
    <w:p>
      <w:pPr>
        <w:spacing w:after="0" w:line="248"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444" w:right="4280" w:hanging="444"/>
        <w:spacing w:after="0" w:line="402" w:lineRule="auto"/>
        <w:tabs>
          <w:tab w:leader="none" w:pos="184"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 “</w:t>
      </w:r>
      <w:r>
        <w:rPr>
          <w:rFonts w:ascii="Arial" w:cs="Arial" w:eastAsia="Arial" w:hAnsi="Arial"/>
          <w:sz w:val="18"/>
          <w:szCs w:val="18"/>
          <w:b w:val="1"/>
          <w:bCs w:val="1"/>
          <w:color w:val="auto"/>
        </w:rPr>
        <w:t>Addendum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5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ARYA Investors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ARYA IPO Investors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 w:right="1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 Trade</w:t>
      </w:r>
      <w:r>
        <w:rPr>
          <w:rFonts w:ascii="Arial" w:cs="Arial" w:eastAsia="Arial" w:hAnsi="Arial"/>
          <w:sz w:val="18"/>
          <w:szCs w:val="18"/>
          <w:color w:val="auto"/>
        </w:rPr>
        <w:t>” means any non-marketed underwritten offering taking the form of a block trade to a financial institution, QIB or Institutional Accredited Investor, bought deal, over-night deal or similar transaction that does not include “road show” presentations to potential investors requiring substantial marketing effort from management over multiple days, the issuance of a “comfort letter” by the Company’s auditors, and the issuance of legal opinions by the Company’s legal counsel.</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 Agreement</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law to close.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is defined in the Business Combination Agreement.</w:t>
      </w:r>
    </w:p>
    <w:p>
      <w:pPr>
        <w:spacing w:after="0" w:line="225" w:lineRule="exact"/>
        <w:rPr>
          <w:sz w:val="20"/>
          <w:szCs w:val="20"/>
          <w:color w:val="auto"/>
        </w:rPr>
      </w:pPr>
    </w:p>
    <w:p>
      <w:pPr>
        <w:ind w:left="4" w:right="6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Demanding Holder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ectPr>
          <w:pgSz w:w="11900" w:h="16838" w:orient="portrait"/>
          <w:cols w:equalWidth="0" w:num="1">
            <w:col w:w="11004"/>
          </w:cols>
          <w:pgMar w:left="436" w:top="270" w:right="459" w:bottom="1440" w:gutter="0" w:footer="0" w:header="0"/>
        </w:sectPr>
      </w:pPr>
    </w:p>
    <w:bookmarkStart w:id="424" w:name="page425"/>
    <w:bookmarkEnd w:id="4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Dievini</w:t>
      </w:r>
      <w:r>
        <w:rPr>
          <w:rFonts w:ascii="Arial" w:cs="Arial" w:eastAsia="Arial" w:hAnsi="Arial"/>
          <w:sz w:val="18"/>
          <w:szCs w:val="18"/>
          <w:color w:val="auto"/>
        </w:rPr>
        <w:t>” means dievini Hopp BioTech holding GmbH &amp; Co. KG.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Effectiveness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F-1</w:t>
      </w:r>
      <w:r>
        <w:rPr>
          <w:rFonts w:ascii="Arial" w:cs="Arial" w:eastAsia="Arial" w:hAnsi="Arial"/>
          <w:sz w:val="18"/>
          <w:szCs w:val="18"/>
          <w:color w:val="auto"/>
        </w:rPr>
        <w:t>” means a Registration Statement on Form F-1.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F-3</w:t>
      </w:r>
      <w:r>
        <w:rPr>
          <w:rFonts w:ascii="Arial" w:cs="Arial" w:eastAsia="Arial" w:hAnsi="Arial"/>
          <w:sz w:val="18"/>
          <w:szCs w:val="18"/>
          <w:color w:val="auto"/>
        </w:rPr>
        <w:t>” means a Registration Statement on Form F-3 or any similar short-form registration that may be available at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 Shares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GmbH Investors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GmbH Shares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Institutional Accredited Investor</w:t>
      </w:r>
      <w:r>
        <w:rPr>
          <w:rFonts w:ascii="Arial" w:cs="Arial" w:eastAsia="Arial" w:hAnsi="Arial"/>
          <w:sz w:val="16"/>
          <w:szCs w:val="16"/>
          <w:color w:val="auto"/>
        </w:rPr>
        <w:t>” means an institutional “accredited” investor as defined in Rule 501(a) of Regulation D under the Securities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Number of Shares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 Securities</w:t>
      </w:r>
      <w:r>
        <w:rPr>
          <w:rFonts w:ascii="Arial" w:cs="Arial" w:eastAsia="Arial" w:hAnsi="Arial"/>
          <w:sz w:val="17"/>
          <w:szCs w:val="17"/>
          <w:color w:val="auto"/>
        </w:rPr>
        <w:t>” means all Ordinary Shares issued in connection with any of the First Merger, the Exchange or the PIPE Financing.</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Perceptive</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means (i) the members of an Investor’s immediate family (for purposes of this Agreement, “</w:t>
      </w:r>
      <w:r>
        <w:rPr>
          <w:rFonts w:ascii="Arial" w:cs="Arial" w:eastAsia="Arial" w:hAnsi="Arial"/>
          <w:sz w:val="18"/>
          <w:szCs w:val="18"/>
          <w:b w:val="1"/>
          <w:bCs w:val="1"/>
          <w:color w:val="auto"/>
        </w:rPr>
        <w:t>immediate family</w:t>
      </w:r>
      <w:r>
        <w:rPr>
          <w:rFonts w:ascii="Arial" w:cs="Arial" w:eastAsia="Arial" w:hAnsi="Arial"/>
          <w:sz w:val="18"/>
          <w:szCs w:val="18"/>
          <w:color w:val="auto"/>
        </w:rPr>
        <w:t>” shall mean with respect to any natural person, any of the following: such person’s spouse, the siblings of such person and his or her spouse, and the direct descendants and ascendants (including adopted and step children and parents) of such</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40"/>
          </w:cols>
          <w:pgMar w:left="440" w:top="270" w:right="619" w:bottom="1440" w:gutter="0" w:footer="0" w:header="0"/>
        </w:sectPr>
      </w:pPr>
    </w:p>
    <w:bookmarkStart w:id="425" w:name="page426"/>
    <w:bookmarkEnd w:id="42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and his or her spouses and siblings); (ii) any trust for the direct or indirect benefit of an Investor or the immediate family of an Investor; (iii) if an Investor is a trust, to the trustor or beneficiary of such trust or to the estate of a beneficiary of such trust; (iv) any officer, director, general partner, limited partner, shareholder, member, or owner of similar equity interests in an Investor; (v) any affiliate of an Investor or the immediate family of such affiliate or (vi) any affiliate of an immediate family of the Investor.</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2.3.1</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PIPE Financing</w:t>
      </w:r>
      <w:r>
        <w:rPr>
          <w:rFonts w:ascii="Arial" w:cs="Arial" w:eastAsia="Arial" w:hAnsi="Arial"/>
          <w:sz w:val="16"/>
          <w:szCs w:val="16"/>
          <w:color w:val="auto"/>
        </w:rPr>
        <w:t>” means the private placement of 10,415,000 Ordinary Shares to certain investors pursuant to Section 4(a)(2) of the Securities Act and/or Regulation D promulgated thereunder, for gross proceeds to the Company in an aggregate amount of approximately $104,150,000.</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Agreement</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QIB</w:t>
      </w:r>
      <w:r>
        <w:rPr>
          <w:rFonts w:ascii="Arial" w:cs="Arial" w:eastAsia="Arial" w:hAnsi="Arial"/>
          <w:sz w:val="18"/>
          <w:szCs w:val="18"/>
          <w:color w:val="auto"/>
        </w:rPr>
        <w:t>” means “qualified institutional buyer” as defined in Rule 144A under the Securities Act.</w:t>
      </w:r>
    </w:p>
    <w:p>
      <w:pPr>
        <w:spacing w:after="0" w:line="225" w:lineRule="exact"/>
        <w:rPr>
          <w:sz w:val="20"/>
          <w:szCs w:val="20"/>
          <w:color w:val="auto"/>
        </w:rPr>
      </w:pPr>
    </w:p>
    <w:p>
      <w:pPr>
        <w:ind w:right="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w:t>
      </w:r>
      <w:r>
        <w:rPr>
          <w:rFonts w:ascii="Arial" w:cs="Arial" w:eastAsia="Arial" w:hAnsi="Arial"/>
          <w:sz w:val="16"/>
          <w:szCs w:val="16"/>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16"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New Securities and (ii) all Ordinary Shares issued to any Investor with respect to such securities referenced in clause (i) by way of any share split, share dividend or other distribution, recapitalization, share exchange, share reconstruction, amalgamation, contractual control arrangement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or (c) such securities shall have ceased to be outstanding.</w:t>
      </w:r>
    </w:p>
    <w:p>
      <w:pPr>
        <w:spacing w:after="0" w:line="161" w:lineRule="exact"/>
        <w:rPr>
          <w:sz w:val="20"/>
          <w:szCs w:val="20"/>
          <w:color w:val="auto"/>
        </w:rPr>
      </w:pPr>
    </w:p>
    <w:p>
      <w:pPr>
        <w:ind w:right="12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a registration statement filed by the Company or its successor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F-4, Form S-4 or Form S-8, or their successors, or any registration statement covering only securities proposed to be issued in exchange for securities or assets of another entity).</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Shelf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426" w:name="page427"/>
    <w:bookmarkEnd w:id="42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SEC Guidance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Sponsor’s Warrants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4" w:right="1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means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Ordinary Shares, (ii) enter into any swap or other arrangement that transfers to another, in whole or in part, any of the economic consequences of ownership of any Ordinary Shares, whether any such transaction is to be settled by delivery of such securities, in cash or otherwise, or (iii) publicly announce any intention to effect any transaction, including the filing of a registration statement specified in clause (i) or (ii), other than a Registration Statement filed pursuant to this Agreement.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w:t>
      </w:r>
    </w:p>
    <w:p>
      <w:pPr>
        <w:spacing w:after="0" w:line="174"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left="4"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Demand Registration</w:t>
      </w:r>
      <w:r>
        <w:rPr>
          <w:rFonts w:ascii="Arial" w:cs="Arial" w:eastAsia="Arial" w:hAnsi="Arial"/>
          <w:sz w:val="18"/>
          <w:szCs w:val="18"/>
          <w:color w:val="auto"/>
        </w:rPr>
        <w:t>” shall mean an underwritten public offering of Registrable Securities pursuant to a Demand Registration, as amended or supplemented, that is a fully marketed underwritten offering that requires Company management to participate in “road show” presentations to potential investors requiring substantial marketing effort from management over multiple days, the issuance of a “comfort letter” by the Company’s auditors, and the issuance of legal opinions by the Company’s legal counsel.</w:t>
      </w:r>
    </w:p>
    <w:p>
      <w:pPr>
        <w:spacing w:after="0" w:line="180" w:lineRule="exact"/>
        <w:rPr>
          <w:sz w:val="20"/>
          <w:szCs w:val="20"/>
          <w:color w:val="auto"/>
        </w:rPr>
      </w:pPr>
    </w:p>
    <w:p>
      <w:pPr>
        <w:ind w:left="4"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Takedown</w:t>
      </w:r>
      <w:r>
        <w:rPr>
          <w:rFonts w:ascii="Arial" w:cs="Arial" w:eastAsia="Arial" w:hAnsi="Arial"/>
          <w:sz w:val="18"/>
          <w:szCs w:val="18"/>
          <w:color w:val="auto"/>
        </w:rPr>
        <w:t>” shall mean an underwritten public offering of Registrable Securities pursuant to the Resale Shelf Registration Statement, as amended or supplemented that requires the issuance of a “comfort letter” by the Company’s auditors and the issuance of legal opinions by the Company’s legal counsel.</w:t>
      </w:r>
    </w:p>
    <w:p>
      <w:pPr>
        <w:spacing w:after="0" w:line="180" w:lineRule="exact"/>
        <w:rPr>
          <w:sz w:val="20"/>
          <w:szCs w:val="20"/>
          <w:color w:val="auto"/>
        </w:rPr>
      </w:pPr>
    </w:p>
    <w:p>
      <w:pPr>
        <w:ind w:left="184" w:hanging="184"/>
        <w:spacing w:after="0"/>
        <w:tabs>
          <w:tab w:leader="none" w:pos="184"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Resale Shelf Registration Rights</w:t>
      </w:r>
      <w:r>
        <w:rPr>
          <w:rFonts w:ascii="Arial" w:cs="Arial" w:eastAsia="Arial" w:hAnsi="Arial"/>
          <w:sz w:val="18"/>
          <w:szCs w:val="18"/>
          <w:color w:val="auto"/>
        </w:rPr>
        <w:t>.</w:t>
      </w:r>
    </w:p>
    <w:p>
      <w:pPr>
        <w:spacing w:after="0" w:line="117"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Registration Statement Covering Resale of Registrable Securities</w:t>
      </w:r>
      <w:r>
        <w:rPr>
          <w:rFonts w:ascii="Arial" w:cs="Arial" w:eastAsia="Arial" w:hAnsi="Arial"/>
          <w:sz w:val="17"/>
          <w:szCs w:val="17"/>
          <w:color w:val="auto"/>
        </w:rPr>
        <w:t xml:space="preserve">. Provided compliance by the Investors with </w:t>
      </w:r>
      <w:r>
        <w:rPr>
          <w:rFonts w:ascii="Arial" w:cs="Arial" w:eastAsia="Arial" w:hAnsi="Arial"/>
          <w:sz w:val="17"/>
          <w:szCs w:val="17"/>
          <w:u w:val="single" w:color="auto"/>
          <w:color w:val="auto"/>
        </w:rPr>
        <w:t>Section 3.4</w:t>
      </w:r>
      <w:r>
        <w:rPr>
          <w:rFonts w:ascii="Arial" w:cs="Arial" w:eastAsia="Arial" w:hAnsi="Arial"/>
          <w:sz w:val="17"/>
          <w:szCs w:val="17"/>
          <w:color w:val="auto"/>
        </w:rPr>
        <w:t>, the Company shall prepare and file or cause to be prepared and filed with the Commission, no later than forty five (45) days following the Closing Date, a Registration Statement on Form F-3 or its successor form, or, if the Company is ineligible to use Form F-3, a Registration Statement on Form F-1, for an offering to be made on a continuous basis pursuant to Rule 415 of the Securities Act registering the resale from time</w:t>
      </w:r>
    </w:p>
    <w:p>
      <w:pPr>
        <w:sectPr>
          <w:pgSz w:w="11900" w:h="16838" w:orient="portrait"/>
          <w:cols w:equalWidth="0" w:num="1">
            <w:col w:w="11004"/>
          </w:cols>
          <w:pgMar w:left="436" w:top="270" w:right="459" w:bottom="1440" w:gutter="0" w:footer="0" w:header="0"/>
        </w:sectPr>
      </w:pPr>
    </w:p>
    <w:bookmarkStart w:id="427" w:name="page428"/>
    <w:bookmarkEnd w:id="42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time by Investors of all of the Registrable Securities then held by such Investors that are not covered by an effective resale registration statement (the “</w:t>
      </w:r>
      <w:r>
        <w:rPr>
          <w:rFonts w:ascii="Arial" w:cs="Arial" w:eastAsia="Arial" w:hAnsi="Arial"/>
          <w:sz w:val="17"/>
          <w:szCs w:val="17"/>
          <w:b w:val="1"/>
          <w:bCs w:val="1"/>
          <w:color w:val="auto"/>
        </w:rPr>
        <w:t>Resale Shelf Registration Statement</w:t>
      </w:r>
      <w:r>
        <w:rPr>
          <w:rFonts w:ascii="Arial" w:cs="Arial" w:eastAsia="Arial" w:hAnsi="Arial"/>
          <w:sz w:val="17"/>
          <w:szCs w:val="17"/>
          <w:color w:val="auto"/>
        </w:rPr>
        <w:t xml:space="preserve">”). The Company shall use reasonable best efforts to cause the Resale Shelf Registration Statement to be declared effective as soon as possible after filing, and in no event later than the date that the Lock-up Period expires, and once effective, to keep the Resale Shelf Registration Statement continuously effective under the Securities Act at all times until the expiration of the Effectiveness Period. In the event that the Company files a Form F-1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the Company shall use its commercially reasonable efforts to convert the Form F-1 to a Form F-3 as soon as practicable after the Company is eligible to use Form F-3.</w:t>
      </w:r>
    </w:p>
    <w:p>
      <w:pPr>
        <w:spacing w:after="0" w:line="178"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Notification and Distribution of Materials</w:t>
      </w:r>
      <w:r>
        <w:rPr>
          <w:rFonts w:ascii="Arial" w:cs="Arial" w:eastAsia="Arial" w:hAnsi="Arial"/>
          <w:sz w:val="16"/>
          <w:szCs w:val="16"/>
          <w:color w:val="auto"/>
        </w:rPr>
        <w:t>. The Company shall notify the Investors in writing of the effectiveness of the Resale Shelf Registration Statement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Investors may reasonably request in order to facilitate the sale of the Registrable Securities in the manner described in the Resale Shelf Registration Statement.</w:t>
      </w:r>
    </w:p>
    <w:p>
      <w:pPr>
        <w:spacing w:after="0" w:line="161" w:lineRule="exact"/>
        <w:rPr>
          <w:sz w:val="20"/>
          <w:szCs w:val="20"/>
          <w:color w:val="auto"/>
        </w:rPr>
      </w:pPr>
    </w:p>
    <w:p>
      <w:pPr>
        <w:ind w:right="160" w:firstLine="991"/>
        <w:spacing w:after="0" w:line="279"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Amendments and Supplements</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during the Effectiveness Period.</w:t>
      </w:r>
    </w:p>
    <w:p>
      <w:pPr>
        <w:spacing w:after="0" w:line="171"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2.1.4 Notwithstanding the registration obligations set forth in this </w:t>
      </w:r>
      <w:r>
        <w:rPr>
          <w:rFonts w:ascii="Arial" w:cs="Arial" w:eastAsia="Arial" w:hAnsi="Arial"/>
          <w:sz w:val="17"/>
          <w:szCs w:val="17"/>
          <w:u w:val="single" w:color="auto"/>
          <w:color w:val="auto"/>
        </w:rPr>
        <w:t>Section 2.1</w:t>
      </w:r>
      <w:r>
        <w:rPr>
          <w:rFonts w:ascii="Arial" w:cs="Arial" w:eastAsia="Arial" w:hAnsi="Arial"/>
          <w:sz w:val="17"/>
          <w:szCs w:val="17"/>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Arial" w:cs="Arial" w:eastAsia="Arial" w:hAnsi="Arial"/>
          <w:sz w:val="17"/>
          <w:szCs w:val="17"/>
          <w:b w:val="1"/>
          <w:bCs w:val="1"/>
          <w:color w:val="auto"/>
        </w:rPr>
        <w:t>New Registration Statement</w:t>
      </w:r>
      <w:r>
        <w:rPr>
          <w:rFonts w:ascii="Arial" w:cs="Arial" w:eastAsia="Arial" w:hAnsi="Arial"/>
          <w:sz w:val="17"/>
          <w:szCs w:val="17"/>
          <w:color w:val="auto"/>
        </w:rPr>
        <w:t>”), in either case covering the maximum number of Registrable Securities permitted to be registered by the Commission, on Form F-1, Form F-3 or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7"/>
          <w:szCs w:val="17"/>
          <w:b w:val="1"/>
          <w:bCs w:val="1"/>
          <w:color w:val="auto"/>
        </w:rPr>
        <w:t>SEC Guidance</w:t>
      </w:r>
      <w:r>
        <w:rPr>
          <w:rFonts w:ascii="Arial" w:cs="Arial" w:eastAsia="Arial" w:hAnsi="Arial"/>
          <w:sz w:val="17"/>
          <w:szCs w:val="17"/>
          <w:color w:val="auto"/>
        </w:rPr>
        <w:t>”), including, without limitation, the Manual of Publicly Available Telephone Interpretations D.29. Notwithstanding any other provision of this Agreement, if any SEC Guidance sets forth a limitation of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w:t>
      </w:r>
    </w:p>
    <w:p>
      <w:pPr>
        <w:sectPr>
          <w:pgSz w:w="11900" w:h="16838" w:orient="portrait"/>
          <w:cols w:equalWidth="0" w:num="1">
            <w:col w:w="11000"/>
          </w:cols>
          <w:pgMar w:left="440" w:top="274" w:right="459" w:bottom="1440" w:gutter="0" w:footer="0" w:header="0"/>
        </w:sectPr>
      </w:pPr>
    </w:p>
    <w:bookmarkStart w:id="428" w:name="page429"/>
    <w:bookmarkEnd w:id="428"/>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will be reduced on a Pro Rata basis, subject to a determination by the Commission that certain Investors must be reduced first based on the number of Registrable Securities held by such Investors.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F-1, Form F-3 or such other form available to register for resale those Registrable Securities that were not registered for resale on the Resale Shelf Registration Statement, as amended, or the New Registration Statement.</w:t>
      </w:r>
    </w:p>
    <w:p>
      <w:pPr>
        <w:spacing w:after="0" w:line="178"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The Company shall promptly notify the Investors in writing of any request by the Commission for any amendment or supplement to, or additional information in connection with, the Resale Shelf Registration Statement required to be prepared and filed hereunder (or prospectus relating thereto). The Company shall promptly notify each Investor in writing of the filing of the Resale Shelf Registration Statement or any prospectus, amendment or supplement related thereto or any post-effective amendment to the Resale Shelf Registration Statement and the effectiveness of any post-effective amendment.</w:t>
      </w:r>
    </w:p>
    <w:p>
      <w:pPr>
        <w:spacing w:after="0" w:line="188"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Underwritten Takedown</w:t>
      </w:r>
      <w:r>
        <w:rPr>
          <w:rFonts w:ascii="Arial" w:cs="Arial" w:eastAsia="Arial" w:hAnsi="Arial"/>
          <w:sz w:val="17"/>
          <w:szCs w:val="17"/>
          <w:color w:val="auto"/>
        </w:rPr>
        <w:t>. If the Company shall receive a request from the holders of Registrable Securities with an estimated market value of at least $25,000,000 that the Company effect a Underwritten Takedown of all or any portion of the requesting holder’s Registrable Securities, then the Company shall promptly give notice of such requested Underwritten Takedown at least seven (7) Business Days prior to the anticipated filing date of the prospectus or supplement relating to such Underwritten Takedown to the other Investors and thereupon shall use its reasonable best efforts to effect, as expeditiously as possible, the offering in such Underwritten Takedown of:</w:t>
      </w:r>
    </w:p>
    <w:p>
      <w:pPr>
        <w:spacing w:after="0" w:line="68" w:lineRule="exact"/>
        <w:rPr>
          <w:sz w:val="20"/>
          <w:szCs w:val="20"/>
          <w:color w:val="auto"/>
        </w:rPr>
      </w:pPr>
    </w:p>
    <w:p>
      <w:pPr>
        <w:ind w:left="440" w:right="140" w:firstLine="1371"/>
        <w:spacing w:after="0" w:line="277" w:lineRule="auto"/>
        <w:tabs>
          <w:tab w:leader="none" w:pos="203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 xml:space="preserve">subject to the restrictions set forth in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all Registrable Securities for which the requesting holder has requested such offering under </w:t>
      </w:r>
      <w:r>
        <w:rPr>
          <w:rFonts w:ascii="Arial" w:cs="Arial" w:eastAsia="Arial" w:hAnsi="Arial"/>
          <w:sz w:val="18"/>
          <w:szCs w:val="18"/>
          <w:u w:val="single" w:color="auto"/>
          <w:color w:val="auto"/>
        </w:rPr>
        <w:t>Section 2.1.6</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jc w:val="both"/>
        <w:ind w:left="440" w:firstLine="1371"/>
        <w:spacing w:after="0" w:line="259" w:lineRule="auto"/>
        <w:tabs>
          <w:tab w:leader="none" w:pos="208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 xml:space="preserve">subject to the restrictions set forth in </w:t>
      </w:r>
      <w:r>
        <w:rPr>
          <w:rFonts w:ascii="Arial" w:cs="Arial" w:eastAsia="Arial" w:hAnsi="Arial"/>
          <w:sz w:val="18"/>
          <w:szCs w:val="18"/>
          <w:u w:val="single" w:color="auto"/>
          <w:color w:val="auto"/>
        </w:rPr>
        <w:t>Section 2.2.4</w:t>
      </w:r>
      <w:r>
        <w:rPr>
          <w:rFonts w:ascii="Arial" w:cs="Arial" w:eastAsia="Arial" w:hAnsi="Arial"/>
          <w:sz w:val="18"/>
          <w:szCs w:val="18"/>
          <w:color w:val="auto"/>
        </w:rPr>
        <w:t>, all other Registrable Securities that any holders of Registrable Securities have requested the Company to offer by request received by the Company within two (2) Business Days after such holders receive the Company’s notice of the Underwritten Takedown Notice, all to the extent necessary to permit the disposition (in accordance with the intended methods thereof as aforesaid) of the Registrable Securities so to be offered.</w:t>
      </w:r>
    </w:p>
    <w:p>
      <w:pPr>
        <w:spacing w:after="0" w:line="78" w:lineRule="exact"/>
        <w:rPr>
          <w:rFonts w:ascii="Arial" w:cs="Arial" w:eastAsia="Arial" w:hAnsi="Arial"/>
          <w:sz w:val="18"/>
          <w:szCs w:val="18"/>
          <w:color w:val="auto"/>
        </w:rPr>
      </w:pPr>
    </w:p>
    <w:p>
      <w:pPr>
        <w:ind w:right="100" w:firstLine="1428"/>
        <w:spacing w:after="0" w:line="308" w:lineRule="auto"/>
        <w:tabs>
          <w:tab w:leader="none" w:pos="1677" w:val="left"/>
        </w:tabs>
        <w:numPr>
          <w:ilvl w:val="0"/>
          <w:numId w:val="366"/>
        </w:numPr>
        <w:rPr>
          <w:rFonts w:ascii="Arial" w:cs="Arial" w:eastAsia="Arial" w:hAnsi="Arial"/>
          <w:sz w:val="17"/>
          <w:szCs w:val="17"/>
          <w:color w:val="auto"/>
        </w:rPr>
      </w:pPr>
      <w:r>
        <w:rPr>
          <w:rFonts w:ascii="Arial" w:cs="Arial" w:eastAsia="Arial" w:hAnsi="Arial"/>
          <w:sz w:val="17"/>
          <w:szCs w:val="17"/>
          <w:color w:val="auto"/>
        </w:rPr>
        <w:t xml:space="preserve">Promptly after the expiration of the two-Business Day-period referred to in </w:t>
      </w:r>
      <w:r>
        <w:rPr>
          <w:rFonts w:ascii="Arial" w:cs="Arial" w:eastAsia="Arial" w:hAnsi="Arial"/>
          <w:sz w:val="17"/>
          <w:szCs w:val="17"/>
          <w:u w:val="single" w:color="auto"/>
          <w:color w:val="auto"/>
        </w:rPr>
        <w:t>Section 2.1.6(ii)</w:t>
      </w:r>
      <w:r>
        <w:rPr>
          <w:rFonts w:ascii="Arial" w:cs="Arial" w:eastAsia="Arial" w:hAnsi="Arial"/>
          <w:sz w:val="17"/>
          <w:szCs w:val="17"/>
          <w:color w:val="auto"/>
        </w:rPr>
        <w:t>, the Company will notify all selling holders of the identities of the other selling holders and the number of shares of Registrable Securities requested to be included therein.</w:t>
      </w:r>
    </w:p>
    <w:p>
      <w:pPr>
        <w:spacing w:after="0" w:line="38" w:lineRule="exact"/>
        <w:rPr>
          <w:rFonts w:ascii="Arial" w:cs="Arial" w:eastAsia="Arial" w:hAnsi="Arial"/>
          <w:sz w:val="17"/>
          <w:szCs w:val="17"/>
          <w:color w:val="auto"/>
        </w:rPr>
      </w:pPr>
    </w:p>
    <w:p>
      <w:pPr>
        <w:ind w:right="540" w:firstLine="1428"/>
        <w:spacing w:after="0" w:line="263" w:lineRule="auto"/>
        <w:tabs>
          <w:tab w:leader="none" w:pos="168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Company shall only be required to effectuate: (i) one Underwritten Takedown by each of (A) the ARYA Investors, collectively, and (B) GmbH Investors, collectively within any six-month period; (ii) no more than three Underwritten Takedowns in respect of all Registrable Securities held by ARYA Investors after giving effect to</w:t>
      </w:r>
    </w:p>
    <w:p>
      <w:pPr>
        <w:sectPr>
          <w:pgSz w:w="11900" w:h="16838" w:orient="portrait"/>
          <w:cols w:equalWidth="0" w:num="1">
            <w:col w:w="11000"/>
          </w:cols>
          <w:pgMar w:left="440" w:top="274" w:right="459" w:bottom="1440" w:gutter="0" w:footer="0" w:header="0"/>
        </w:sectPr>
      </w:pPr>
    </w:p>
    <w:bookmarkStart w:id="429" w:name="page430"/>
    <w:bookmarkEnd w:id="429"/>
    <w:p>
      <w:pPr>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2.2.1(c)</w:t>
      </w:r>
      <w:r>
        <w:rPr>
          <w:rFonts w:ascii="Arial" w:cs="Arial" w:eastAsia="Arial" w:hAnsi="Arial"/>
          <w:sz w:val="18"/>
          <w:szCs w:val="18"/>
          <w:color w:val="auto"/>
        </w:rPr>
        <w:t xml:space="preserve">; (iii) no more than three Underwritten Takedowns in respect of all Registrable Securities held by Company Investors (excluding dievini) after giving effect to </w:t>
      </w:r>
      <w:r>
        <w:rPr>
          <w:rFonts w:ascii="Arial" w:cs="Arial" w:eastAsia="Arial" w:hAnsi="Arial"/>
          <w:sz w:val="18"/>
          <w:szCs w:val="18"/>
          <w:u w:val="single" w:color="auto"/>
          <w:color w:val="auto"/>
        </w:rPr>
        <w:t>Section 2.2.1(d)</w:t>
      </w:r>
      <w:r>
        <w:rPr>
          <w:rFonts w:ascii="Arial" w:cs="Arial" w:eastAsia="Arial" w:hAnsi="Arial"/>
          <w:sz w:val="18"/>
          <w:szCs w:val="18"/>
          <w:color w:val="auto"/>
        </w:rPr>
        <w:t xml:space="preserve"> and (iv) no more than nine Underwritten Takedowns in respect of all Registrable Securities held by dievini after giving effect to </w:t>
      </w:r>
      <w:r>
        <w:rPr>
          <w:rFonts w:ascii="Arial" w:cs="Arial" w:eastAsia="Arial" w:hAnsi="Arial"/>
          <w:sz w:val="18"/>
          <w:szCs w:val="18"/>
          <w:u w:val="single" w:color="auto"/>
          <w:color w:val="auto"/>
        </w:rPr>
        <w:t>Section 2.2.1(e)</w:t>
      </w:r>
      <w:r>
        <w:rPr>
          <w:rFonts w:ascii="Arial" w:cs="Arial" w:eastAsia="Arial" w:hAnsi="Arial"/>
          <w:sz w:val="18"/>
          <w:szCs w:val="18"/>
          <w:color w:val="auto"/>
        </w:rPr>
        <w:t>.</w:t>
      </w:r>
    </w:p>
    <w:p>
      <w:pPr>
        <w:spacing w:after="0" w:line="184"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Block Trade</w:t>
      </w:r>
      <w:r>
        <w:rPr>
          <w:rFonts w:ascii="Arial" w:cs="Arial" w:eastAsia="Arial" w:hAnsi="Arial"/>
          <w:sz w:val="18"/>
          <w:szCs w:val="18"/>
          <w:color w:val="auto"/>
        </w:rPr>
        <w:t xml:space="preserve">. If the Company shall receive a request from the holders of Registrable Securities with an estimated market value of at least $10,000,000 that the Company effect the sale of all or any portion of the Registrable Securities in a Block Trade, then the Company shall, as expeditiously as possible, the offering in such Block Trade of the Registrable Securities for which such requesting holder has requested such offering under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87" w:lineRule="exact"/>
        <w:rPr>
          <w:sz w:val="20"/>
          <w:szCs w:val="20"/>
          <w:color w:val="auto"/>
        </w:rPr>
      </w:pPr>
    </w:p>
    <w:p>
      <w:pPr>
        <w:ind w:right="140" w:firstLine="991"/>
        <w:spacing w:after="0" w:line="254"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Selection of Underwriters</w:t>
      </w:r>
      <w:r>
        <w:rPr>
          <w:rFonts w:ascii="Arial" w:cs="Arial" w:eastAsia="Arial" w:hAnsi="Arial"/>
          <w:sz w:val="18"/>
          <w:szCs w:val="18"/>
          <w:color w:val="auto"/>
        </w:rPr>
        <w:t>. Selling holders holding a majority in interest of the Registrable Securities requested to be sold in an Underwritten Takedown shall have the right to select an Underwriter or Underwriters in connection with such Underwritten Takedown, which Underwriter or Underwriters shall be reasonably acceptable to the Company. In connection with an Underwritten Takedown, the Company shall enter into customary agreements (including an underwriting agreement in customary form) and take such other actions as are reasonably required in order to expedite or facilitate the disposition of the Registrable Securities in such Underwritten Takedown, including, if necessary, the engagement of a “qualified independent underwriter” in connection with the qualification of the underwriting arrangements with the Financial Industry Regulatory Authority, Inc.</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2.1.9 Underwritten Takedowns effected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shall be counted as Demand Registrations effected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84"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At any time and from time to time after the expiration of any lock-up to which an Investor’s shares are subject, if any, provided compliance by the Investors with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and provided further there is not an effective Resale Shelf Registration Statement available for the resale of the Registerable Securities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 ARYA Investors who hold a majority of the Registrable Securities held by all ARYA Investors, (ii) Dievini or (iii) Company Investors (other than Dievini) who hold a majority of the Registrable Securities held by all Company Investors, as the case may be, may make a written demand for Registration under the Securities Act of all or any portion of their Registrable Securities on Form F-1 or any similar long-form Registration or, if then available, on Form F-3. Each registration requested pursuant to this</w:t>
      </w:r>
    </w:p>
    <w:p>
      <w:pPr>
        <w:spacing w:after="0" w:line="4" w:lineRule="exact"/>
        <w:rPr>
          <w:sz w:val="20"/>
          <w:szCs w:val="20"/>
          <w:color w:val="auto"/>
        </w:rPr>
      </w:pPr>
    </w:p>
    <w:p>
      <w:pPr>
        <w:spacing w:after="0" w:line="269" w:lineRule="auto"/>
        <w:rPr>
          <w:sz w:val="20"/>
          <w:szCs w:val="20"/>
          <w:color w:val="auto"/>
        </w:rPr>
      </w:pP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is referred to herein as a “</w:t>
      </w:r>
      <w:r>
        <w:rPr>
          <w:rFonts w:ascii="Arial" w:cs="Arial" w:eastAsia="Arial" w:hAnsi="Arial"/>
          <w:sz w:val="17"/>
          <w:szCs w:val="17"/>
          <w:b w:val="1"/>
          <w:bCs w:val="1"/>
          <w:color w:val="auto"/>
        </w:rPr>
        <w:t>Demand Registration</w:t>
      </w:r>
      <w:r>
        <w:rPr>
          <w:rFonts w:ascii="Arial" w:cs="Arial" w:eastAsia="Arial" w:hAnsi="Arial"/>
          <w:sz w:val="17"/>
          <w:szCs w:val="17"/>
          <w:color w:val="auto"/>
        </w:rPr>
        <w:t>”. Any demand for a Demand Registration shall specify the number of shares of Registrable Securities proposed to be sold and the intended method(s) of distribution thereof. The Company will notify all Investors that are holders of Registrable Securities of the demand, and each such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7"/>
          <w:szCs w:val="17"/>
          <w:b w:val="1"/>
          <w:bCs w:val="1"/>
          <w:color w:val="auto"/>
        </w:rPr>
        <w:t>Demanding Holder</w:t>
      </w:r>
      <w:r>
        <w:rPr>
          <w:rFonts w:ascii="Arial" w:cs="Arial" w:eastAsia="Arial" w:hAnsi="Arial"/>
          <w:sz w:val="17"/>
          <w:szCs w:val="17"/>
          <w:color w:val="auto"/>
        </w:rPr>
        <w:t xml:space="preserve">”) shall so notify the Company within fifteen (15) days after the receipt by the holder of the notice from the Company. Upon any such request, the Demanding Holders shall be entitled to have their Registrable Securities included in the Demand Registration, subject to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and the provisos set forth in </w:t>
      </w:r>
      <w:r>
        <w:rPr>
          <w:rFonts w:ascii="Arial" w:cs="Arial" w:eastAsia="Arial" w:hAnsi="Arial"/>
          <w:sz w:val="17"/>
          <w:szCs w:val="17"/>
          <w:u w:val="single" w:color="auto"/>
          <w:color w:val="auto"/>
        </w:rPr>
        <w:t>Section 3.1.1</w:t>
      </w:r>
      <w:r>
        <w:rPr>
          <w:rFonts w:ascii="Arial" w:cs="Arial" w:eastAsia="Arial" w:hAnsi="Arial"/>
          <w:sz w:val="17"/>
          <w:szCs w:val="17"/>
          <w:color w:val="auto"/>
        </w:rPr>
        <w:t>. The Company shall not be obligated to effect: (a) more than one (1) Demand</w:t>
      </w:r>
    </w:p>
    <w:p>
      <w:pPr>
        <w:sectPr>
          <w:pgSz w:w="11900" w:h="16838" w:orient="portrait"/>
          <w:cols w:equalWidth="0" w:num="1">
            <w:col w:w="11000"/>
          </w:cols>
          <w:pgMar w:left="440" w:top="274" w:right="459" w:bottom="1440" w:gutter="0" w:footer="0" w:header="0"/>
        </w:sectPr>
      </w:pPr>
    </w:p>
    <w:bookmarkStart w:id="430" w:name="page431"/>
    <w:bookmarkEnd w:id="430"/>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Registration during any six-month period; (b) any Demand Registration at any time there is an effective Resale Shelf Registration Statement on file with the Commission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(c) more than three Underwritten Demand Registrations in respect of all Registrable Securities held by ARYA Investors; (d) more than three Underwritten Demand Registrations in respect of all Registrable Securities held by Company Investors (excluding dievini) or (e) more than nine Underwritten Demand Registrations in respect of all Registrable Securities held by dievini.</w:t>
      </w:r>
    </w:p>
    <w:p>
      <w:pPr>
        <w:spacing w:after="0" w:line="171"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78"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Underwritten Demand Registration</w:t>
      </w:r>
      <w:r>
        <w:rPr>
          <w:rFonts w:ascii="Arial" w:cs="Arial" w:eastAsia="Arial" w:hAnsi="Arial"/>
          <w:sz w:val="16"/>
          <w:szCs w:val="16"/>
          <w:color w:val="auto"/>
        </w:rPr>
        <w:t>. If the Demanding Holders so elect and such holders so advise the Company as part of their written demand for a Demand Registration, the offering of such Registrable Securities pursuant to such Demand Registration shall be in the form of an Underwritten Demand Registration.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the Company. The parties agree that, in order to be effected, any Underwritten Demand Registration must result (i) in aggregate proceeds to the selling shareholders of at least $50,000,000 or (ii) the shareholders exercising the demand no longer holding Ordinary Shares.</w:t>
      </w:r>
    </w:p>
    <w:p>
      <w:pPr>
        <w:spacing w:after="0" w:line="165"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u w:val="single" w:color="auto"/>
          <w:color w:val="auto"/>
        </w:rPr>
        <w:t>Reduction of Offering</w:t>
      </w:r>
      <w:r>
        <w:rPr>
          <w:rFonts w:ascii="Arial" w:cs="Arial" w:eastAsia="Arial" w:hAnsi="Arial"/>
          <w:sz w:val="17"/>
          <w:szCs w:val="17"/>
          <w:color w:val="auto"/>
        </w:rPr>
        <w:t>. If the managing Underwriter or Underwriters for a Underwritten Demand Registration that is to be an underwritten offering advises the Company and the Demanding Holders in writing that, in such Underwriter’s or Underwriters’ opinion, the dollar amount or number of shares of Registrable Securities which the Demanding Holders desire to sell, taken together with all other Ordinary Shares or other securities which the Company desires to sell and the Ordinary Shares,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7"/>
          <w:szCs w:val="17"/>
          <w:b w:val="1"/>
          <w:bCs w:val="1"/>
          <w:color w:val="auto"/>
        </w:rPr>
        <w:t>Maximum Number of Shares</w:t>
      </w:r>
      <w:r>
        <w:rPr>
          <w:rFonts w:ascii="Arial" w:cs="Arial" w:eastAsia="Arial" w:hAnsi="Arial"/>
          <w:sz w:val="17"/>
          <w:szCs w:val="17"/>
          <w:color w:val="auto"/>
        </w:rPr>
        <w:t>”), then the Company shall include in such registration: (i) first,</w:t>
      </w:r>
    </w:p>
    <w:p>
      <w:pPr>
        <w:sectPr>
          <w:pgSz w:w="11900" w:h="16838" w:orient="portrait"/>
          <w:cols w:equalWidth="0" w:num="1">
            <w:col w:w="11000"/>
          </w:cols>
          <w:pgMar w:left="440" w:top="274" w:right="459" w:bottom="1440" w:gutter="0" w:footer="0" w:header="0"/>
        </w:sectPr>
      </w:pPr>
    </w:p>
    <w:bookmarkStart w:id="431" w:name="page432"/>
    <w:bookmarkEnd w:id="431"/>
    <w:p>
      <w:pPr>
        <w:ind w:right="2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7"/>
          <w:szCs w:val="17"/>
          <w:b w:val="1"/>
          <w:bCs w:val="1"/>
          <w:color w:val="auto"/>
        </w:rPr>
        <w:t>Pro Rata</w:t>
      </w:r>
      <w:r>
        <w:rPr>
          <w:rFonts w:ascii="Arial" w:cs="Arial" w:eastAsia="Arial" w:hAnsi="Arial"/>
          <w:sz w:val="17"/>
          <w:szCs w:val="17"/>
          <w:color w:val="auto"/>
        </w:rPr>
        <w:t>”)) that can be sold without exceeding the Maximum Number of Shares; (ii) second, to the extent that the Maximum Number of Shares has not been reached under the foregoing clause (i), the Ordinary Shares or other securities that the Company desires to sell; and (iii) any Ordinary Shares or other securities for the account of other persons that the Company is obligated to register pursuant to written contractual arrangements with such persons, as to which “piggy-back” registration has been requested by the holders thereof that can be sold without exceeding the Maximum Number of Shares.</w:t>
      </w:r>
    </w:p>
    <w:p>
      <w:pPr>
        <w:spacing w:after="0" w:line="177"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Withdrawal</w:t>
      </w:r>
      <w:r>
        <w:rPr>
          <w:rFonts w:ascii="Arial" w:cs="Arial" w:eastAsia="Arial" w:hAnsi="Arial"/>
          <w:sz w:val="18"/>
          <w:szCs w:val="18"/>
          <w:color w:val="auto"/>
        </w:rPr>
        <w:t xml:space="preserve">. A majority-in-interest of the Demanding Holders may elect to withdraw from such Demand Registration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then either the Demanding Holders shall reimburse the Company for the costs associated with the withdrawn registration (in which case such registration shall not count as a Demand Registration provided for in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or the withdrawn registration shall count as a Demand Registration provided for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after the expiration of the any lock-up to which an Investor’s shares are subject, if any, provided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compliance by the Investors with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the Company proposes to file a Registration Statement under the Securities Act with respect to an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equity securities, or securities or other obligations exercisable or exchangeable for, or convertible into, equity securities, by the Company for its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or for shareholders of the Company for their account (or by the Company and by shareholders of the Company including, without limitation,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2.2.1</w:t>
      </w:r>
      <w:r>
        <w:rPr>
          <w:rFonts w:ascii="Arial" w:cs="Arial" w:eastAsia="Arial" w:hAnsi="Arial"/>
          <w:sz w:val="16"/>
          <w:szCs w:val="16"/>
          <w:color w:val="auto"/>
        </w:rPr>
        <w:t>), other than a Registration Statement (i) filed in connection with any employee stock option or other benefit plan, (ii) for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exchange offer or offering of securities solely to the Company’s existing shareholders, (iii) for an offering of debt that is convertible into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of the Company or (iv) for a dividend reinvestment plan, then the Company shall (x) give written notice of such proposed filing to the 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Registrable Securities as soon as practicable but in no event less than ten (10) days before the anticipated filing date, which notice shall describe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and type of securities to be included in such offering, the intended method(s) of distribution, and the name of the proposed managing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Underwriter or Underwriters, if any, of the offering, and (y) offer to the holders of Registrable Securities in such notice the opportunity to register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of such number of shares of Registrable Securities as such holders may request in writing within five (5) days following receipt of such notice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Piggy-Back Registration</w:t>
      </w:r>
      <w:r>
        <w:rPr>
          <w:rFonts w:ascii="Arial" w:cs="Arial" w:eastAsia="Arial" w:hAnsi="Arial"/>
          <w:sz w:val="16"/>
          <w:szCs w:val="16"/>
          <w:color w:val="auto"/>
        </w:rPr>
        <w:t>”). The foregoing rights shall not be available to any Investor at such time as (i) there is an effective Resale Shelf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Statement available for the resale of the Registerable Securities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(ii) such Registration is solely to be used for the offering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by the Company for its own account and (iii) no other shareholder of the Company is entitled to participate in such Registration.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shall cause such Registrable Securities to be included in such registration and shall use its best efforts to cause the managing Underwriter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Underwriters of a</w:t>
      </w:r>
    </w:p>
    <w:p>
      <w:pPr>
        <w:sectPr>
          <w:pgSz w:w="11900" w:h="16838" w:orient="portrait"/>
          <w:cols w:equalWidth="0" w:num="1">
            <w:col w:w="11000"/>
          </w:cols>
          <w:pgMar w:left="440" w:top="274" w:right="459" w:bottom="1440" w:gutter="0" w:footer="0" w:header="0"/>
        </w:sectPr>
      </w:pPr>
    </w:p>
    <w:bookmarkStart w:id="432" w:name="page433"/>
    <w:bookmarkEnd w:id="432"/>
    <w:p>
      <w:pPr>
        <w:ind w:left="4" w:right="3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88" w:lineRule="exact"/>
        <w:rPr>
          <w:sz w:val="20"/>
          <w:szCs w:val="20"/>
          <w:color w:val="auto"/>
        </w:rPr>
      </w:pPr>
    </w:p>
    <w:p>
      <w:pPr>
        <w:ind w:left="4" w:right="300" w:firstLine="991"/>
        <w:spacing w:after="0" w:line="296"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xml:space="preserve">. If the managing Underwriter or Underwriters for a Piggy-Back Registration that is to be an underwritten offering advises the Company and the holders of Registrable Securities in writing that the dollar amount or number of Ordinary Shares which the Company desires to sell, taken together with Ordinary Shares, if any, as to which registration has been demanded pursuant to written contractual arrangements with persons other than the holders of Registrable Securities hereunder and the Registrable Securities as to which registration has been requested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exceeds the Maximum Number of Shares, then the Company shall include in any such registration:</w:t>
      </w:r>
    </w:p>
    <w:p>
      <w:pPr>
        <w:spacing w:after="0" w:line="161" w:lineRule="exact"/>
        <w:rPr>
          <w:sz w:val="20"/>
          <w:szCs w:val="20"/>
          <w:color w:val="auto"/>
        </w:rPr>
      </w:pPr>
    </w:p>
    <w:p>
      <w:pPr>
        <w:jc w:val="both"/>
        <w:ind w:left="4" w:right="180" w:firstLine="1428"/>
        <w:spacing w:after="0" w:line="286" w:lineRule="auto"/>
        <w:tabs>
          <w:tab w:leader="none" w:pos="1681" w:val="left"/>
        </w:tabs>
        <w:numPr>
          <w:ilvl w:val="1"/>
          <w:numId w:val="367"/>
        </w:numPr>
        <w:rPr>
          <w:rFonts w:ascii="Arial" w:cs="Arial" w:eastAsia="Arial" w:hAnsi="Arial"/>
          <w:sz w:val="16"/>
          <w:szCs w:val="16"/>
          <w:color w:val="auto"/>
        </w:rPr>
      </w:pPr>
      <w:r>
        <w:rPr>
          <w:rFonts w:ascii="Arial" w:cs="Arial" w:eastAsia="Arial" w:hAnsi="Arial"/>
          <w:sz w:val="16"/>
          <w:szCs w:val="16"/>
          <w:color w:val="auto"/>
        </w:rPr>
        <w:t>If the registration is undertaken for the Company’s account: (A) first, the Ordinary Shares or other securities that the Company desires to sell that can be sold without exceeding the Maximum Number of Shares; and (B) second, to the extent that the Maximum Number of Shares has not been reached under the foregoing clause (A), the Ordinary Shares or other securities, if any, comprised of Registrable Securities, as to which registration has been requested pursuant to the terms hereof, that can be sold without exceeding the Maximum Number of Shares, Pro Rata; and</w:t>
      </w:r>
    </w:p>
    <w:p>
      <w:pPr>
        <w:spacing w:after="0" w:line="1" w:lineRule="exact"/>
        <w:rPr>
          <w:rFonts w:ascii="Arial" w:cs="Arial" w:eastAsia="Arial" w:hAnsi="Arial"/>
          <w:sz w:val="16"/>
          <w:szCs w:val="16"/>
          <w:color w:val="auto"/>
        </w:rPr>
      </w:pPr>
    </w:p>
    <w:p>
      <w:pPr>
        <w:ind w:left="4" w:right="80" w:hanging="4"/>
        <w:spacing w:after="0" w:line="255" w:lineRule="auto"/>
        <w:tabs>
          <w:tab w:leader="none" w:pos="289"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third, to the extent that the Maximum Number of Shares has not been reached under the foregoing clauses (A) and (B), the Ordinary Shares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189" w:lineRule="exact"/>
        <w:rPr>
          <w:rFonts w:ascii="Arial" w:cs="Arial" w:eastAsia="Arial" w:hAnsi="Arial"/>
          <w:sz w:val="18"/>
          <w:szCs w:val="18"/>
          <w:color w:val="auto"/>
        </w:rPr>
      </w:pPr>
    </w:p>
    <w:p>
      <w:pPr>
        <w:ind w:left="4" w:firstLine="1428"/>
        <w:spacing w:after="0" w:line="289" w:lineRule="auto"/>
        <w:tabs>
          <w:tab w:leader="none" w:pos="1691" w:val="left"/>
        </w:tabs>
        <w:numPr>
          <w:ilvl w:val="1"/>
          <w:numId w:val="368"/>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or the Company, (A) first, the Ordinary Shares or other securities for the account of the demanding persons that can be sold without exceeding the Maximum Number of Shares; (B) second, to the extent that the Maximum Number of Shares has not been reached under the foregoing clause (A), the Ordinary Shares or other securities that the Company desires to sell that can be sold without exceeding the Maximum Number of Shares; (C) third, to the extent that the Maximum Number of Shares has not been reached under the foregoing clauses (A) and (B), the Ordinary Shares or other securities, if any,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Ordinary Shares or other securities for the account of other persons that the Company is obligated to register pursuant to written contractual arrangements with such persons, that can be sold without exceeding the Maximum Number of Shares.</w:t>
      </w:r>
    </w:p>
    <w:p>
      <w:pPr>
        <w:sectPr>
          <w:pgSz w:w="11900" w:h="16838" w:orient="portrait"/>
          <w:cols w:equalWidth="0" w:num="1">
            <w:col w:w="11004"/>
          </w:cols>
          <w:pgMar w:left="436" w:top="274" w:right="459" w:bottom="1440" w:gutter="0" w:footer="0" w:header="0"/>
        </w:sectPr>
      </w:pPr>
    </w:p>
    <w:bookmarkStart w:id="433" w:name="page434"/>
    <w:bookmarkEnd w:id="433"/>
    <w:p>
      <w:pPr>
        <w:ind w:left="4" w:right="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2.3.3 </w:t>
      </w:r>
      <w:r>
        <w:rPr>
          <w:rFonts w:ascii="Arial" w:cs="Arial" w:eastAsia="Arial" w:hAnsi="Arial"/>
          <w:sz w:val="18"/>
          <w:szCs w:val="18"/>
          <w:u w:val="single" w:color="auto"/>
          <w:color w:val="auto"/>
        </w:rPr>
        <w:t>Withdrawal</w:t>
      </w:r>
      <w:r>
        <w:rPr>
          <w:rFonts w:ascii="Arial" w:cs="Arial" w:eastAsia="Arial" w:hAnsi="Arial"/>
          <w:sz w:val="18"/>
          <w:szCs w:val="18"/>
          <w:color w:val="auto"/>
        </w:rPr>
        <w:t xml:space="preserve">. Any holder of Registrable Securities may elect to withdraw such holder’s request for inclusion of Registrable Securities in any Piggy-Back Registration by giving written notice to the Company of such request to withdraw prior to the effectiveness of the Registration Statement, if such offering is pursuant to a Demand Registration, or prior to the public announcement of the offering, if such offering is pursuant to an Underwritten Takedown.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95" w:lineRule="exact"/>
        <w:rPr>
          <w:sz w:val="20"/>
          <w:szCs w:val="20"/>
          <w:color w:val="auto"/>
        </w:rPr>
      </w:pPr>
    </w:p>
    <w:p>
      <w:pPr>
        <w:ind w:left="184" w:hanging="184"/>
        <w:spacing w:after="0"/>
        <w:tabs>
          <w:tab w:leader="none" w:pos="184"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117" w:lineRule="exact"/>
        <w:rPr>
          <w:sz w:val="20"/>
          <w:szCs w:val="20"/>
          <w:color w:val="auto"/>
        </w:rPr>
      </w:pPr>
    </w:p>
    <w:p>
      <w:pPr>
        <w:jc w:val="both"/>
        <w:ind w:left="4" w:right="380" w:firstLine="440"/>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Filings; Information</w:t>
      </w:r>
      <w:r>
        <w:rPr>
          <w:rFonts w:ascii="Arial" w:cs="Arial" w:eastAsia="Arial" w:hAnsi="Arial"/>
          <w:sz w:val="17"/>
          <w:szCs w:val="17"/>
          <w:color w:val="auto"/>
        </w:rPr>
        <w:t xml:space="preserve">. Whenever the Company is required to effect the registration of any Registrable Securities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the Company shall use its commercially reasonable best efforts to effect the registration and sale of such Registrable Securities in accordance with the intended method(s) of distribution thereof as expeditiously as practicable, and in connection with any such request:</w:t>
      </w:r>
    </w:p>
    <w:p>
      <w:pPr>
        <w:spacing w:after="0" w:line="165"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Filing Registration Statement</w:t>
      </w:r>
      <w:r>
        <w:rPr>
          <w:rFonts w:ascii="Arial" w:cs="Arial" w:eastAsia="Arial" w:hAnsi="Arial"/>
          <w:sz w:val="17"/>
          <w:szCs w:val="17"/>
          <w:color w:val="auto"/>
        </w:rPr>
        <w:t xml:space="preserve">. The Company shall use its reasonable best efforts to, as expeditiously as possible after receipt of a request for a Demand Registration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reasonable best efforts to cause such Registration Statement to become effective and use its reasonable best efforts to keep it effective for the Effectiveness Period; provided, however, that the Company shall have the right to defer any Demand Registration for up to sixty (60) days, and any Piggy-Back Registration for such period as may be applicable to deferment of any Demand Registration to which such Piggy-Back Registration relates, in each case if the Company shall furnish to the holders a certificate signed by the Chief Executive Officer or Chairman of the Company stating that, in the good faith judgment of the Board of Directors of the Company (the “</w:t>
      </w:r>
      <w:r>
        <w:rPr>
          <w:rFonts w:ascii="Arial" w:cs="Arial" w:eastAsia="Arial" w:hAnsi="Arial"/>
          <w:sz w:val="17"/>
          <w:szCs w:val="17"/>
          <w:b w:val="1"/>
          <w:bCs w:val="1"/>
          <w:color w:val="auto"/>
        </w:rPr>
        <w:t>Company Board</w:t>
      </w:r>
      <w:r>
        <w:rPr>
          <w:rFonts w:ascii="Arial" w:cs="Arial" w:eastAsia="Arial" w:hAnsi="Arial"/>
          <w:sz w:val="17"/>
          <w:szCs w:val="17"/>
          <w:color w:val="auto"/>
        </w:rPr>
        <w:t>”), it would be materially detrimental to the Company and its shareholders for such Registration Statement to be effected at such time.</w:t>
      </w:r>
    </w:p>
    <w:p>
      <w:pPr>
        <w:spacing w:after="0" w:line="185" w:lineRule="exact"/>
        <w:rPr>
          <w:sz w:val="20"/>
          <w:szCs w:val="20"/>
          <w:color w:val="auto"/>
        </w:rPr>
      </w:pPr>
    </w:p>
    <w:p>
      <w:pPr>
        <w:ind w:left="4" w:firstLine="991"/>
        <w:spacing w:after="0" w:line="273"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Copies</w:t>
      </w:r>
      <w:r>
        <w:rPr>
          <w:rFonts w:ascii="Arial" w:cs="Arial" w:eastAsia="Arial" w:hAnsi="Arial"/>
          <w:sz w:val="17"/>
          <w:szCs w:val="17"/>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78" w:lineRule="exact"/>
        <w:rPr>
          <w:sz w:val="20"/>
          <w:szCs w:val="20"/>
          <w:color w:val="auto"/>
        </w:rPr>
      </w:pPr>
    </w:p>
    <w:p>
      <w:pPr>
        <w:ind w:left="4" w:right="160" w:firstLine="991"/>
        <w:spacing w:after="0" w:line="275" w:lineRule="auto"/>
        <w:rPr>
          <w:sz w:val="20"/>
          <w:szCs w:val="20"/>
          <w:color w:val="auto"/>
        </w:rPr>
      </w:pPr>
      <w:r>
        <w:rPr>
          <w:rFonts w:ascii="Arial" w:cs="Arial" w:eastAsia="Arial" w:hAnsi="Arial"/>
          <w:sz w:val="17"/>
          <w:szCs w:val="17"/>
          <w:color w:val="auto"/>
        </w:rPr>
        <w:t xml:space="preserve">3.1.3 </w:t>
      </w:r>
      <w:r>
        <w:rPr>
          <w:rFonts w:ascii="Arial" w:cs="Arial" w:eastAsia="Arial" w:hAnsi="Arial"/>
          <w:sz w:val="17"/>
          <w:szCs w:val="17"/>
          <w:u w:val="single" w:color="auto"/>
          <w:color w:val="auto"/>
        </w:rPr>
        <w:t>Amendments and Supplements</w:t>
      </w:r>
      <w:r>
        <w:rPr>
          <w:rFonts w:ascii="Arial" w:cs="Arial" w:eastAsia="Arial" w:hAnsi="Arial"/>
          <w:sz w:val="17"/>
          <w:szCs w:val="17"/>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 (the “</w:t>
      </w:r>
      <w:r>
        <w:rPr>
          <w:rFonts w:ascii="Arial" w:cs="Arial" w:eastAsia="Arial" w:hAnsi="Arial"/>
          <w:sz w:val="17"/>
          <w:szCs w:val="17"/>
          <w:b w:val="1"/>
          <w:bCs w:val="1"/>
          <w:color w:val="auto"/>
        </w:rPr>
        <w:t>Effectiveness Period</w:t>
      </w:r>
      <w:r>
        <w:rPr>
          <w:rFonts w:ascii="Arial" w:cs="Arial" w:eastAsia="Arial" w:hAnsi="Arial"/>
          <w:sz w:val="17"/>
          <w:szCs w:val="17"/>
          <w:color w:val="auto"/>
        </w:rPr>
        <w:t>”).</w:t>
      </w:r>
    </w:p>
    <w:p>
      <w:pPr>
        <w:sectPr>
          <w:pgSz w:w="11900" w:h="16838" w:orient="portrait"/>
          <w:cols w:equalWidth="0" w:num="1">
            <w:col w:w="10964"/>
          </w:cols>
          <w:pgMar w:left="436" w:top="274" w:right="499" w:bottom="1440" w:gutter="0" w:footer="0" w:header="0"/>
        </w:sectPr>
      </w:pPr>
    </w:p>
    <w:bookmarkStart w:id="434" w:name="page435"/>
    <w:bookmarkEnd w:id="434"/>
    <w:p>
      <w:pPr>
        <w:ind w:right="6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the Company shall promptly, and in no event more than three (3) Business Days after such filing, notify the holders of Registrable Securities included in such Registration Statement of such filing, and shall further notify such holders promptly and confirm such advice in writing in all events within three (3)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w:t>
      </w:r>
    </w:p>
    <w:p>
      <w:pPr>
        <w:spacing w:after="0" w:line="171" w:lineRule="exact"/>
        <w:rPr>
          <w:sz w:val="20"/>
          <w:szCs w:val="20"/>
          <w:color w:val="auto"/>
        </w:rPr>
      </w:pPr>
    </w:p>
    <w:p>
      <w:pPr>
        <w:ind w:right="60" w:firstLine="991"/>
        <w:spacing w:after="0" w:line="290"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Securities Laws Compliance</w:t>
      </w:r>
      <w:r>
        <w:rPr>
          <w:rFonts w:ascii="Arial" w:cs="Arial" w:eastAsia="Arial" w:hAnsi="Arial"/>
          <w:sz w:val="16"/>
          <w:szCs w:val="16"/>
          <w:color w:val="auto"/>
        </w:rPr>
        <w:t>. The Company shall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6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Agreements for Disposition</w:t>
      </w:r>
      <w:r>
        <w:rPr>
          <w:rFonts w:ascii="Arial" w:cs="Arial" w:eastAsia="Arial" w:hAnsi="Arial"/>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w:t>
      </w:r>
    </w:p>
    <w:p>
      <w:pPr>
        <w:sectPr>
          <w:pgSz w:w="11900" w:h="16838" w:orient="portrait"/>
          <w:cols w:equalWidth="0" w:num="1">
            <w:col w:w="10960"/>
          </w:cols>
          <w:pgMar w:left="440" w:top="274" w:right="499" w:bottom="1440" w:gutter="0" w:footer="0" w:header="0"/>
        </w:sectPr>
      </w:pPr>
    </w:p>
    <w:bookmarkStart w:id="435" w:name="page436"/>
    <w:bookmarkEnd w:id="435"/>
    <w:p>
      <w:pPr>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extent applicable, shall also be made to and for the benefit of the holders of Registrable Securities included in such registration statement, and the representations, warranties and covenants of the holders of Registrable Securities included in such registration statement in any underwriting agreement which are made to or for the benefit of any Underwriters, to the extent applicable, shall also be made to and for the benefit of the Company.</w:t>
      </w:r>
    </w:p>
    <w:p>
      <w:pPr>
        <w:spacing w:after="0" w:line="149"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Comfort Letter</w:t>
      </w:r>
      <w:r>
        <w:rPr>
          <w:rFonts w:ascii="Arial" w:cs="Arial" w:eastAsia="Arial" w:hAnsi="Arial"/>
          <w:sz w:val="18"/>
          <w:szCs w:val="18"/>
          <w:color w:val="auto"/>
        </w:rPr>
        <w:t xml:space="preserve">. In the event of an Underwritten Takedown or an Underwritten Demand Registration, the Company shall obtain a “cold comfort” letter from the Company’s independent registered public accountants in the event of an underwritten offering, and a customary “bring-down” thereof, in customary form and covering such matters of the type customarily covered by “cold comfort” letters, as the managing Underwriter may reasonably request, and reasonably satisfactory to a majority-in-interest of the participating holders. For the avoidance of doubt, this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shall not apply to Block Trades.</w:t>
      </w:r>
    </w:p>
    <w:p>
      <w:pPr>
        <w:spacing w:after="0" w:line="188" w:lineRule="exact"/>
        <w:rPr>
          <w:sz w:val="20"/>
          <w:szCs w:val="20"/>
          <w:color w:val="auto"/>
        </w:rPr>
      </w:pPr>
    </w:p>
    <w:p>
      <w:pPr>
        <w:ind w:right="120" w:firstLine="991"/>
        <w:spacing w:after="0" w:line="272" w:lineRule="auto"/>
        <w:rPr>
          <w:sz w:val="20"/>
          <w:szCs w:val="20"/>
          <w:color w:val="auto"/>
        </w:rPr>
      </w:pPr>
      <w:r>
        <w:rPr>
          <w:rFonts w:ascii="Arial" w:cs="Arial" w:eastAsia="Arial" w:hAnsi="Arial"/>
          <w:sz w:val="17"/>
          <w:szCs w:val="17"/>
          <w:color w:val="auto"/>
        </w:rPr>
        <w:t xml:space="preserve">3.1.8 </w:t>
      </w:r>
      <w:r>
        <w:rPr>
          <w:rFonts w:ascii="Arial" w:cs="Arial" w:eastAsia="Arial" w:hAnsi="Arial"/>
          <w:sz w:val="17"/>
          <w:szCs w:val="17"/>
          <w:u w:val="single" w:color="auto"/>
          <w:color w:val="auto"/>
        </w:rPr>
        <w:t>Opinions and Negative Assurance Letters</w:t>
      </w:r>
      <w:r>
        <w:rPr>
          <w:rFonts w:ascii="Arial" w:cs="Arial" w:eastAsia="Arial" w:hAnsi="Arial"/>
          <w:sz w:val="17"/>
          <w:szCs w:val="17"/>
          <w:color w:val="auto"/>
        </w:rPr>
        <w:t xml:space="preserve">. In the event of an Underwritten Takedown or an Underwritten Demand Registration, on the date the Registrable Securities are delivered for sale pursuant to any Registration, the Company shall obtain an opinion and negative assurances letter, each dated such date, of one (1) counsel representing the Company for the purposes of such Registration, including an opinion of local counsel if applicable, addressed to the holders, the placement agent or sales agent, if any, and the Underwriters, if any, covering such legal matters with respect to such Registration in respect of which such opinion is being given as the holders, placement agent, sales agent, or Underwriter may reasonably request and as are customarily included in such opinions, and reasonably satisfactory to a majority in interest of the participating holders. For the avoidance of doubt, this </w:t>
      </w:r>
      <w:r>
        <w:rPr>
          <w:rFonts w:ascii="Arial" w:cs="Arial" w:eastAsia="Arial" w:hAnsi="Arial"/>
          <w:sz w:val="17"/>
          <w:szCs w:val="17"/>
          <w:u w:val="single" w:color="auto"/>
          <w:color w:val="auto"/>
        </w:rPr>
        <w:t>Section 3.18</w:t>
      </w:r>
      <w:r>
        <w:rPr>
          <w:rFonts w:ascii="Arial" w:cs="Arial" w:eastAsia="Arial" w:hAnsi="Arial"/>
          <w:sz w:val="17"/>
          <w:szCs w:val="17"/>
          <w:color w:val="auto"/>
        </w:rPr>
        <w:t xml:space="preserve"> shall not apply to Block Trades.</w:t>
      </w:r>
    </w:p>
    <w:p>
      <w:pPr>
        <w:spacing w:after="0" w:line="177"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Cooperation</w:t>
      </w:r>
      <w:r>
        <w:rPr>
          <w:rFonts w:ascii="Arial" w:cs="Arial" w:eastAsia="Arial" w:hAnsi="Arial"/>
          <w:sz w:val="16"/>
          <w:szCs w:val="16"/>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provide and maintain a transfer agent and registrar for the Registrable Securities.</w:t>
      </w:r>
    </w:p>
    <w:p>
      <w:pPr>
        <w:spacing w:after="0" w:line="225"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Records</w:t>
      </w:r>
      <w:r>
        <w:rPr>
          <w:rFonts w:ascii="Arial" w:cs="Arial" w:eastAsia="Arial" w:hAnsi="Arial"/>
          <w:sz w:val="18"/>
          <w:szCs w:val="18"/>
          <w:color w:val="auto"/>
        </w:rPr>
        <w:t>. Upon execution of confidentiality agreements,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ectPr>
          <w:pgSz w:w="11900" w:h="16838" w:orient="portrait"/>
          <w:cols w:equalWidth="0" w:num="1">
            <w:col w:w="11000"/>
          </w:cols>
          <w:pgMar w:left="440" w:top="274" w:right="459" w:bottom="1440" w:gutter="0" w:footer="0" w:header="0"/>
        </w:sectPr>
      </w:pPr>
    </w:p>
    <w:bookmarkStart w:id="436" w:name="page437"/>
    <w:bookmarkEnd w:id="436"/>
    <w:p>
      <w:pPr>
        <w:jc w:val="both"/>
        <w:ind w:left="4"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3.1.12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4" w:lineRule="exact"/>
        <w:rPr>
          <w:sz w:val="20"/>
          <w:szCs w:val="20"/>
          <w:color w:val="auto"/>
        </w:rPr>
      </w:pPr>
    </w:p>
    <w:p>
      <w:pPr>
        <w:ind w:left="4" w:right="60" w:firstLine="991"/>
        <w:spacing w:after="0" w:line="259" w:lineRule="auto"/>
        <w:rPr>
          <w:sz w:val="20"/>
          <w:szCs w:val="20"/>
          <w:color w:val="auto"/>
        </w:rPr>
      </w:pPr>
      <w:r>
        <w:rPr>
          <w:rFonts w:ascii="Arial" w:cs="Arial" w:eastAsia="Arial" w:hAnsi="Arial"/>
          <w:sz w:val="18"/>
          <w:szCs w:val="18"/>
          <w:color w:val="auto"/>
        </w:rPr>
        <w:t xml:space="preserve">3.1.13 </w:t>
      </w:r>
      <w:r>
        <w:rPr>
          <w:rFonts w:ascii="Arial" w:cs="Arial" w:eastAsia="Arial" w:hAnsi="Arial"/>
          <w:sz w:val="18"/>
          <w:szCs w:val="18"/>
          <w:u w:val="single" w:color="auto"/>
          <w:color w:val="auto"/>
        </w:rPr>
        <w:t>Road Show</w:t>
      </w:r>
      <w:r>
        <w:rPr>
          <w:rFonts w:ascii="Arial" w:cs="Arial" w:eastAsia="Arial" w:hAnsi="Arial"/>
          <w:sz w:val="18"/>
          <w:szCs w:val="18"/>
          <w:color w:val="auto"/>
        </w:rPr>
        <w:t>. If an offering pursuant to this Agreement is conducted as an Underwritten Takedown or Underwritten Demand Registration and involves Registrable Securities with an aggregate offering price (before deduction of underwriting discounts) exceeds $50,000,000, the Company shall use its reasonable best efforts to make available senior executives of the Company to participate in customary “road show” presentations that may be reasonably requested by the Underwriter in such offering.</w:t>
      </w:r>
    </w:p>
    <w:p>
      <w:pPr>
        <w:spacing w:after="0" w:line="187"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 xml:space="preserve">3.1.14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reasonable best efforts to cause all Registrable Securities included in any Registration Statement to be listed on such exchanges or otherwise designated for trading in the same manner as similar securities issued by the Company are then listed or designated.</w:t>
      </w:r>
    </w:p>
    <w:p>
      <w:pPr>
        <w:spacing w:after="0" w:line="184"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Obligation to Suspend Distribution</w:t>
      </w:r>
      <w:r>
        <w:rPr>
          <w:rFonts w:ascii="Arial" w:cs="Arial" w:eastAsia="Arial" w:hAnsi="Arial"/>
          <w:sz w:val="17"/>
          <w:szCs w:val="17"/>
          <w:color w:val="auto"/>
        </w:rPr>
        <w:t xml:space="preserve">. Upon receipt of any notice from the Company of the happening of any event of the kind described in </w:t>
      </w:r>
      <w:r>
        <w:rPr>
          <w:rFonts w:ascii="Arial" w:cs="Arial" w:eastAsia="Arial" w:hAnsi="Arial"/>
          <w:sz w:val="17"/>
          <w:szCs w:val="17"/>
          <w:u w:val="single" w:color="auto"/>
          <w:color w:val="auto"/>
        </w:rPr>
        <w:t>Section 3.1.4(iv)</w:t>
      </w:r>
      <w:r>
        <w:rPr>
          <w:rFonts w:ascii="Arial" w:cs="Arial" w:eastAsia="Arial" w:hAnsi="Arial"/>
          <w:sz w:val="17"/>
          <w:szCs w:val="17"/>
          <w:color w:val="auto"/>
        </w:rPr>
        <w:t xml:space="preserve">, or, upon any suspension by the Company, pursuant to a written insider trading compliance program adopted by the Company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w:t>
      </w:r>
      <w:r>
        <w:rPr>
          <w:rFonts w:ascii="Arial" w:cs="Arial" w:eastAsia="Arial" w:hAnsi="Arial"/>
          <w:sz w:val="17"/>
          <w:szCs w:val="17"/>
          <w:u w:val="single" w:color="auto"/>
          <w:color w:val="auto"/>
        </w:rPr>
        <w:t>Section 3.1.4(iv)</w:t>
      </w:r>
      <w:r>
        <w:rPr>
          <w:rFonts w:ascii="Arial" w:cs="Arial" w:eastAsia="Arial" w:hAnsi="Arial"/>
          <w:sz w:val="17"/>
          <w:szCs w:val="17"/>
          <w:color w:val="auto"/>
        </w:rPr>
        <w:t xml:space="preserve">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 The foregoing right to delay or suspend may be exercised by the Company for no longer than 180 days in any consecutive 12-month period.</w:t>
      </w:r>
    </w:p>
    <w:p>
      <w:pPr>
        <w:spacing w:after="0" w:line="181" w:lineRule="exact"/>
        <w:rPr>
          <w:sz w:val="20"/>
          <w:szCs w:val="20"/>
          <w:color w:val="auto"/>
        </w:rPr>
      </w:pPr>
    </w:p>
    <w:p>
      <w:pPr>
        <w:ind w:left="4" w:right="260" w:firstLine="440"/>
        <w:spacing w:after="0" w:line="28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The Company shall bear all costs and expenses incurred in connection with the Resale Shelf Registration Statement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any Demand Registration pursuant to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any Underwritten Takedown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any Block Trade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(other than expenses set forth below in clause (ix) of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any Piggy-Back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w:t>
      </w:r>
    </w:p>
    <w:p>
      <w:pPr>
        <w:spacing w:after="0" w:line="4" w:lineRule="exact"/>
        <w:rPr>
          <w:sz w:val="20"/>
          <w:szCs w:val="20"/>
          <w:color w:val="auto"/>
        </w:rPr>
      </w:pPr>
    </w:p>
    <w:p>
      <w:pPr>
        <w:ind w:left="4" w:right="240" w:hanging="4"/>
        <w:spacing w:after="0" w:line="281" w:lineRule="auto"/>
        <w:tabs>
          <w:tab w:leader="none" w:pos="309" w:val="left"/>
        </w:tabs>
        <w:numPr>
          <w:ilvl w:val="0"/>
          <w:numId w:val="370"/>
        </w:numPr>
        <w:rPr>
          <w:rFonts w:ascii="Arial" w:cs="Arial" w:eastAsia="Arial" w:hAnsi="Arial"/>
          <w:sz w:val="16"/>
          <w:szCs w:val="16"/>
          <w:color w:val="auto"/>
        </w:rPr>
      </w:pPr>
      <w:r>
        <w:rPr>
          <w:rFonts w:ascii="Arial" w:cs="Arial" w:eastAsia="Arial" w:hAnsi="Arial"/>
          <w:sz w:val="16"/>
          <w:szCs w:val="16"/>
          <w:color w:val="auto"/>
        </w:rPr>
        <w:t xml:space="preserve">the Company’s internal expenses (including, without limitation, all salaries and expenses of its officers and employees); (v) the fees and expenses incurred in connection with the listing of the Registrable Securities as required by </w:t>
      </w:r>
      <w:r>
        <w:rPr>
          <w:rFonts w:ascii="Arial" w:cs="Arial" w:eastAsia="Arial" w:hAnsi="Arial"/>
          <w:sz w:val="16"/>
          <w:szCs w:val="16"/>
          <w:u w:val="single" w:color="auto"/>
          <w:color w:val="auto"/>
        </w:rPr>
        <w:t>Section 3.1.12</w:t>
      </w:r>
      <w:r>
        <w:rPr>
          <w:rFonts w:ascii="Arial" w:cs="Arial" w:eastAsia="Arial" w:hAnsi="Arial"/>
          <w:sz w:val="16"/>
          <w:szCs w:val="16"/>
          <w:color w:val="auto"/>
        </w:rPr>
        <w:t>; (vi) Financial Industry Regulatory Authority fees;</w:t>
      </w:r>
    </w:p>
    <w:p>
      <w:pPr>
        <w:spacing w:after="0" w:line="1" w:lineRule="exact"/>
        <w:rPr>
          <w:rFonts w:ascii="Arial" w:cs="Arial" w:eastAsia="Arial" w:hAnsi="Arial"/>
          <w:sz w:val="16"/>
          <w:szCs w:val="16"/>
          <w:color w:val="auto"/>
        </w:rPr>
      </w:pPr>
    </w:p>
    <w:p>
      <w:pPr>
        <w:ind w:left="364" w:hanging="364"/>
        <w:spacing w:after="0"/>
        <w:tabs>
          <w:tab w:leader="none" w:pos="364" w:val="left"/>
        </w:tabs>
        <w:numPr>
          <w:ilvl w:val="0"/>
          <w:numId w:val="371"/>
        </w:numPr>
        <w:rPr>
          <w:rFonts w:ascii="Arial" w:cs="Arial" w:eastAsia="Arial" w:hAnsi="Arial"/>
          <w:sz w:val="17"/>
          <w:szCs w:val="17"/>
          <w:color w:val="auto"/>
        </w:rPr>
      </w:pPr>
      <w:r>
        <w:rPr>
          <w:rFonts w:ascii="Arial" w:cs="Arial" w:eastAsia="Arial" w:hAnsi="Arial"/>
          <w:sz w:val="17"/>
          <w:szCs w:val="17"/>
          <w:color w:val="auto"/>
        </w:rPr>
        <w:t>fees and disbursements of counsel for the Company and fees and expenses for independent certified public accountants retained by the</w:t>
      </w:r>
    </w:p>
    <w:p>
      <w:pPr>
        <w:sectPr>
          <w:pgSz w:w="11900" w:h="16838" w:orient="portrait"/>
          <w:cols w:equalWidth="0" w:num="1">
            <w:col w:w="11024"/>
          </w:cols>
          <w:pgMar w:left="436" w:top="274" w:right="439" w:bottom="1440" w:gutter="0" w:footer="0" w:header="0"/>
        </w:sectPr>
      </w:pPr>
    </w:p>
    <w:bookmarkStart w:id="437" w:name="page438"/>
    <w:bookmarkEnd w:id="437"/>
    <w:p>
      <w:pPr>
        <w:ind w:left="4"/>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(viii) the fees and expenses of any special experts retained by the Company in connection with such registration; and (ix) the reasonable fees and expenses of one legal counsel selected by the holders of a majority-in-interest of the Registrable Securities included in such registration not to exceed $62,500. The Company shall have no obligation to pay any underwriting discounts or selling commissions attributable to the Registrable Securities being sold by the holders thereof, which underwriting discounts or selling commissions shall be borne by such holders, but the Company shall pay any underwriting discounts or selling commissions attributable to the securities it sells for its own account.</w:t>
      </w:r>
    </w:p>
    <w:p>
      <w:pPr>
        <w:spacing w:after="0" w:line="176" w:lineRule="exact"/>
        <w:rPr>
          <w:sz w:val="20"/>
          <w:szCs w:val="20"/>
          <w:color w:val="auto"/>
        </w:rPr>
      </w:pPr>
    </w:p>
    <w:p>
      <w:pPr>
        <w:jc w:val="both"/>
        <w:ind w:left="4" w:right="40" w:firstLine="440"/>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promptly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and in connection with the Company’s obligation to comply with Federal and applicable state securities laws.</w:t>
      </w:r>
    </w:p>
    <w:p>
      <w:pPr>
        <w:spacing w:after="0" w:line="187"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Other Obligations</w:t>
      </w:r>
      <w:r>
        <w:rPr>
          <w:rFonts w:ascii="Arial" w:cs="Arial" w:eastAsia="Arial" w:hAnsi="Arial"/>
          <w:sz w:val="18"/>
          <w:szCs w:val="18"/>
          <w:color w:val="auto"/>
        </w:rPr>
        <w:t>. At any time and from time to time after the expiration of any lock-up to which such shares are subject, if any, in connection with a sale or transfer of Registrable Securities exempt from registration under the Securities Act or through any broker-dealer transactions described in the plan of distribution set forth within any prospectus and pursuant to the Registration Statement of which such prospectus forms a part, the Company shall, subject to the receipt of customary documentation required from the applicable holders in connection therewith, (i) promptly instruct its transfer agent to remove any restrictive legends applicable to the Registrable Securities being sold or transferred and (ii) cause its legal counsel to deliver the necessary legal opinions, if any, to the transfer agent in connection with the instruction under subclause (i). In addition, the Company shall cooperate reasonably with, and take such customary actions as may reasonably be requested by such holders in connection with the aforementioned sales or transfers.</w:t>
      </w:r>
    </w:p>
    <w:p>
      <w:pPr>
        <w:spacing w:after="0" w:line="192" w:lineRule="exact"/>
        <w:rPr>
          <w:sz w:val="20"/>
          <w:szCs w:val="20"/>
          <w:color w:val="auto"/>
        </w:rPr>
      </w:pPr>
    </w:p>
    <w:p>
      <w:pPr>
        <w:ind w:left="184" w:hanging="184"/>
        <w:spacing w:after="0"/>
        <w:tabs>
          <w:tab w:leader="none" w:pos="184"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7"/>
          <w:szCs w:val="17"/>
          <w:b w:val="1"/>
          <w:bCs w:val="1"/>
          <w:color w:val="auto"/>
        </w:rPr>
        <w:t>Investor Indemnified Party</w:t>
      </w:r>
      <w:r>
        <w:rPr>
          <w:rFonts w:ascii="Arial" w:cs="Arial" w:eastAsia="Arial" w:hAnsi="Arial"/>
          <w:sz w:val="17"/>
          <w:szCs w:val="17"/>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w:t>
      </w:r>
    </w:p>
    <w:p>
      <w:pPr>
        <w:sectPr>
          <w:pgSz w:w="11900" w:h="16838" w:orient="portrait"/>
          <w:cols w:equalWidth="0" w:num="1">
            <w:col w:w="11004"/>
          </w:cols>
          <w:pgMar w:left="436" w:top="274" w:right="459" w:bottom="1440" w:gutter="0" w:footer="0" w:header="0"/>
        </w:sectPr>
      </w:pPr>
    </w:p>
    <w:bookmarkStart w:id="438" w:name="page439"/>
    <w:bookmarkEnd w:id="43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or is based on any selling holder’s violation of the federal securities laws (including Regulation M) or failure to sell the Registrable Securities in accordance with the plan of distribution contained in the prospectus.</w:t>
      </w:r>
    </w:p>
    <w:p>
      <w:pPr>
        <w:spacing w:after="0" w:line="19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Indemnification by Holders of Registrable Securities</w:t>
      </w:r>
      <w:r>
        <w:rPr>
          <w:rFonts w:ascii="Arial" w:cs="Arial" w:eastAsia="Arial" w:hAnsi="Arial"/>
          <w:sz w:val="17"/>
          <w:szCs w:val="17"/>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other selling holder and each other person, if any, who controls another selling holder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or is based on any selling holder’s violation of the federal securities laws (including Regulation M) or failure to sell the Registrable Securities in accordance with the plan of distribution contained in the prospectus,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82"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Conduct of Indemnification Proceedings</w:t>
      </w:r>
      <w:r>
        <w:rPr>
          <w:rFonts w:ascii="Arial" w:cs="Arial" w:eastAsia="Arial" w:hAnsi="Arial"/>
          <w:sz w:val="18"/>
          <w:szCs w:val="18"/>
          <w:color w:val="auto"/>
        </w:rPr>
        <w:t xml:space="preserve">. Promptly after receipt by any person of any notice of any loss, claim, damage or liability or any action in respect of which indemnity may be sought pursuant to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4.2</w:t>
      </w:r>
      <w:r>
        <w:rPr>
          <w:rFonts w:ascii="Arial" w:cs="Arial" w:eastAsia="Arial" w:hAnsi="Arial"/>
          <w:sz w:val="18"/>
          <w:szCs w:val="18"/>
          <w:color w:val="auto"/>
        </w:rPr>
        <w:t>, such person (the “</w:t>
      </w:r>
      <w:r>
        <w:rPr>
          <w:rFonts w:ascii="Arial" w:cs="Arial" w:eastAsia="Arial" w:hAnsi="Arial"/>
          <w:sz w:val="18"/>
          <w:szCs w:val="18"/>
          <w:b w:val="1"/>
          <w:bCs w:val="1"/>
          <w:color w:val="auto"/>
        </w:rPr>
        <w:t>Indemnified Party</w:t>
      </w:r>
      <w:r>
        <w:rPr>
          <w:rFonts w:ascii="Arial" w:cs="Arial" w:eastAsia="Arial" w:hAnsi="Arial"/>
          <w:sz w:val="18"/>
          <w:szCs w:val="18"/>
          <w:color w:val="auto"/>
        </w:rPr>
        <w:t>”) shall, if a claim in respect thereof is to be made against any other person for indemnification hereunder, notify such other person (the “</w:t>
      </w:r>
      <w:r>
        <w:rPr>
          <w:rFonts w:ascii="Arial" w:cs="Arial" w:eastAsia="Arial" w:hAnsi="Arial"/>
          <w:sz w:val="18"/>
          <w:szCs w:val="18"/>
          <w:b w:val="1"/>
          <w:bCs w:val="1"/>
          <w:color w:val="auto"/>
        </w:rPr>
        <w:t>Indemnifying Party</w:t>
      </w:r>
      <w:r>
        <w:rPr>
          <w:rFonts w:ascii="Arial" w:cs="Arial" w:eastAsia="Arial" w:hAnsi="Arial"/>
          <w:sz w:val="18"/>
          <w:szCs w:val="18"/>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w:t>
      </w:r>
    </w:p>
    <w:p>
      <w:pPr>
        <w:sectPr>
          <w:pgSz w:w="11900" w:h="16838" w:orient="portrait"/>
          <w:cols w:equalWidth="0" w:num="1">
            <w:col w:w="11000"/>
          </w:cols>
          <w:pgMar w:left="440" w:top="274" w:right="459" w:bottom="1440" w:gutter="0" w:footer="0" w:header="0"/>
        </w:sectPr>
      </w:pPr>
    </w:p>
    <w:bookmarkStart w:id="439" w:name="page440"/>
    <w:bookmarkEnd w:id="43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which counsel is reasonably acceptable to the Indemnifying Party)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90" w:lineRule="auto"/>
        <w:rPr>
          <w:sz w:val="20"/>
          <w:szCs w:val="20"/>
          <w:color w:val="auto"/>
        </w:rPr>
      </w:pPr>
      <w:r>
        <w:rPr>
          <w:rFonts w:ascii="Arial" w:cs="Arial" w:eastAsia="Arial" w:hAnsi="Arial"/>
          <w:sz w:val="16"/>
          <w:szCs w:val="16"/>
          <w:color w:val="auto"/>
        </w:rPr>
        <w:t xml:space="preserve">4.4.1 If the indemnification provided for in the foregoing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65"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 xml:space="preserve">4.4.2 The parties hereto agree that it would not be just and equitable if contribution pursuant to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w:t>
      </w:r>
      <w:r>
        <w:rPr>
          <w:rFonts w:ascii="Arial" w:cs="Arial" w:eastAsia="Arial" w:hAnsi="Arial"/>
          <w:sz w:val="16"/>
          <w:szCs w:val="16"/>
          <w:u w:val="single" w:color="auto"/>
          <w:color w:val="auto"/>
        </w:rPr>
        <w:t>Section 4.4.1</w:t>
      </w:r>
      <w:r>
        <w:rPr>
          <w:rFonts w:ascii="Arial" w:cs="Arial" w:eastAsia="Arial" w:hAnsi="Arial"/>
          <w:sz w:val="16"/>
          <w:szCs w:val="16"/>
          <w:color w:val="auto"/>
        </w:rPr>
        <w:t>.</w:t>
      </w:r>
    </w:p>
    <w:p>
      <w:pPr>
        <w:spacing w:after="0" w:line="124"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w:t>
      </w:r>
    </w:p>
    <w:p>
      <w:pPr>
        <w:sectPr>
          <w:pgSz w:w="11900" w:h="16838" w:orient="portrait"/>
          <w:cols w:equalWidth="0" w:num="1">
            <w:col w:w="10980"/>
          </w:cols>
          <w:pgMar w:left="440" w:top="274" w:right="479" w:bottom="1440" w:gutter="0" w:footer="0" w:header="0"/>
        </w:sectPr>
      </w:pPr>
    </w:p>
    <w:bookmarkStart w:id="440" w:name="page441"/>
    <w:bookmarkEnd w:id="440"/>
    <w:p>
      <w:pPr>
        <w:ind w:left="4"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action or claim. Notwithstanding the provisions of this </w:t>
      </w:r>
      <w:r>
        <w:rPr>
          <w:rFonts w:ascii="Arial" w:cs="Arial" w:eastAsia="Arial" w:hAnsi="Arial"/>
          <w:sz w:val="18"/>
          <w:szCs w:val="18"/>
          <w:u w:val="single" w:color="auto"/>
          <w:color w:val="auto"/>
        </w:rPr>
        <w:t>Section 4.4</w:t>
      </w:r>
      <w:r>
        <w:rPr>
          <w:rFonts w:ascii="Arial" w:cs="Arial" w:eastAsia="Arial" w:hAnsi="Arial"/>
          <w:sz w:val="18"/>
          <w:szCs w:val="18"/>
          <w:color w:val="auto"/>
        </w:rPr>
        <w:t>,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88" w:lineRule="exact"/>
        <w:rPr>
          <w:sz w:val="20"/>
          <w:szCs w:val="20"/>
          <w:color w:val="auto"/>
        </w:rPr>
      </w:pPr>
    </w:p>
    <w:p>
      <w:pPr>
        <w:ind w:left="184" w:hanging="184"/>
        <w:spacing w:after="0"/>
        <w:tabs>
          <w:tab w:leader="none" w:pos="184"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UNDERWRITING AND DISTRIBUTION</w:t>
      </w:r>
      <w:r>
        <w:rPr>
          <w:rFonts w:ascii="Arial" w:cs="Arial" w:eastAsia="Arial" w:hAnsi="Arial"/>
          <w:sz w:val="18"/>
          <w:szCs w:val="18"/>
          <w:color w:val="auto"/>
        </w:rPr>
        <w:t>.</w:t>
      </w:r>
    </w:p>
    <w:p>
      <w:pPr>
        <w:spacing w:after="0" w:line="117" w:lineRule="exact"/>
        <w:rPr>
          <w:sz w:val="20"/>
          <w:szCs w:val="20"/>
          <w:color w:val="auto"/>
        </w:rPr>
      </w:pPr>
    </w:p>
    <w:p>
      <w:pPr>
        <w:ind w:left="4" w:right="120" w:firstLine="440"/>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57" w:lineRule="exact"/>
        <w:rPr>
          <w:sz w:val="20"/>
          <w:szCs w:val="20"/>
          <w:color w:val="auto"/>
        </w:rPr>
      </w:pPr>
    </w:p>
    <w:p>
      <w:pPr>
        <w:ind w:left="184" w:hanging="184"/>
        <w:spacing w:after="0"/>
        <w:tabs>
          <w:tab w:leader="none" w:pos="184"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LOCK-UP AGREEMENTS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67"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Investor Lock-Up</w:t>
      </w:r>
      <w:r>
        <w:rPr>
          <w:rFonts w:ascii="Arial" w:cs="Arial" w:eastAsia="Arial" w:hAnsi="Arial"/>
          <w:sz w:val="17"/>
          <w:szCs w:val="17"/>
          <w:color w:val="auto"/>
        </w:rPr>
        <w:t>. (a) Each Investor (other than the ARYA IPO Investors) agrees that such Investor shall not Transfer any Ordinary Shares or any securities convertible into or exercisable or exchangeable (directly or indirectly) for Ordinary Shares (including New Securities) for 180-days following the Closing Date; and (b) each ARYA IPO Investor agrees that such ARYA IPO Investor shall not Transfer any Ordinary Shares or any securities convertible into or exercisable or exchangeable (directly or indirectly) for Ordinary Shares (including New Securities) for the earlier of (1) one year following the Closing Date or (2) if the closing price of the Ordinary Shares equals or exceeds $12.00 per share (as adjusted for share splits, share capitalizations, reorganizations, recapitalizations and the like) for any 20 trading days within any 30-trading day period commencing at least 150 days after the Closing Date (such applicable period, the “</w:t>
      </w:r>
      <w:r>
        <w:rPr>
          <w:rFonts w:ascii="Arial" w:cs="Arial" w:eastAsia="Arial" w:hAnsi="Arial"/>
          <w:sz w:val="17"/>
          <w:szCs w:val="17"/>
          <w:b w:val="1"/>
          <w:bCs w:val="1"/>
          <w:color w:val="auto"/>
        </w:rPr>
        <w:t>Lock-up Period</w:t>
      </w:r>
      <w:r>
        <w:rPr>
          <w:rFonts w:ascii="Arial" w:cs="Arial" w:eastAsia="Arial" w:hAnsi="Arial"/>
          <w:sz w:val="17"/>
          <w:szCs w:val="17"/>
          <w:color w:val="auto"/>
        </w:rPr>
        <w:t xml:space="preserve">”). The foregoing restriction is expressly agreed to preclude each Investor during the Lock-up Period from engaging in any hedging or other transaction which is designed to or which reasonably could be expected to lead to or result in a sale or disposition of such Investor’s Ordinary Shares even if such Ordinary Shares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Investor’s Ordinary Shares or with respect to any security that includes, relates to, or derives any significant part of its value from such Ordinary Shares. The foregoing notwithstanding, each executive officer and director of GmbH shall be permitted to establish a plan to acquire and sell Ordinary Shares pursuant to Rule 10b5-1 under the Exchange Act, provided that such plan does not provide for the Transfer of Ordinary Shares during the Lock-up Period. The foregoing restrictions shall not apply to Transfers made: (i) pursuant to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gift or charitable contribution; (ii) by will or intestate succession upon the death of an Investor; (iii) to any Permitted Transferee; (iv) pursuant to a court order or settlement agreement related to the distribution of assets in connection with the dissolution of marriage or civil union;</w:t>
      </w:r>
    </w:p>
    <w:p>
      <w:pPr>
        <w:sectPr>
          <w:pgSz w:w="11900" w:h="16838" w:orient="portrait"/>
          <w:cols w:equalWidth="0" w:num="1">
            <w:col w:w="11024"/>
          </w:cols>
          <w:pgMar w:left="436" w:top="274" w:right="439" w:bottom="1440" w:gutter="0" w:footer="0" w:header="0"/>
        </w:sectPr>
      </w:pPr>
    </w:p>
    <w:bookmarkStart w:id="441" w:name="page442"/>
    <w:bookmarkEnd w:id="441"/>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(v) in the event of the Company’s completion of a liquidation, merger, share exchange or other similar transaction which results in all of its shareholders having the right to exchange their Ordinary Shares for cash, securities or other property; provided that in the case of (i) or (iii), the recipient of such Transfer must enter into a written agreement agreeing to be bound by the terms of this Agreement, including the transfer restrictions set forth in this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87" w:lineRule="exact"/>
        <w:rPr>
          <w:sz w:val="20"/>
          <w:szCs w:val="20"/>
          <w:color w:val="auto"/>
        </w:rPr>
      </w:pPr>
    </w:p>
    <w:p>
      <w:pPr>
        <w:ind w:left="184" w:hanging="184"/>
        <w:spacing w:after="0"/>
        <w:tabs>
          <w:tab w:leader="none" w:pos="184"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BOARD OF DIRECTORS AND CONSENT RIGHT</w:t>
      </w:r>
      <w:r>
        <w:rPr>
          <w:rFonts w:ascii="Arial" w:cs="Arial" w:eastAsia="Arial" w:hAnsi="Arial"/>
          <w:sz w:val="18"/>
          <w:szCs w:val="18"/>
          <w:color w:val="auto"/>
        </w:rPr>
        <w:t>.</w:t>
      </w:r>
    </w:p>
    <w:p>
      <w:pPr>
        <w:spacing w:after="0" w:line="117"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ARYA Directors</w:t>
      </w:r>
      <w:r>
        <w:rPr>
          <w:rFonts w:ascii="Arial" w:cs="Arial" w:eastAsia="Arial" w:hAnsi="Arial"/>
          <w:sz w:val="16"/>
          <w:szCs w:val="16"/>
          <w:color w:val="auto"/>
        </w:rPr>
        <w:t>. Until the fifth (5</w:t>
      </w:r>
      <w:r>
        <w:rPr>
          <w:rFonts w:ascii="Arial" w:cs="Arial" w:eastAsia="Arial" w:hAnsi="Arial"/>
          <w:sz w:val="13"/>
          <w:szCs w:val="13"/>
          <w:color w:val="auto"/>
        </w:rPr>
        <w:t>th</w:t>
      </w:r>
      <w:r>
        <w:rPr>
          <w:rFonts w:ascii="Arial" w:cs="Arial" w:eastAsia="Arial" w:hAnsi="Arial"/>
          <w:sz w:val="16"/>
          <w:szCs w:val="16"/>
          <w:color w:val="auto"/>
        </w:rPr>
        <w:t xml:space="preserve">) anniversary of the date of this Agreement, at each annual or special meeting of shareholders of the Company, the ARYA Investors shall have the right, but not the obligation, to designate for election as a director of the Company, and the Company Board (including any committee thereof) shall nominate (and recommend for election and include such recommendation in a timely manner in any proxy statement, consent solicitation or other applicable announcement to the Company’s shareholders) two individuals to serve on the Company Board (one Class I Director and one Class III Director); provided, however, that if at any time during such five-year period, the ARYA Investors collectively own less than 5% of the Ordinary Shares then outstanding (as adjusted for any share split, share dividend or other share recapitalization, share exchange or other event), the rights of the ARYA Investors and obligations of the Company Board under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terminate. The directors designated pursuant to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may, but do not need to, qualify as “independent” pursuant to the listing standards of Nasdaq. For the avoidance of doubt, the individuals designated by the ARYA Investors to serve on the Company Board shall serve on the “supervisory board” of the Company, at such time as the Company Board is structured as a “two-tier” board; on such date as the Company Board is reorganized to be structured as a “one-tier” board pursuant to Section 6.17 of the Business Combination Agreement (the “</w:t>
      </w:r>
      <w:r>
        <w:rPr>
          <w:rFonts w:ascii="Arial" w:cs="Arial" w:eastAsia="Arial" w:hAnsi="Arial"/>
          <w:sz w:val="16"/>
          <w:szCs w:val="16"/>
          <w:u w:val="single" w:color="auto"/>
          <w:color w:val="auto"/>
        </w:rPr>
        <w:t>Board Structure Provision</w:t>
      </w:r>
      <w:r>
        <w:rPr>
          <w:rFonts w:ascii="Arial" w:cs="Arial" w:eastAsia="Arial" w:hAnsi="Arial"/>
          <w:sz w:val="16"/>
          <w:szCs w:val="16"/>
          <w:color w:val="auto"/>
        </w:rPr>
        <w:t>”) and the individuals designated by the ARYA Investors to serve on the Company Board shall continue as directors of the Company without any further action by the ARYA Investors.</w:t>
      </w:r>
    </w:p>
    <w:p>
      <w:pPr>
        <w:spacing w:after="0" w:line="168"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ARYA Director Vacancies</w:t>
      </w:r>
      <w:r>
        <w:rPr>
          <w:rFonts w:ascii="Arial" w:cs="Arial" w:eastAsia="Arial" w:hAnsi="Arial"/>
          <w:sz w:val="16"/>
          <w:szCs w:val="16"/>
          <w:color w:val="auto"/>
        </w:rPr>
        <w:t xml:space="preserve">. Each Investor agrees to vote, or cause to be voted, all Ordinary Shares owned by such Investor, or over which such Investor has voting control, from time to time and at all times, in whatever manner as shall be necessary to ensure that: (a) no director elected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may be removed from office, unless: (i) such removal is directed or approved by the affirmative vote of the ARYA Investors entitled under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to designate such director; or (ii) the ARYA Investors are no longer entitled to designate the Company directors pursuant to</w:t>
      </w:r>
    </w:p>
    <w:p>
      <w:pPr>
        <w:spacing w:after="0" w:line="1" w:lineRule="exact"/>
        <w:rPr>
          <w:sz w:val="20"/>
          <w:szCs w:val="20"/>
          <w:color w:val="auto"/>
        </w:rPr>
      </w:pPr>
    </w:p>
    <w:p>
      <w:pPr>
        <w:ind w:left="4"/>
        <w:spacing w:after="0" w:line="253" w:lineRule="auto"/>
        <w:rPr>
          <w:sz w:val="20"/>
          <w:szCs w:val="20"/>
          <w:color w:val="auto"/>
        </w:rPr>
      </w:pP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(b) any vacancies created by the resignation, removal or death of a director elected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be filled pursuant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Company and the Company Board shall take all actions necessary to fill such vacancy with such replacement director promptly upon written notice to the Company of the name of such replacement director by the ARYA Investors entitled under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to designate such director.</w:t>
      </w:r>
    </w:p>
    <w:p>
      <w:pPr>
        <w:spacing w:after="0" w:line="193"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Dievini Directors</w:t>
      </w:r>
      <w:r>
        <w:rPr>
          <w:rFonts w:ascii="Arial" w:cs="Arial" w:eastAsia="Arial" w:hAnsi="Arial"/>
          <w:sz w:val="18"/>
          <w:szCs w:val="18"/>
          <w:color w:val="auto"/>
        </w:rPr>
        <w:t>. Until the fifth (5</w:t>
      </w:r>
      <w:r>
        <w:rPr>
          <w:rFonts w:ascii="Arial" w:cs="Arial" w:eastAsia="Arial" w:hAnsi="Arial"/>
          <w:sz w:val="15"/>
          <w:szCs w:val="15"/>
          <w:color w:val="auto"/>
        </w:rPr>
        <w:t>th</w:t>
      </w:r>
      <w:r>
        <w:rPr>
          <w:rFonts w:ascii="Arial" w:cs="Arial" w:eastAsia="Arial" w:hAnsi="Arial"/>
          <w:sz w:val="18"/>
          <w:szCs w:val="18"/>
          <w:color w:val="auto"/>
        </w:rPr>
        <w:t xml:space="preserve">) anniversary of the date of this Agreement, at each annual or special meeting of shareholders of the Company, </w:t>
      </w:r>
      <w:r>
        <w:rPr>
          <w:rFonts w:ascii="Arial" w:cs="Arial" w:eastAsia="Arial" w:hAnsi="Arial"/>
          <w:sz w:val="18"/>
          <w:szCs w:val="18"/>
          <w:u w:val="single" w:color="auto"/>
          <w:color w:val="auto"/>
        </w:rPr>
        <w:t>Dievini</w:t>
      </w:r>
      <w:r>
        <w:rPr>
          <w:rFonts w:ascii="Arial" w:cs="Arial" w:eastAsia="Arial" w:hAnsi="Arial"/>
          <w:sz w:val="18"/>
          <w:szCs w:val="18"/>
          <w:color w:val="auto"/>
        </w:rPr>
        <w:t xml:space="preserve"> shall have the right, but not the obligation, to designate for election as a director of the Company, and the Company Board (including any committee thereof) shall nominate (and recommend for election and include such recommendation in a timely manner in any proxy statement, consent solicitation or</w:t>
      </w:r>
    </w:p>
    <w:p>
      <w:pPr>
        <w:sectPr>
          <w:pgSz w:w="11900" w:h="16838" w:orient="portrait"/>
          <w:cols w:equalWidth="0" w:num="1">
            <w:col w:w="11004"/>
          </w:cols>
          <w:pgMar w:left="436" w:top="274" w:right="459" w:bottom="1440" w:gutter="0" w:footer="0" w:header="0"/>
        </w:sectPr>
      </w:pPr>
    </w:p>
    <w:bookmarkStart w:id="442" w:name="page443"/>
    <w:bookmarkEnd w:id="442"/>
    <w:p>
      <w:pPr>
        <w:ind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other applicable announcement to the Company’s shareholders) two individuals to serve on the Company Board (one Class I Director and one Class III Director); provided, however, that if at any time during such five-year period, Dievini owns less than 5% of the Ordinary Shares then outstanding (as adjusted for any share split, share dividend or other share recapitalization, share exchange or other event), the rights of Dievini and obligations of the Company Board under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shall terminate. The directors designated pursuant to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may, but do not need to, qualify as “independent” pursuant to the listing standards of Nasdaq. For the avoidance of doubt, the individuals designated by Dievini to serve on the Company Board shall serve in accordance with the Board Structure Provision and the individuals designated by Dievini to serve on the Company Board shall continue as directors of the Company without any further action by Dievini.</w:t>
      </w:r>
    </w:p>
    <w:p>
      <w:pPr>
        <w:spacing w:after="0" w:line="177" w:lineRule="exact"/>
        <w:rPr>
          <w:sz w:val="20"/>
          <w:szCs w:val="20"/>
          <w:color w:val="auto"/>
        </w:rPr>
      </w:pPr>
    </w:p>
    <w:p>
      <w:pPr>
        <w:ind w:right="220" w:firstLine="440"/>
        <w:spacing w:after="0" w:line="29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Dievini Director Vacancies</w:t>
      </w:r>
      <w:r>
        <w:rPr>
          <w:rFonts w:ascii="Arial" w:cs="Arial" w:eastAsia="Arial" w:hAnsi="Arial"/>
          <w:sz w:val="16"/>
          <w:szCs w:val="16"/>
          <w:color w:val="auto"/>
        </w:rPr>
        <w:t xml:space="preserve">. Each Investor agrees to vote, or cause to be voted, all Ordinary Shares owned by such Investor, or over which such Investor has voting control, from time to time and at all times, in whatever manner as shall be necessary to ensure that: (a) no director elected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may be removed from office, unless: (i) such removal is directed or approved by the affirmative vote of Dievini entitled under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to designate such director; or (ii)Dievini is no longer entitled to designate the Company directors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and (b) any vacancies created by the resignation, removal or death of a director elected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shall be filled pursuant to the provisions of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The Company and the Company Board shall take all actions necessary to fill such vacancy with such replacement director promptly upon written notice to the Company of the name of such replacement director by Dievini entitled under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to designate such director.</w:t>
      </w:r>
    </w:p>
    <w:p>
      <w:pPr>
        <w:spacing w:after="0" w:line="166" w:lineRule="exact"/>
        <w:rPr>
          <w:sz w:val="20"/>
          <w:szCs w:val="20"/>
          <w:color w:val="auto"/>
        </w:rPr>
      </w:pPr>
    </w:p>
    <w:p>
      <w:pPr>
        <w:jc w:val="both"/>
        <w:ind w:firstLine="440"/>
        <w:spacing w:after="0" w:line="287"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As promptly as reasonably practicable following the request of any director designated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w:t>
      </w:r>
      <w:r>
        <w:rPr>
          <w:rFonts w:ascii="Arial" w:cs="Arial" w:eastAsia="Arial" w:hAnsi="Arial"/>
          <w:sz w:val="16"/>
          <w:szCs w:val="16"/>
          <w:color w:val="auto"/>
        </w:rPr>
        <w:t>, the Company shall enter into an indemnification agreement with the director, in the form entered into with the other members of the Company Board or, if not entered into by other members of the Company Board, a customary form. the Company shall pay the reasonable, documented</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and out-of-pocket expenses incurred by such director related to his or her service to the Company, including attending meetings of the Company Board or any committee or sub-committee thereof or events attended on behalf of the Company or any of its subsidiaries at the Company’s request. For so long as a director designated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serves as a director of the Company, the Company shall not amend, alter or repeal any right to indemnification or exculpation covering or benefiting any director designated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as and to the extent consistent with applicable law, including but not limited to under the articles of association of the Company (except to the extent such amendment or alteration permits the Company to provide broader indemnification or exculpation rights on a retroactive basis than permitted prior thereto). The Company shall (i) purchase directors’ and officers’ liability insurance in an amount determined by the Company Board to be reasonable and customary and (ii) for so long as any director designated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serves as a director of the Company Board, maintain such coverage with respect to such director; provided that upon removal or resignation of such director for any reason, the Company shall take all actions reasonably necessary to extend such directors’ and officers’ liability insurance coverage for a period of not less than six (6) years from any such event in respect of any act or omission occurring at or prior to such event.</w:t>
      </w:r>
    </w:p>
    <w:p>
      <w:pPr>
        <w:sectPr>
          <w:pgSz w:w="11900" w:h="16838" w:orient="portrait"/>
          <w:cols w:equalWidth="0" w:num="1">
            <w:col w:w="11000"/>
          </w:cols>
          <w:pgMar w:left="440" w:top="274" w:right="459" w:bottom="1440" w:gutter="0" w:footer="0" w:header="0"/>
        </w:sectPr>
      </w:pPr>
    </w:p>
    <w:bookmarkStart w:id="443" w:name="page444"/>
    <w:bookmarkEnd w:id="443"/>
    <w:p>
      <w:pPr>
        <w:ind w:left="4" w:right="1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7.6 </w:t>
      </w:r>
      <w:r>
        <w:rPr>
          <w:rFonts w:ascii="Arial" w:cs="Arial" w:eastAsia="Arial" w:hAnsi="Arial"/>
          <w:sz w:val="18"/>
          <w:szCs w:val="18"/>
          <w:u w:val="single" w:color="auto"/>
          <w:color w:val="auto"/>
        </w:rPr>
        <w:t>Consent Right</w:t>
      </w:r>
      <w:r>
        <w:rPr>
          <w:rFonts w:ascii="Arial" w:cs="Arial" w:eastAsia="Arial" w:hAnsi="Arial"/>
          <w:sz w:val="18"/>
          <w:szCs w:val="18"/>
          <w:color w:val="auto"/>
        </w:rPr>
        <w:t xml:space="preserve">. None of the Company, the Company Board or any of the GmbH Investors shall take any action to amend or repeal the Board Structure Provision without the express written consent of a majority in interest of the ARYA Investors. The right provided for in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shall be of no further force or effect upon the adoption by the Company of a “one-tier” board structure on the one-year anniversary of the date of this Agreement.</w:t>
      </w:r>
    </w:p>
    <w:p>
      <w:pPr>
        <w:spacing w:after="0" w:line="187" w:lineRule="exact"/>
        <w:rPr>
          <w:sz w:val="20"/>
          <w:szCs w:val="20"/>
          <w:color w:val="auto"/>
        </w:rPr>
      </w:pPr>
    </w:p>
    <w:p>
      <w:pPr>
        <w:ind w:left="184" w:hanging="184"/>
        <w:spacing w:after="0"/>
        <w:tabs>
          <w:tab w:leader="none" w:pos="184"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Other Registration Rights and Arrangements</w:t>
      </w:r>
      <w:r>
        <w:rPr>
          <w:rFonts w:ascii="Arial" w:cs="Arial" w:eastAsia="Arial" w:hAnsi="Arial"/>
          <w:sz w:val="18"/>
          <w:szCs w:val="18"/>
          <w:color w:val="auto"/>
        </w:rPr>
        <w:t>. The Company represents and warrants that no person, other than a holder of the Registrable Securities has any right to require the Company to register any of the Company’s share capital for sale or to include the Company’s share capital in any registration filed by the Company for the sale of shares for its own account or for the account of any other person. The parties hereby terminate the Prior Agreement, which shall be of no further force and effect and is hereby superseded and replaced in its entirety by this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95"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Assignment; No Third-Party Beneficiaries</w:t>
      </w:r>
      <w:r>
        <w:rPr>
          <w:rFonts w:ascii="Arial" w:cs="Arial" w:eastAsia="Arial" w:hAnsi="Arial"/>
          <w:sz w:val="16"/>
          <w:szCs w:val="16"/>
          <w:color w:val="auto"/>
        </w:rPr>
        <w:t xml:space="preserve">.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permitted transfer of Registrable Securities by any such holder. This Agreement and the provisions hereof shall be binding upon and shall inure to the benefit of each of the parties hereto and their respective successors and assigns and the holders of Registrable Securities and their respective successors and permitted assigns. This Agreement is not intended to confer any rights or benefits on any persons that are not party hereto other than as expressly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8.2</w:t>
      </w:r>
      <w:r>
        <w:rPr>
          <w:rFonts w:ascii="Arial" w:cs="Arial" w:eastAsia="Arial" w:hAnsi="Arial"/>
          <w:sz w:val="16"/>
          <w:szCs w:val="16"/>
          <w:color w:val="auto"/>
        </w:rPr>
        <w:t>. The rights of a holder of Registrable Securities under this Agreement may be transferred by such a holder to a transferee who acquires or holds Registrable Securities; provided, however, that such transferee has executed and delivered to the Company a properly completed agreement to be bound by the terms of this Agreement substantially in form attached hereto as Exhibit A (an “</w:t>
      </w:r>
      <w:r>
        <w:rPr>
          <w:rFonts w:ascii="Arial" w:cs="Arial" w:eastAsia="Arial" w:hAnsi="Arial"/>
          <w:sz w:val="16"/>
          <w:szCs w:val="16"/>
          <w:b w:val="1"/>
          <w:bCs w:val="1"/>
          <w:color w:val="auto"/>
        </w:rPr>
        <w:t>Addendum Agreement</w:t>
      </w:r>
      <w:r>
        <w:rPr>
          <w:rFonts w:ascii="Arial" w:cs="Arial" w:eastAsia="Arial" w:hAnsi="Arial"/>
          <w:sz w:val="16"/>
          <w:szCs w:val="16"/>
          <w:color w:val="auto"/>
        </w:rPr>
        <w:t>”), and the transferor shall have delivered to the Company no later than thirty (30) days following the date of the transfer, written notification of such transfer setting forth the name of the transferor, the name and address of the transferee, and the number of Registrable Securities so transferred. The execution of an Addendum Agreement shall constitute a permitted amendment of this Agreement.</w:t>
      </w:r>
    </w:p>
    <w:p>
      <w:pPr>
        <w:spacing w:after="0" w:line="168"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Upon the written consent of the Company and the Holders of at least a majority in interest of the Registrable Securities at the time in question, which majority shall include ARYA Investors who hold a majority in interest of the Registrable Securities held by all ARYA Investors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an</w:t>
      </w:r>
    </w:p>
    <w:p>
      <w:pPr>
        <w:sectPr>
          <w:pgSz w:w="11900" w:h="16838" w:orient="portrait"/>
          <w:cols w:equalWidth="0" w:num="1">
            <w:col w:w="11004"/>
          </w:cols>
          <w:pgMar w:left="436" w:top="274" w:right="459" w:bottom="1440" w:gutter="0" w:footer="0" w:header="0"/>
        </w:sectPr>
      </w:pPr>
    </w:p>
    <w:bookmarkStart w:id="444" w:name="page445"/>
    <w:bookmarkEnd w:id="444"/>
    <w:p>
      <w:pPr>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Investor, solely in his, her or its capacity as a holder of the shares of capital stock of the Company, in a manner that is materially different from other Investors (in such capacity) shall require the consent of such Investor so affected. No course of dealing between any Investor or the Company and any other party hereto or any failure or delay on the part of an Investor or the Company in exercising any rights or remedies under this Agreement shall operate as a waiver of any rights or remedies of any Investor or the Company. No single or partial exercise of any rights or remedies under this Agreement by a party shall operate as a waiver or preclude the exercise of any other rights or remedies hereunder or thereunder by such party.</w:t>
      </w:r>
    </w:p>
    <w:p>
      <w:pPr>
        <w:spacing w:after="0" w:line="16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This Agreement shall terminate upon the earlier of (i) the tenth anniversary of the date of this Agreement or (ii) the date as of which there shall be no Registrable Securities outstanding; provided further that with respect to any Investor, such Investor will have no rights under this Agreement and all obligations of the Company to such Investor under this Agreement shall terminate upon the earlier of (x) the date at least one year after the date hereof that such Investor ceases to hold at least 1% of the Registrable Securities outstanding on the date hereof or (y) if such Investor is a director or an executive officer of the Company, the date such Investor no longer serves as a director or an executive officer of the Company; provided, however, that such termination as to an Investors shall not apply to the following provisions until such Investor no longer holds any Registrable Securities: </w:t>
      </w:r>
      <w:r>
        <w:rPr>
          <w:rFonts w:ascii="Arial" w:cs="Arial" w:eastAsia="Arial" w:hAnsi="Arial"/>
          <w:sz w:val="17"/>
          <w:szCs w:val="17"/>
          <w:u w:val="single" w:color="auto"/>
          <w:color w:val="auto"/>
        </w:rPr>
        <w:t>Sections 3.1.4</w:t>
      </w:r>
      <w:r>
        <w:rPr>
          <w:rFonts w:ascii="Arial" w:cs="Arial" w:eastAsia="Arial" w:hAnsi="Arial"/>
          <w:sz w:val="17"/>
          <w:szCs w:val="17"/>
          <w:color w:val="auto"/>
        </w:rPr>
        <w:t xml:space="preserve">,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w:t>
      </w:r>
      <w:r>
        <w:rPr>
          <w:rFonts w:ascii="Arial" w:cs="Arial" w:eastAsia="Arial" w:hAnsi="Arial"/>
          <w:sz w:val="17"/>
          <w:szCs w:val="17"/>
          <w:u w:val="single" w:color="auto"/>
          <w:color w:val="auto"/>
        </w:rPr>
        <w:t>3.1.10</w:t>
      </w:r>
      <w:r>
        <w:rPr>
          <w:rFonts w:ascii="Arial" w:cs="Arial" w:eastAsia="Arial" w:hAnsi="Arial"/>
          <w:sz w:val="17"/>
          <w:szCs w:val="17"/>
          <w:color w:val="auto"/>
        </w:rPr>
        <w:t xml:space="preserve">, </w:t>
      </w:r>
      <w:r>
        <w:rPr>
          <w:rFonts w:ascii="Arial" w:cs="Arial" w:eastAsia="Arial" w:hAnsi="Arial"/>
          <w:sz w:val="17"/>
          <w:szCs w:val="17"/>
          <w:u w:val="single" w:color="auto"/>
          <w:color w:val="auto"/>
        </w:rPr>
        <w:t>3.1.12</w:t>
      </w:r>
      <w:r>
        <w:rPr>
          <w:rFonts w:ascii="Arial" w:cs="Arial" w:eastAsia="Arial" w:hAnsi="Arial"/>
          <w:sz w:val="17"/>
          <w:szCs w:val="17"/>
          <w:color w:val="auto"/>
        </w:rPr>
        <w:t xml:space="preserve">, </w:t>
      </w:r>
      <w:r>
        <w:rPr>
          <w:rFonts w:ascii="Arial" w:cs="Arial" w:eastAsia="Arial" w:hAnsi="Arial"/>
          <w:sz w:val="17"/>
          <w:szCs w:val="17"/>
          <w:u w:val="single" w:color="auto"/>
          <w:color w:val="auto"/>
        </w:rPr>
        <w:t>3.1.14</w:t>
      </w:r>
      <w:r>
        <w:rPr>
          <w:rFonts w:ascii="Arial" w:cs="Arial" w:eastAsia="Arial" w:hAnsi="Arial"/>
          <w:sz w:val="17"/>
          <w:szCs w:val="17"/>
          <w:color w:val="auto"/>
        </w:rPr>
        <w:t xml:space="preserve">,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w:t>
      </w:r>
      <w:r>
        <w:rPr>
          <w:rFonts w:ascii="Arial" w:cs="Arial" w:eastAsia="Arial" w:hAnsi="Arial"/>
          <w:sz w:val="17"/>
          <w:szCs w:val="17"/>
          <w:u w:val="single" w:color="auto"/>
          <w:color w:val="auto"/>
        </w:rPr>
        <w:t>8.3</w:t>
      </w:r>
      <w:r>
        <w:rPr>
          <w:rFonts w:ascii="Arial" w:cs="Arial" w:eastAsia="Arial" w:hAnsi="Arial"/>
          <w:sz w:val="17"/>
          <w:szCs w:val="17"/>
          <w:color w:val="auto"/>
        </w:rPr>
        <w:t xml:space="preserve">, </w:t>
      </w:r>
      <w:r>
        <w:rPr>
          <w:rFonts w:ascii="Arial" w:cs="Arial" w:eastAsia="Arial" w:hAnsi="Arial"/>
          <w:sz w:val="17"/>
          <w:szCs w:val="17"/>
          <w:u w:val="single" w:color="auto"/>
          <w:color w:val="auto"/>
        </w:rPr>
        <w:t>8.5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w:t>
      </w:r>
      <w:r>
        <w:rPr>
          <w:rFonts w:ascii="Arial" w:cs="Arial" w:eastAsia="Arial" w:hAnsi="Arial"/>
          <w:sz w:val="17"/>
          <w:szCs w:val="17"/>
          <w:color w:val="auto"/>
        </w:rPr>
        <w:t>.</w:t>
      </w:r>
    </w:p>
    <w:p>
      <w:pPr>
        <w:spacing w:after="0" w:line="173"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requests, consents, approvals or other communications (collectively, “</w:t>
      </w:r>
      <w:r>
        <w:rPr>
          <w:rFonts w:ascii="Arial" w:cs="Arial" w:eastAsia="Arial" w:hAnsi="Arial"/>
          <w:sz w:val="18"/>
          <w:szCs w:val="18"/>
          <w:b w:val="1"/>
          <w:bCs w:val="1"/>
          <w:color w:val="auto"/>
        </w:rPr>
        <w:t>Notices</w:t>
      </w:r>
      <w:r>
        <w:rPr>
          <w:rFonts w:ascii="Arial" w:cs="Arial" w:eastAsia="Arial" w:hAnsi="Arial"/>
          <w:sz w:val="18"/>
          <w:szCs w:val="18"/>
          <w:color w:val="auto"/>
        </w:rPr>
        <w:t>”) required or permitted to be given hereunder or which are given with respect to this Agreement shall be in writing and shall be personally served, delivered by reputable air courier service with charges prepaid, or transmitted by facsimile or email, addressed as set forth below, or to such other address as such party shall have specified most recently by written notice. Notice shall be deemed given (i) on the date of service or transmission if personally served or transmitted by telegram, telex or facsimile; provided, that if such service or transmission is not on a Business Day or is after normal business hours, then such notice shall be deemed given on the next Business Day or (ii) one Business Day after being deposited with a reputable courier service with an order for next-day delivery, to the parties as follows: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Immatics Biotechnology, GmbH</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Paul-Ehrlich-Str. 15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72076 Tuebingen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Harpreet Singh</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49 (7071) 5397-900</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Boston, MA 02210 Attn: Jocelyn Arel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(617) 321-4344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w:t>
      </w:r>
    </w:p>
    <w:p>
      <w:pPr>
        <w:sectPr>
          <w:pgSz w:w="11900" w:h="16838" w:orient="portrait"/>
          <w:cols w:equalWidth="0" w:num="1">
            <w:col w:w="10880"/>
          </w:cols>
          <w:pgMar w:left="440" w:top="274" w:right="579" w:bottom="1440" w:gutter="0" w:footer="0" w:header="0"/>
        </w:sectPr>
      </w:pPr>
    </w:p>
    <w:bookmarkStart w:id="445" w:name="page446"/>
    <w:bookmarkEnd w:id="4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ARYA: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51 Astor Place, 10th floor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Secretary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205-5301</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Jonathan L. Davis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Christian O. Nagler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Peter S. Seligson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Ryan Brissette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446-4934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If to an Investor, to the address set forth under such Investor’s signature to this Agreement or to such Investor’s address as found in the Company’s books and records.</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ind w:right="380" w:firstLine="440"/>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including, without limitation the Prior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00"/>
          </w:cols>
          <w:pgMar w:left="440" w:top="274" w:right="459" w:bottom="1440" w:gutter="0" w:footer="0" w:header="0"/>
        </w:sectPr>
      </w:pPr>
    </w:p>
    <w:bookmarkStart w:id="446" w:name="page447"/>
    <w:bookmarkEnd w:id="446"/>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IMMATICS N.V.:</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Harpreet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Harpreet Singh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Director</w:t>
      </w:r>
    </w:p>
    <w:p>
      <w:pPr>
        <w:spacing w:after="0" w:line="386"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600"/>
          </w:cols>
          <w:pgMar w:left="440" w:top="270" w:right="859" w:bottom="1440" w:gutter="0" w:footer="0" w:header="0"/>
        </w:sectPr>
      </w:pPr>
    </w:p>
    <w:bookmarkStart w:id="447" w:name="page448"/>
    <w:bookmarkEnd w:id="44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Harpreet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Harpreet Singh</w:t>
      </w:r>
    </w:p>
    <w:p>
      <w:pPr>
        <w:spacing w:after="0" w:line="200" w:lineRule="exact"/>
        <w:rPr>
          <w:sz w:val="20"/>
          <w:szCs w:val="20"/>
          <w:color w:val="auto"/>
        </w:rPr>
      </w:pPr>
    </w:p>
    <w:p>
      <w:pPr>
        <w:spacing w:after="0" w:line="20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48" w:name="page449"/>
    <w:bookmarkEnd w:id="448"/>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Rainer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Rainer Kramer</w:t>
      </w:r>
    </w:p>
    <w:p>
      <w:pPr>
        <w:spacing w:after="0" w:line="200" w:lineRule="exact"/>
        <w:rPr>
          <w:sz w:val="20"/>
          <w:szCs w:val="20"/>
          <w:color w:val="auto"/>
        </w:rPr>
      </w:pPr>
    </w:p>
    <w:p>
      <w:pPr>
        <w:spacing w:after="0" w:line="20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49" w:name="page450"/>
    <w:bookmarkEnd w:id="449"/>
    <w:p>
      <w:pPr>
        <w:ind w:right="28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Wellington Partners Partners Ventures II GmbH &amp; Co.</w:t>
      </w:r>
    </w:p>
    <w:p>
      <w:pPr>
        <w:spacing w:after="0" w:line="5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KG (A)</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Represented by: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Wellington Partners Verwaltungs GmbH, its liquidator</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Represented by: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Cornelia Hulser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Cornelia Hulser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Director</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60"/>
          </w:cols>
          <w:pgMar w:left="440" w:top="270" w:right="599" w:bottom="1440" w:gutter="0" w:footer="0" w:header="0"/>
        </w:sectPr>
      </w:pPr>
    </w:p>
    <w:bookmarkStart w:id="450" w:name="page451"/>
    <w:bookmarkEnd w:id="450"/>
    <w:p>
      <w:pPr>
        <w:ind w:right="2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Wellington Partners Partners Ventures IV Life Science</w:t>
      </w:r>
    </w:p>
    <w:p>
      <w:pPr>
        <w:spacing w:after="0" w:line="5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Represented by: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Wellington Partners Management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Represented by: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Ernst Mannheimer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Ernst Mannheimer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820"/>
          </w:cols>
          <w:pgMar w:left="440" w:top="270" w:right="639" w:bottom="1440" w:gutter="0" w:footer="0" w:header="0"/>
        </w:sectPr>
      </w:pPr>
    </w:p>
    <w:bookmarkStart w:id="451" w:name="page452"/>
    <w:bookmarkEnd w:id="451"/>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200" w:lineRule="exact"/>
        <w:rPr>
          <w:sz w:val="20"/>
          <w:szCs w:val="20"/>
          <w:color w:val="auto"/>
        </w:rPr>
      </w:pP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Wellington Partners Nominee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Represented by: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Ernst Mannheimer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Ernst Mannheimer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52" w:name="page453"/>
    <w:bookmarkEnd w:id="452"/>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Chambré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Peter Chambré</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53" w:name="page454"/>
    <w:bookmarkEnd w:id="453"/>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AT Impf GmbH</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Represented by: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Maier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Thomas Maier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Melissa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Melissa Simon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Officer</w:t>
      </w:r>
    </w:p>
    <w:p>
      <w:pPr>
        <w:spacing w:after="0" w:line="14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54" w:name="page455"/>
    <w:bookmarkEnd w:id="45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Carsten Reinhardt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Carsten Reinhardt</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55" w:name="page456"/>
    <w:bookmarkEnd w:id="455"/>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dievini Hopp BioTech holding GmbH &amp; Co. KG</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Represented by: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Dievini Verwaltungs GmbH, its general partner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Represented by: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F.V. Bohlen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F.V. Bohlen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Christof Hettich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Christof Hettich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Officer</w:t>
      </w:r>
    </w:p>
    <w:p>
      <w:pPr>
        <w:spacing w:after="0" w:line="14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56" w:name="page457"/>
    <w:bookmarkEnd w:id="456"/>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MIG GmbH &amp; Co. Fonds 13 geschlossene</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Investment-KG</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Represented by: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HMW Komplementär GmbH, its general manager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Represented by: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Pervin Persenkli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Pervin Persenkli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57" w:name="page458"/>
    <w:bookmarkEnd w:id="45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MIG GmbH &amp; Co. Fonds 11 KG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Represented by: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HMW Verwaltungs GmbH, its general manager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Represented by: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Pervin Persenkli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Pervin Persenkli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58" w:name="page459"/>
    <w:bookmarkEnd w:id="458"/>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Steffen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Steffen Walter</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59" w:name="page460"/>
    <w:bookmarkEnd w:id="45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Stephen 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Eck</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60" w:name="page461"/>
    <w:bookmarkEnd w:id="460"/>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Toni Weinschenk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Toni Weinschenk</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61" w:name="page462"/>
    <w:bookmarkEnd w:id="461"/>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Ulmer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Thomas Ulmer</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62" w:name="page463"/>
    <w:bookmarkEnd w:id="462"/>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ARYA Sciences Holdings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Adam Stone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63" w:name="page464"/>
    <w:bookmarkEnd w:id="463"/>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Conroy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Conroy</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64" w:name="page465"/>
    <w:bookmarkEnd w:id="46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David 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Dr. David Hung</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65" w:name="page466"/>
    <w:bookmarkEnd w:id="465"/>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Dr. Todd Wider</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I</w:t>
      </w:r>
      <w:r>
        <w:rPr>
          <w:rFonts w:ascii="Arial" w:cs="Arial" w:eastAsia="Arial" w:hAnsi="Arial"/>
          <w:sz w:val="14"/>
          <w:szCs w:val="14"/>
          <w:color w:val="auto"/>
        </w:rPr>
        <w:t>NVESTOR</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580"/>
          </w:cols>
          <w:pgMar w:left="440" w:top="270" w:right="879" w:bottom="1440" w:gutter="0" w:footer="0" w:header="0"/>
        </w:sectPr>
      </w:pPr>
    </w:p>
    <w:bookmarkStart w:id="466" w:name="page467"/>
    <w:bookmarkEnd w:id="4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Addendum Agreement (“</w:t>
      </w:r>
      <w:r>
        <w:rPr>
          <w:rFonts w:ascii="Arial" w:cs="Arial" w:eastAsia="Arial" w:hAnsi="Arial"/>
          <w:sz w:val="16"/>
          <w:szCs w:val="16"/>
          <w:b w:val="1"/>
          <w:bCs w:val="1"/>
          <w:color w:val="auto"/>
        </w:rPr>
        <w:t>Addendum Agreement</w:t>
      </w:r>
      <w:r>
        <w:rPr>
          <w:rFonts w:ascii="Arial" w:cs="Arial" w:eastAsia="Arial" w:hAnsi="Arial"/>
          <w:sz w:val="16"/>
          <w:szCs w:val="16"/>
          <w:color w:val="auto"/>
        </w:rPr>
        <w:t>”) is executed on __________________, 20___, by the undersigned (the “</w:t>
      </w:r>
      <w:r>
        <w:rPr>
          <w:rFonts w:ascii="Arial" w:cs="Arial" w:eastAsia="Arial" w:hAnsi="Arial"/>
          <w:sz w:val="16"/>
          <w:szCs w:val="16"/>
          <w:b w:val="1"/>
          <w:bCs w:val="1"/>
          <w:color w:val="auto"/>
        </w:rPr>
        <w:t>New Holder</w:t>
      </w:r>
      <w:r>
        <w:rPr>
          <w:rFonts w:ascii="Arial" w:cs="Arial" w:eastAsia="Arial" w:hAnsi="Arial"/>
          <w:sz w:val="16"/>
          <w:szCs w:val="16"/>
          <w:color w:val="auto"/>
        </w:rPr>
        <w:t>”)</w:t>
      </w:r>
    </w:p>
    <w:p>
      <w:pPr>
        <w:spacing w:after="0" w:line="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pursuant to the terms of that certain Investor Rights and Lock-Up Agreement dated as of July 1, 2020 (the “</w:t>
      </w:r>
      <w:r>
        <w:rPr>
          <w:rFonts w:ascii="Arial" w:cs="Arial" w:eastAsia="Arial" w:hAnsi="Arial"/>
          <w:sz w:val="18"/>
          <w:szCs w:val="18"/>
          <w:b w:val="1"/>
          <w:bCs w:val="1"/>
          <w:color w:val="auto"/>
        </w:rPr>
        <w:t>Agreement</w:t>
      </w:r>
      <w:r>
        <w:rPr>
          <w:rFonts w:ascii="Arial" w:cs="Arial" w:eastAsia="Arial" w:hAnsi="Arial"/>
          <w:sz w:val="18"/>
          <w:szCs w:val="18"/>
          <w:color w:val="auto"/>
        </w:rPr>
        <w:t>”), by and among the Company and the Investors identified therein, as such Agreement may be amended, supplemented or otherwise modified from time to time. Capitalized terms used but not defined in this Addendum Agreement shall have the respective meanings ascribed to such terms in the Agreement. By the execution of this Addendum Agreement, the New Holder agrees as follows:</w:t>
      </w:r>
    </w:p>
    <w:p>
      <w:pPr>
        <w:spacing w:after="0" w:line="81" w:lineRule="exact"/>
        <w:rPr>
          <w:sz w:val="20"/>
          <w:szCs w:val="20"/>
          <w:color w:val="auto"/>
        </w:rPr>
      </w:pPr>
    </w:p>
    <w:p>
      <w:pPr>
        <w:jc w:val="both"/>
        <w:ind w:right="180" w:firstLine="436"/>
        <w:spacing w:after="0" w:line="314" w:lineRule="auto"/>
        <w:tabs>
          <w:tab w:leader="none" w:pos="620" w:val="left"/>
        </w:tabs>
        <w:numPr>
          <w:ilvl w:val="0"/>
          <w:numId w:val="377"/>
        </w:numPr>
        <w:rPr>
          <w:rFonts w:ascii="Arial" w:cs="Arial" w:eastAsia="Arial" w:hAnsi="Arial"/>
          <w:sz w:val="16"/>
          <w:szCs w:val="16"/>
          <w:color w:val="auto"/>
        </w:rPr>
      </w:pPr>
      <w:r>
        <w:rPr>
          <w:rFonts w:ascii="Arial" w:cs="Arial" w:eastAsia="Arial" w:hAnsi="Arial"/>
          <w:sz w:val="16"/>
          <w:szCs w:val="16"/>
          <w:u w:val="single" w:color="auto"/>
          <w:color w:val="auto"/>
        </w:rPr>
        <w:t>Acknowledgment</w:t>
      </w:r>
      <w:r>
        <w:rPr>
          <w:rFonts w:ascii="Arial" w:cs="Arial" w:eastAsia="Arial" w:hAnsi="Arial"/>
          <w:sz w:val="16"/>
          <w:szCs w:val="16"/>
          <w:color w:val="auto"/>
        </w:rPr>
        <w:t>. New Holder acknowledges that New Holder is acquiring certain ordinary shares of the Company (the “</w:t>
      </w:r>
      <w:r>
        <w:rPr>
          <w:rFonts w:ascii="Arial" w:cs="Arial" w:eastAsia="Arial" w:hAnsi="Arial"/>
          <w:sz w:val="16"/>
          <w:szCs w:val="16"/>
          <w:b w:val="1"/>
          <w:bCs w:val="1"/>
          <w:color w:val="auto"/>
        </w:rPr>
        <w:t>Ordinary Shares</w:t>
      </w:r>
      <w:r>
        <w:rPr>
          <w:rFonts w:ascii="Arial" w:cs="Arial" w:eastAsia="Arial" w:hAnsi="Arial"/>
          <w:sz w:val="16"/>
          <w:szCs w:val="16"/>
          <w:color w:val="auto"/>
        </w:rPr>
        <w:t>”) as a transferee of such Ordinary Shares from a party in such party’s capacity as a holder of Registrable Securities under the Agreement, and after such transfer, New Holder shall be considered an “Investor” and a holder of Registrable Securities for all purposes under the Agreement.</w:t>
      </w:r>
    </w:p>
    <w:p>
      <w:pPr>
        <w:spacing w:after="0" w:line="37" w:lineRule="exact"/>
        <w:rPr>
          <w:rFonts w:ascii="Arial" w:cs="Arial" w:eastAsia="Arial" w:hAnsi="Arial"/>
          <w:sz w:val="16"/>
          <w:szCs w:val="16"/>
          <w:color w:val="auto"/>
        </w:rPr>
      </w:pPr>
    </w:p>
    <w:p>
      <w:pPr>
        <w:ind w:right="100" w:firstLine="436"/>
        <w:spacing w:after="0" w:line="277" w:lineRule="auto"/>
        <w:tabs>
          <w:tab w:leader="none" w:pos="62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New Holder hereby (a) agrees that the Ordinary Shares shall be bound by and subject to the terms of the Agreement and (b) adopts the Agreement with the same force and effect as if the New Holder were originally a party thereto.</w:t>
      </w:r>
    </w:p>
    <w:p>
      <w:pPr>
        <w:spacing w:after="0" w:line="62" w:lineRule="exact"/>
        <w:rPr>
          <w:rFonts w:ascii="Arial" w:cs="Arial" w:eastAsia="Arial" w:hAnsi="Arial"/>
          <w:sz w:val="18"/>
          <w:szCs w:val="18"/>
          <w:color w:val="auto"/>
        </w:rPr>
      </w:pPr>
    </w:p>
    <w:p>
      <w:pPr>
        <w:ind w:right="160" w:firstLine="436"/>
        <w:spacing w:after="0" w:line="277" w:lineRule="auto"/>
        <w:tabs>
          <w:tab w:leader="none" w:pos="62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or permitted by the Agreement shall be given to New Holder at the address or facsimile number listed below New Holder’s signature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4"/>
          </w:tcPr>
          <w:p>
            <w:pPr>
              <w:spacing w:after="0"/>
              <w:rPr>
                <w:sz w:val="20"/>
                <w:szCs w:val="20"/>
                <w:color w:val="auto"/>
              </w:rPr>
            </w:pPr>
            <w:r>
              <w:rPr>
                <w:rFonts w:ascii="Arial" w:cs="Arial" w:eastAsia="Arial" w:hAnsi="Arial"/>
                <w:sz w:val="18"/>
                <w:szCs w:val="18"/>
                <w:b w:val="1"/>
                <w:bCs w:val="1"/>
                <w:color w:val="auto"/>
              </w:rPr>
              <w:t>NEW HOLDER:</w:t>
            </w:r>
          </w:p>
        </w:tc>
        <w:tc>
          <w:tcPr>
            <w:tcW w:w="5800" w:type="dxa"/>
            <w:vAlign w:val="bottom"/>
            <w:gridSpan w:val="2"/>
          </w:tcPr>
          <w:p>
            <w:pPr>
              <w:ind w:left="560"/>
              <w:spacing w:after="0"/>
              <w:rPr>
                <w:sz w:val="20"/>
                <w:szCs w:val="20"/>
                <w:color w:val="auto"/>
              </w:rPr>
            </w:pPr>
            <w:r>
              <w:rPr>
                <w:rFonts w:ascii="Arial" w:cs="Arial" w:eastAsia="Arial" w:hAnsi="Arial"/>
                <w:sz w:val="18"/>
                <w:szCs w:val="18"/>
                <w:color w:val="auto"/>
              </w:rPr>
              <w:t>ACCEPTED AND AGREED:</w:t>
            </w:r>
          </w:p>
        </w:tc>
      </w:tr>
      <w:tr>
        <w:trPr>
          <w:trHeight w:val="432"/>
        </w:trPr>
        <w:tc>
          <w:tcPr>
            <w:tcW w:w="106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4160" w:type="dxa"/>
            <w:vAlign w:val="bottom"/>
            <w:tcBorders>
              <w:bottom w:val="single" w:sz="8" w:color="auto"/>
            </w:tcBorders>
            <w:gridSpan w:val="2"/>
          </w:tcPr>
          <w:p>
            <w:pPr>
              <w:spacing w:after="0"/>
              <w:rPr>
                <w:sz w:val="24"/>
                <w:szCs w:val="24"/>
                <w:color w:val="auto"/>
              </w:rPr>
            </w:pPr>
          </w:p>
        </w:tc>
        <w:tc>
          <w:tcPr>
            <w:tcW w:w="5800" w:type="dxa"/>
            <w:vAlign w:val="bottom"/>
            <w:gridSpan w:val="2"/>
          </w:tcPr>
          <w:p>
            <w:pPr>
              <w:ind w:left="560"/>
              <w:spacing w:after="0"/>
              <w:rPr>
                <w:sz w:val="20"/>
                <w:szCs w:val="20"/>
                <w:color w:val="auto"/>
              </w:rPr>
            </w:pPr>
            <w:r>
              <w:rPr>
                <w:rFonts w:ascii="Arial" w:cs="Arial" w:eastAsia="Arial" w:hAnsi="Arial"/>
                <w:sz w:val="18"/>
                <w:szCs w:val="18"/>
                <w:b w:val="1"/>
                <w:bCs w:val="1"/>
                <w:color w:val="auto"/>
              </w:rPr>
              <w:t>Immatics N.V.</w:t>
            </w:r>
          </w:p>
        </w:tc>
      </w:tr>
      <w:tr>
        <w:trPr>
          <w:trHeight w:val="43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gridSpan w:val="2"/>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ind w:left="6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67" w:name="page468"/>
    <w:bookmarkEnd w:id="467"/>
    <w:p>
      <w:pPr>
        <w:jc w:val="right"/>
        <w:ind w:right="39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337" w:lineRule="exact"/>
        <w:rPr>
          <w:sz w:val="20"/>
          <w:szCs w:val="20"/>
          <w:color w:val="auto"/>
        </w:rPr>
      </w:pPr>
    </w:p>
    <w:p>
      <w:pPr>
        <w:ind w:left="184" w:hanging="184"/>
        <w:spacing w:after="0"/>
        <w:tabs>
          <w:tab w:leader="none" w:pos="18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Harpreet Singh</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Peter Chambre</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Carsten Reinhardt</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Toni Weinschenk</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Stephen Eck</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Rainer Kramer</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Thomas Ulmer</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Steffen Walter</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dievini Hopp BioTech holding GmbH &amp; Co. KG</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AT Impf GmbH</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MIG Fonds 11</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MIG Fonds 13</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Wellington Partners Ventures II</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Wellington Partners Nominee Ltd.</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Wellington Partners Ventures IV</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ARYA Sciences Holdings</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Kevin Conroy</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Todd Wider</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David Hung</w:t>
      </w:r>
    </w:p>
    <w:p>
      <w:pPr>
        <w:sectPr>
          <w:pgSz w:w="11900" w:h="16838" w:orient="portrait"/>
          <w:cols w:equalWidth="0" w:num="1">
            <w:col w:w="10023"/>
          </w:cols>
          <w:pgMar w:left="436" w:top="270" w:right="1440" w:bottom="1440" w:gutter="0" w:footer="0" w:header="0"/>
        </w:sectPr>
      </w:pPr>
    </w:p>
    <w:bookmarkStart w:id="468" w:name="page469"/>
    <w:bookmarkEnd w:id="468"/>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hereby consent to the use in this Registration Statement on Form F-1 of Immatics N.V. of our report dated April 15, 2020 relating to the financial statements of Immatics Biotechnologies GmbH, which appears in this Registration Statement.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Munich, 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Wirtschaftsprüfungsgesellschaft</w:t>
      </w:r>
    </w:p>
    <w:p>
      <w:pPr>
        <w:sectPr>
          <w:pgSz w:w="11900" w:h="16838" w:orient="portrait"/>
          <w:cols w:equalWidth="0" w:num="1">
            <w:col w:w="11020"/>
          </w:cols>
          <w:pgMar w:left="440" w:top="121"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 Dietmar Eglauer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/s/ ppa. Andreas Schuster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103" w:lineRule="exact"/>
        <w:rPr>
          <w:sz w:val="20"/>
          <w:szCs w:val="20"/>
          <w:color w:val="auto"/>
        </w:rPr>
      </w:pPr>
    </w:p>
    <w:p>
      <w:pPr>
        <w:sectPr>
          <w:pgSz w:w="11900" w:h="16838" w:orient="portrait"/>
          <w:cols w:equalWidth="0" w:num="2">
            <w:col w:w="5120" w:space="720"/>
            <w:col w:w="51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color w:val="auto"/>
        </w:rPr>
        <w:t>(German Public 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(German Public Auditor)</w:t>
      </w:r>
    </w:p>
    <w:p>
      <w:pPr>
        <w:sectPr>
          <w:pgSz w:w="11900" w:h="16838" w:orient="portrait"/>
          <w:cols w:equalWidth="0" w:num="2">
            <w:col w:w="5120" w:space="720"/>
            <w:col w:w="5180"/>
          </w:cols>
          <w:pgMar w:left="440" w:top="121" w:right="439" w:bottom="1440" w:gutter="0" w:footer="0" w:header="0"/>
          <w:type w:val="continuous"/>
        </w:sectPr>
      </w:pPr>
    </w:p>
    <w:bookmarkStart w:id="469" w:name="page470"/>
    <w:bookmarkEnd w:id="469"/>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hereby consent to the use in the Registration Statement of Immatics N.V. on Form F-1, of our report dated March 6, 2020 (which includes an explanatory paragraph relating to ARYA Sciences Acquisition Corp.’s ability to continue as a going concern), relating to the balance sheets of ARYA Sciences Acquisitions Corp. as of December 31, 2019 and 2018, and the related statements of operations, changes in shareholders’ equity and cash flows for the year ended December 31, 2019 and for the period from June 29, 2018 (inception) through December 31, 2018, and to the reference to our Firm under the caption “Experts” in the Registration Statement.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31,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C9D844"/>
    <w:multiLevelType w:val="hybridMultilevel"/>
    <w:lvl w:ilvl="0">
      <w:lvlJc w:val="left"/>
      <w:lvlText w:val="†"/>
      <w:numFmt w:val="bullet"/>
      <w:start w:val="1"/>
    </w:lvl>
  </w:abstractNum>
  <w:abstractNum w:abstractNumId="1">
    <w:nsid w:val="5C49EAEE"/>
    <w:multiLevelType w:val="hybridMultilevel"/>
    <w:lvl w:ilvl="0">
      <w:lvlJc w:val="left"/>
      <w:lvlText w:val="(%1)"/>
      <w:numFmt w:val="decimal"/>
      <w:start w:val="1"/>
    </w:lvl>
  </w:abstractNum>
  <w:abstractNum w:abstractNumId="2">
    <w:nsid w:val="64AF49B"/>
    <w:multiLevelType w:val="hybridMultilevel"/>
    <w:lvl w:ilvl="0">
      <w:lvlJc w:val="left"/>
      <w:lvlText w:val="•"/>
      <w:numFmt w:val="bullet"/>
      <w:start w:val="1"/>
    </w:lvl>
  </w:abstractNum>
  <w:abstractNum w:abstractNumId="3">
    <w:nsid w:val="397C46BC"/>
    <w:multiLevelType w:val="hybridMultilevel"/>
    <w:lvl w:ilvl="0">
      <w:lvlJc w:val="left"/>
      <w:lvlText w:val=","/>
      <w:numFmt w:val="bullet"/>
      <w:start w:val="1"/>
    </w:lvl>
  </w:abstractNum>
  <w:abstractNum w:abstractNumId="4">
    <w:nsid w:val="7E448DE9"/>
    <w:multiLevelType w:val="hybridMultilevel"/>
    <w:lvl w:ilvl="0">
      <w:lvlJc w:val="left"/>
      <w:lvlText w:val="•"/>
      <w:numFmt w:val="bullet"/>
      <w:start w:val="1"/>
    </w:lvl>
  </w:abstractNum>
  <w:abstractNum w:abstractNumId="5">
    <w:nsid w:val="5A9CC3E5"/>
    <w:multiLevelType w:val="hybridMultilevel"/>
    <w:lvl w:ilvl="0">
      <w:lvlJc w:val="left"/>
      <w:lvlText w:val="•"/>
      <w:numFmt w:val="bullet"/>
      <w:start w:val="1"/>
    </w:lvl>
  </w:abstractNum>
  <w:abstractNum w:abstractNumId="6">
    <w:nsid w:val="1AFE3625"/>
    <w:multiLevelType w:val="hybridMultilevel"/>
    <w:lvl w:ilvl="0">
      <w:lvlJc w:val="left"/>
      <w:lvlText w:val="•"/>
      <w:numFmt w:val="bullet"/>
      <w:start w:val="1"/>
    </w:lvl>
  </w:abstractNum>
  <w:abstractNum w:abstractNumId="7">
    <w:nsid w:val="3CA88ECF"/>
    <w:multiLevelType w:val="hybridMultilevel"/>
    <w:lvl w:ilvl="0">
      <w:lvlJc w:val="left"/>
      <w:lvlText w:val="•"/>
      <w:numFmt w:val="bullet"/>
      <w:start w:val="1"/>
    </w:lvl>
  </w:abstractNum>
  <w:abstractNum w:abstractNumId="8">
    <w:nsid w:val="6EBE4208"/>
    <w:multiLevelType w:val="hybridMultilevel"/>
    <w:lvl w:ilvl="0">
      <w:lvlJc w:val="left"/>
      <w:lvlText w:val="(%1)"/>
      <w:numFmt w:val="decimal"/>
      <w:start w:val="1"/>
    </w:lvl>
  </w:abstractNum>
  <w:abstractNum w:abstractNumId="9">
    <w:nsid w:val="C058DF5"/>
    <w:multiLevelType w:val="hybridMultilevel"/>
    <w:lvl w:ilvl="0">
      <w:lvlJc w:val="left"/>
      <w:lvlText w:val="(%1)"/>
      <w:numFmt w:val="decimal"/>
      <w:start w:val="1"/>
    </w:lvl>
  </w:abstractNum>
  <w:abstractNum w:abstractNumId="10">
    <w:nsid w:val="CBE5BE9"/>
    <w:multiLevelType w:val="hybridMultilevel"/>
    <w:lvl w:ilvl="0">
      <w:lvlJc w:val="left"/>
      <w:lvlText w:val="(%1)"/>
      <w:numFmt w:val="decimal"/>
      <w:start w:val="1"/>
    </w:lvl>
  </w:abstractNum>
  <w:abstractNum w:abstractNumId="11">
    <w:nsid w:val="3102BBE2"/>
    <w:multiLevelType w:val="hybridMultilevel"/>
    <w:lvl w:ilvl="0">
      <w:lvlJc w:val="left"/>
      <w:lvlText w:val="\emdash "/>
      <w:numFmt w:val="bullet"/>
      <w:start w:val="1"/>
    </w:lvl>
  </w:abstractNum>
  <w:abstractNum w:abstractNumId="12">
    <w:nsid w:val="26A02C5E"/>
    <w:multiLevelType w:val="hybridMultilevel"/>
    <w:lvl w:ilvl="0">
      <w:lvlJc w:val="left"/>
      <w:lvlText w:val="*"/>
      <w:numFmt w:val="bullet"/>
      <w:start w:val="1"/>
    </w:lvl>
  </w:abstractNum>
  <w:abstractNum w:abstractNumId="13">
    <w:nsid w:val="541C8153"/>
    <w:multiLevelType w:val="hybridMultilevel"/>
    <w:lvl w:ilvl="0">
      <w:lvlJc w:val="left"/>
      <w:lvlText w:val="•"/>
      <w:numFmt w:val="bullet"/>
      <w:start w:val="1"/>
    </w:lvl>
  </w:abstractNum>
  <w:abstractNum w:abstractNumId="14">
    <w:nsid w:val="67906F60"/>
    <w:multiLevelType w:val="hybridMultilevel"/>
    <w:lvl w:ilvl="0">
      <w:lvlJc w:val="left"/>
      <w:lvlText w:val="•"/>
      <w:numFmt w:val="bullet"/>
      <w:start w:val="1"/>
    </w:lvl>
  </w:abstractNum>
  <w:abstractNum w:abstractNumId="15">
    <w:nsid w:val="10DB9DAA"/>
    <w:multiLevelType w:val="hybridMultilevel"/>
    <w:lvl w:ilvl="0">
      <w:lvlJc w:val="left"/>
      <w:lvlText w:val="•"/>
      <w:numFmt w:val="bullet"/>
      <w:start w:val="1"/>
    </w:lvl>
  </w:abstractNum>
  <w:abstractNum w:abstractNumId="16">
    <w:nsid w:val="697D2D2"/>
    <w:multiLevelType w:val="hybridMultilevel"/>
    <w:lvl w:ilvl="0">
      <w:lvlJc w:val="left"/>
      <w:lvlText w:val="•"/>
      <w:numFmt w:val="bullet"/>
      <w:start w:val="1"/>
    </w:lvl>
  </w:abstractNum>
  <w:abstractNum w:abstractNumId="17">
    <w:nsid w:val="6D68AB2"/>
    <w:multiLevelType w:val="hybridMultilevel"/>
    <w:lvl w:ilvl="0">
      <w:lvlJc w:val="left"/>
      <w:lvlText w:val="•"/>
      <w:numFmt w:val="bullet"/>
      <w:start w:val="1"/>
    </w:lvl>
  </w:abstractNum>
  <w:abstractNum w:abstractNumId="18">
    <w:nsid w:val="3A966CD0"/>
    <w:multiLevelType w:val="hybridMultilevel"/>
    <w:lvl w:ilvl="0">
      <w:lvlJc w:val="left"/>
      <w:lvlText w:val="•"/>
      <w:numFmt w:val="bullet"/>
      <w:start w:val="1"/>
    </w:lvl>
  </w:abstractNum>
  <w:abstractNum w:abstractNumId="19">
    <w:nsid w:val="63F37E85"/>
    <w:multiLevelType w:val="hybridMultilevel"/>
    <w:lvl w:ilvl="0">
      <w:lvlJc w:val="left"/>
      <w:lvlText w:val="•"/>
      <w:numFmt w:val="bullet"/>
      <w:start w:val="1"/>
    </w:lvl>
  </w:abstractNum>
  <w:abstractNum w:abstractNumId="20">
    <w:nsid w:val="5895F5FA"/>
    <w:multiLevelType w:val="hybridMultilevel"/>
    <w:lvl w:ilvl="0">
      <w:lvlJc w:val="left"/>
      <w:lvlText w:val="•"/>
      <w:numFmt w:val="bullet"/>
      <w:start w:val="1"/>
    </w:lvl>
  </w:abstractNum>
  <w:abstractNum w:abstractNumId="21">
    <w:nsid w:val="38A5D054"/>
    <w:multiLevelType w:val="hybridMultilevel"/>
    <w:lvl w:ilvl="0">
      <w:lvlJc w:val="left"/>
      <w:lvlText w:val="•"/>
      <w:numFmt w:val="bullet"/>
      <w:start w:val="1"/>
    </w:lvl>
  </w:abstractNum>
  <w:abstractNum w:abstractNumId="22">
    <w:nsid w:val="F3F09D8"/>
    <w:multiLevelType w:val="hybridMultilevel"/>
    <w:lvl w:ilvl="0">
      <w:lvlJc w:val="left"/>
      <w:lvlText w:val="•"/>
      <w:numFmt w:val="bullet"/>
      <w:start w:val="1"/>
    </w:lvl>
  </w:abstractNum>
  <w:abstractNum w:abstractNumId="23">
    <w:nsid w:val="4B793735"/>
    <w:multiLevelType w:val="hybridMultilevel"/>
    <w:lvl w:ilvl="0">
      <w:lvlJc w:val="left"/>
      <w:lvlText w:val="•"/>
      <w:numFmt w:val="bullet"/>
      <w:start w:val="1"/>
    </w:lvl>
  </w:abstractNum>
  <w:abstractNum w:abstractNumId="24">
    <w:nsid w:val="4A10B4E8"/>
    <w:multiLevelType w:val="hybridMultilevel"/>
    <w:lvl w:ilvl="0">
      <w:lvlJc w:val="left"/>
      <w:lvlText w:val="•"/>
      <w:numFmt w:val="bullet"/>
      <w:start w:val="1"/>
    </w:lvl>
  </w:abstractNum>
  <w:abstractNum w:abstractNumId="25">
    <w:nsid w:val="43D3BCD4"/>
    <w:multiLevelType w:val="hybridMultilevel"/>
    <w:lvl w:ilvl="0">
      <w:lvlJc w:val="left"/>
      <w:lvlText w:val="•"/>
      <w:numFmt w:val="bullet"/>
      <w:start w:val="1"/>
    </w:lvl>
  </w:abstractNum>
  <w:abstractNum w:abstractNumId="26">
    <w:nsid w:val="4C2A7166"/>
    <w:multiLevelType w:val="hybridMultilevel"/>
    <w:lvl w:ilvl="0">
      <w:lvlJc w:val="left"/>
      <w:lvlText w:val="•"/>
      <w:numFmt w:val="bullet"/>
      <w:start w:val="1"/>
    </w:lvl>
  </w:abstractNum>
  <w:abstractNum w:abstractNumId="27">
    <w:nsid w:val="2E534A82"/>
    <w:multiLevelType w:val="hybridMultilevel"/>
    <w:lvl w:ilvl="0">
      <w:lvlJc w:val="left"/>
      <w:lvlText w:val="•"/>
      <w:numFmt w:val="bullet"/>
      <w:start w:val="1"/>
    </w:lvl>
  </w:abstractNum>
  <w:abstractNum w:abstractNumId="28">
    <w:nsid w:val="26F2D364"/>
    <w:multiLevelType w:val="hybridMultilevel"/>
    <w:lvl w:ilvl="0">
      <w:lvlJc w:val="left"/>
      <w:lvlText w:val="•"/>
      <w:numFmt w:val="bullet"/>
      <w:start w:val="1"/>
    </w:lvl>
  </w:abstractNum>
  <w:abstractNum w:abstractNumId="29">
    <w:nsid w:val="71C1AF98"/>
    <w:multiLevelType w:val="hybridMultilevel"/>
    <w:lvl w:ilvl="0">
      <w:lvlJc w:val="left"/>
      <w:lvlText w:val="•"/>
      <w:numFmt w:val="bullet"/>
      <w:start w:val="1"/>
    </w:lvl>
  </w:abstractNum>
  <w:abstractNum w:abstractNumId="30">
    <w:nsid w:val="3D00B9D9"/>
    <w:multiLevelType w:val="hybridMultilevel"/>
    <w:lvl w:ilvl="0">
      <w:lvlJc w:val="left"/>
      <w:lvlText w:val="•"/>
      <w:numFmt w:val="bullet"/>
      <w:start w:val="1"/>
    </w:lvl>
  </w:abstractNum>
  <w:abstractNum w:abstractNumId="31">
    <w:nsid w:val="15BCABA8"/>
    <w:multiLevelType w:val="hybridMultilevel"/>
    <w:lvl w:ilvl="0">
      <w:lvlJc w:val="left"/>
      <w:lvlText w:val="•"/>
      <w:numFmt w:val="bullet"/>
      <w:start w:val="1"/>
    </w:lvl>
  </w:abstractNum>
  <w:abstractNum w:abstractNumId="32">
    <w:nsid w:val="4E0B9A87"/>
    <w:multiLevelType w:val="hybridMultilevel"/>
    <w:lvl w:ilvl="0">
      <w:lvlJc w:val="left"/>
      <w:lvlText w:val="•"/>
      <w:numFmt w:val="bullet"/>
      <w:start w:val="1"/>
    </w:lvl>
  </w:abstractNum>
  <w:abstractNum w:abstractNumId="33">
    <w:nsid w:val="434BAE75"/>
    <w:multiLevelType w:val="hybridMultilevel"/>
    <w:lvl w:ilvl="0">
      <w:lvlJc w:val="left"/>
      <w:lvlText w:val="•"/>
      <w:numFmt w:val="bullet"/>
      <w:start w:val="1"/>
    </w:lvl>
  </w:abstractNum>
  <w:abstractNum w:abstractNumId="34">
    <w:nsid w:val="4F38F265"/>
    <w:multiLevelType w:val="hybridMultilevel"/>
    <w:lvl w:ilvl="0">
      <w:lvlJc w:val="left"/>
      <w:lvlText w:val="•"/>
      <w:numFmt w:val="bullet"/>
      <w:start w:val="1"/>
    </w:lvl>
  </w:abstractNum>
  <w:abstractNum w:abstractNumId="35">
    <w:nsid w:val="4C502870"/>
    <w:multiLevelType w:val="hybridMultilevel"/>
    <w:lvl w:ilvl="0">
      <w:lvlJc w:val="left"/>
      <w:lvlText w:val="•"/>
      <w:numFmt w:val="bullet"/>
      <w:start w:val="1"/>
    </w:lvl>
  </w:abstractNum>
  <w:abstractNum w:abstractNumId="36">
    <w:nsid w:val="1DE8725A"/>
    <w:multiLevelType w:val="hybridMultilevel"/>
    <w:lvl w:ilvl="0">
      <w:lvlJc w:val="left"/>
      <w:lvlText w:val="•"/>
      <w:numFmt w:val="bullet"/>
      <w:start w:val="1"/>
    </w:lvl>
  </w:abstractNum>
  <w:abstractNum w:abstractNumId="37">
    <w:nsid w:val="6A37288A"/>
    <w:multiLevelType w:val="hybridMultilevel"/>
    <w:lvl w:ilvl="0">
      <w:lvlJc w:val="left"/>
      <w:lvlText w:val="•"/>
      <w:numFmt w:val="bullet"/>
      <w:start w:val="1"/>
    </w:lvl>
  </w:abstractNum>
  <w:abstractNum w:abstractNumId="38">
    <w:nsid w:val="8F8B73F"/>
    <w:multiLevelType w:val="hybridMultilevel"/>
    <w:lvl w:ilvl="0">
      <w:lvlJc w:val="left"/>
      <w:lvlText w:val="•"/>
      <w:numFmt w:val="bullet"/>
      <w:start w:val="1"/>
    </w:lvl>
  </w:abstractNum>
  <w:abstractNum w:abstractNumId="39">
    <w:nsid w:val="CA6B462"/>
    <w:multiLevelType w:val="hybridMultilevel"/>
    <w:lvl w:ilvl="0">
      <w:lvlJc w:val="left"/>
      <w:lvlText w:val="(%1)"/>
      <w:numFmt w:val="lowerRoman"/>
      <w:start w:val="2"/>
    </w:lvl>
  </w:abstractNum>
  <w:abstractNum w:abstractNumId="40">
    <w:nsid w:val="763CB680"/>
    <w:multiLevelType w:val="hybridMultilevel"/>
    <w:lvl w:ilvl="0">
      <w:lvlJc w:val="left"/>
      <w:lvlText w:val="•"/>
      <w:numFmt w:val="bullet"/>
      <w:start w:val="1"/>
    </w:lvl>
  </w:abstractNum>
  <w:abstractNum w:abstractNumId="41">
    <w:nsid w:val="15B71329"/>
    <w:multiLevelType w:val="hybridMultilevel"/>
    <w:lvl w:ilvl="0">
      <w:lvlJc w:val="left"/>
      <w:lvlText w:val="•"/>
      <w:numFmt w:val="bullet"/>
      <w:start w:val="1"/>
    </w:lvl>
  </w:abstractNum>
  <w:abstractNum w:abstractNumId="42">
    <w:nsid w:val="3DA97044"/>
    <w:multiLevelType w:val="hybridMultilevel"/>
    <w:lvl w:ilvl="0">
      <w:lvlJc w:val="left"/>
      <w:lvlText w:val="•"/>
      <w:numFmt w:val="bullet"/>
      <w:start w:val="1"/>
    </w:lvl>
  </w:abstractNum>
  <w:abstractNum w:abstractNumId="43">
    <w:nsid w:val="1CDCE2DE"/>
    <w:multiLevelType w:val="hybridMultilevel"/>
    <w:lvl w:ilvl="0">
      <w:lvlJc w:val="left"/>
      <w:lvlText w:val="•"/>
      <w:numFmt w:val="bullet"/>
      <w:start w:val="1"/>
    </w:lvl>
  </w:abstractNum>
  <w:abstractNum w:abstractNumId="44">
    <w:nsid w:val="69D3947C"/>
    <w:multiLevelType w:val="hybridMultilevel"/>
    <w:lvl w:ilvl="0">
      <w:lvlJc w:val="left"/>
      <w:lvlText w:val="•"/>
      <w:numFmt w:val="bullet"/>
      <w:start w:val="1"/>
    </w:lvl>
  </w:abstractNum>
  <w:abstractNum w:abstractNumId="45">
    <w:nsid w:val="2539DFA5"/>
    <w:multiLevelType w:val="hybridMultilevel"/>
    <w:lvl w:ilvl="0">
      <w:lvlJc w:val="left"/>
      <w:lvlText w:val="•"/>
      <w:numFmt w:val="bullet"/>
      <w:start w:val="1"/>
    </w:lvl>
  </w:abstractNum>
  <w:abstractNum w:abstractNumId="46">
    <w:nsid w:val="2DB88089"/>
    <w:multiLevelType w:val="hybridMultilevel"/>
    <w:lvl w:ilvl="0">
      <w:lvlJc w:val="left"/>
      <w:lvlText w:val="•"/>
      <w:numFmt w:val="bullet"/>
      <w:start w:val="1"/>
    </w:lvl>
  </w:abstractNum>
  <w:abstractNum w:abstractNumId="47">
    <w:nsid w:val="706B674E"/>
    <w:multiLevelType w:val="hybridMultilevel"/>
    <w:lvl w:ilvl="0">
      <w:lvlJc w:val="left"/>
      <w:lvlText w:val="(%1)"/>
      <w:numFmt w:val="decimal"/>
      <w:start w:val="1"/>
    </w:lvl>
  </w:abstractNum>
  <w:abstractNum w:abstractNumId="48">
    <w:nsid w:val="2C106A57"/>
    <w:multiLevelType w:val="hybridMultilevel"/>
    <w:lvl w:ilvl="0">
      <w:lvlJc w:val="left"/>
      <w:lvlText w:val="(%1)"/>
      <w:numFmt w:val="decimal"/>
      <w:start w:val="1"/>
    </w:lvl>
  </w:abstractNum>
  <w:abstractNum w:abstractNumId="49">
    <w:nsid w:val="684EED59"/>
    <w:multiLevelType w:val="hybridMultilevel"/>
    <w:lvl w:ilvl="0">
      <w:lvlJc w:val="left"/>
      <w:lvlText w:val="(%1)"/>
      <w:numFmt w:val="decimal"/>
      <w:start w:val="1"/>
    </w:lvl>
  </w:abstractNum>
  <w:abstractNum w:abstractNumId="50">
    <w:nsid w:val="545EE5D3"/>
    <w:multiLevelType w:val="hybridMultilevel"/>
    <w:lvl w:ilvl="0">
      <w:lvlJc w:val="left"/>
      <w:lvlText w:val="(%1)"/>
      <w:numFmt w:val="decimal"/>
      <w:start w:val="1"/>
    </w:lvl>
  </w:abstractNum>
  <w:abstractNum w:abstractNumId="51">
    <w:nsid w:val="4A66051"/>
    <w:multiLevelType w:val="hybridMultilevel"/>
    <w:lvl w:ilvl="0">
      <w:lvlJc w:val="left"/>
      <w:lvlText w:val="%1."/>
      <w:numFmt w:val="decimal"/>
      <w:start w:val="1"/>
    </w:lvl>
  </w:abstractNum>
  <w:abstractNum w:abstractNumId="52">
    <w:nsid w:val="20F4BDAD"/>
    <w:multiLevelType w:val="hybridMultilevel"/>
    <w:lvl w:ilvl="0">
      <w:lvlJc w:val="left"/>
      <w:lvlText w:val="%1."/>
      <w:numFmt w:val="decimal"/>
      <w:start w:val="2"/>
    </w:lvl>
  </w:abstractNum>
  <w:abstractNum w:abstractNumId="53">
    <w:nsid w:val="639DEFAC"/>
    <w:multiLevelType w:val="hybridMultilevel"/>
    <w:lvl w:ilvl="0">
      <w:lvlJc w:val="left"/>
      <w:lvlText w:val="%1."/>
      <w:numFmt w:val="decimal"/>
      <w:start w:val="3"/>
    </w:lvl>
  </w:abstractNum>
  <w:abstractNum w:abstractNumId="54">
    <w:nsid w:val="501F9786"/>
    <w:multiLevelType w:val="hybridMultilevel"/>
    <w:lvl w:ilvl="0">
      <w:lvlJc w:val="left"/>
      <w:lvlText w:val="%1."/>
      <w:numFmt w:val="decimal"/>
      <w:start w:val="4"/>
    </w:lvl>
  </w:abstractNum>
  <w:abstractNum w:abstractNumId="55">
    <w:nsid w:val="6B057295"/>
    <w:multiLevelType w:val="hybridMultilevel"/>
    <w:lvl w:ilvl="0">
      <w:lvlJc w:val="left"/>
      <w:lvlText w:val="(%1)"/>
      <w:numFmt w:val="lowerLetter"/>
      <w:start w:val="1"/>
    </w:lvl>
  </w:abstractNum>
  <w:abstractNum w:abstractNumId="56">
    <w:nsid w:val="2771AC80"/>
    <w:multiLevelType w:val="hybridMultilevel"/>
    <w:lvl w:ilvl="0">
      <w:lvlJc w:val="left"/>
      <w:lvlText w:val="(%1)"/>
      <w:numFmt w:val="lowerLetter"/>
      <w:start w:val="2"/>
    </w:lvl>
  </w:abstractNum>
  <w:abstractNum w:abstractNumId="57">
    <w:nsid w:val="1C4A08EC"/>
    <w:multiLevelType w:val="hybridMultilevel"/>
    <w:lvl w:ilvl="0">
      <w:lvlJc w:val="left"/>
      <w:lvlText w:val="(%1)"/>
      <w:numFmt w:val="lowerLetter"/>
      <w:start w:val="3"/>
    </w:lvl>
  </w:abstractNum>
  <w:abstractNum w:abstractNumId="58">
    <w:nsid w:val="1958BD17"/>
    <w:multiLevelType w:val="hybridMultilevel"/>
    <w:lvl w:ilvl="0">
      <w:lvlJc w:val="left"/>
      <w:lvlText w:val="(%1)"/>
      <w:numFmt w:val="lowerLetter"/>
      <w:start w:val="6"/>
    </w:lvl>
  </w:abstractNum>
  <w:abstractNum w:abstractNumId="59">
    <w:nsid w:val="4E647FE4"/>
    <w:multiLevelType w:val="hybridMultilevel"/>
    <w:lvl w:ilvl="0">
      <w:lvlJc w:val="left"/>
      <w:lvlText w:val="%1."/>
      <w:numFmt w:val="decimal"/>
      <w:start w:val="5"/>
    </w:lvl>
  </w:abstractNum>
  <w:abstractNum w:abstractNumId="60">
    <w:nsid w:val="E0BB885"/>
    <w:multiLevelType w:val="hybridMultilevel"/>
    <w:lvl w:ilvl="0">
      <w:lvlJc w:val="left"/>
      <w:lvlText w:val="•"/>
      <w:numFmt w:val="bullet"/>
      <w:start w:val="1"/>
    </w:lvl>
  </w:abstractNum>
  <w:abstractNum w:abstractNumId="61">
    <w:nsid w:val="565976F1"/>
    <w:multiLevelType w:val="hybridMultilevel"/>
    <w:lvl w:ilvl="0">
      <w:lvlJc w:val="left"/>
      <w:lvlText w:val="•"/>
      <w:numFmt w:val="bullet"/>
      <w:start w:val="1"/>
    </w:lvl>
  </w:abstractNum>
  <w:abstractNum w:abstractNumId="62">
    <w:nsid w:val="64212B8C"/>
    <w:multiLevelType w:val="hybridMultilevel"/>
    <w:lvl w:ilvl="0">
      <w:lvlJc w:val="left"/>
      <w:lvlText w:val="•"/>
      <w:numFmt w:val="bullet"/>
      <w:start w:val="1"/>
    </w:lvl>
  </w:abstractNum>
  <w:abstractNum w:abstractNumId="63">
    <w:nsid w:val="5C17530C"/>
    <w:multiLevelType w:val="hybridMultilevel"/>
    <w:lvl w:ilvl="0">
      <w:lvlJc w:val="left"/>
      <w:lvlText w:val="•"/>
      <w:numFmt w:val="bullet"/>
      <w:start w:val="1"/>
    </w:lvl>
  </w:abstractNum>
  <w:abstractNum w:abstractNumId="64">
    <w:nsid w:val="19A52566"/>
    <w:multiLevelType w:val="hybridMultilevel"/>
    <w:lvl w:ilvl="0">
      <w:lvlJc w:val="left"/>
      <w:lvlText w:val="•"/>
      <w:numFmt w:val="bullet"/>
      <w:start w:val="1"/>
    </w:lvl>
    <w:lvl w:ilvl="1">
      <w:lvlJc w:val="left"/>
      <w:lvlText w:val="•"/>
      <w:numFmt w:val="bullet"/>
      <w:start w:val="1"/>
    </w:lvl>
  </w:abstractNum>
  <w:abstractNum w:abstractNumId="65">
    <w:nsid w:val="335A1DF1"/>
    <w:multiLevelType w:val="hybridMultilevel"/>
    <w:lvl w:ilvl="0">
      <w:lvlJc w:val="left"/>
      <w:lvlText w:val="•"/>
      <w:numFmt w:val="bullet"/>
      <w:start w:val="1"/>
    </w:lvl>
  </w:abstractNum>
  <w:abstractNum w:abstractNumId="66">
    <w:nsid w:val="28677B7C"/>
    <w:multiLevelType w:val="hybridMultilevel"/>
    <w:lvl w:ilvl="0">
      <w:lvlJc w:val="left"/>
      <w:lvlText w:val="•"/>
      <w:numFmt w:val="bullet"/>
      <w:start w:val="1"/>
    </w:lvl>
  </w:abstractNum>
  <w:abstractNum w:abstractNumId="67">
    <w:nsid w:val="378D97C0"/>
    <w:multiLevelType w:val="hybridMultilevel"/>
    <w:lvl w:ilvl="0">
      <w:lvlJc w:val="left"/>
      <w:lvlText w:val="1"/>
      <w:numFmt w:val="bullet"/>
      <w:start w:val="1"/>
    </w:lvl>
  </w:abstractNum>
  <w:abstractNum w:abstractNumId="68">
    <w:nsid w:val="1D91467C"/>
    <w:multiLevelType w:val="hybridMultilevel"/>
    <w:lvl w:ilvl="0">
      <w:lvlJc w:val="left"/>
      <w:lvlText w:val="2"/>
      <w:numFmt w:val="bullet"/>
      <w:start w:val="1"/>
    </w:lvl>
  </w:abstractNum>
  <w:abstractNum w:abstractNumId="69">
    <w:nsid w:val="316032BB"/>
    <w:multiLevelType w:val="hybridMultilevel"/>
    <w:lvl w:ilvl="0">
      <w:lvlJc w:val="left"/>
      <w:lvlText w:val="3"/>
      <w:numFmt w:val="bullet"/>
      <w:start w:val="1"/>
    </w:lvl>
  </w:abstractNum>
  <w:abstractNum w:abstractNumId="70">
    <w:nsid w:val="44344C22"/>
    <w:multiLevelType w:val="hybridMultilevel"/>
    <w:lvl w:ilvl="0">
      <w:lvlJc w:val="left"/>
      <w:lvlText w:val="•"/>
      <w:numFmt w:val="bullet"/>
      <w:start w:val="1"/>
    </w:lvl>
  </w:abstractNum>
  <w:abstractNum w:abstractNumId="71">
    <w:nsid w:val="13CDFCFC"/>
    <w:multiLevelType w:val="hybridMultilevel"/>
    <w:lvl w:ilvl="0">
      <w:lvlJc w:val="left"/>
      <w:lvlText w:val="•"/>
      <w:numFmt w:val="bullet"/>
      <w:start w:val="1"/>
    </w:lvl>
  </w:abstractNum>
  <w:abstractNum w:abstractNumId="72">
    <w:nsid w:val="471745E4"/>
    <w:multiLevelType w:val="hybridMultilevel"/>
    <w:lvl w:ilvl="0">
      <w:lvlJc w:val="left"/>
      <w:lvlText w:val="•"/>
      <w:numFmt w:val="bullet"/>
      <w:start w:val="1"/>
    </w:lvl>
  </w:abstractNum>
  <w:abstractNum w:abstractNumId="73">
    <w:nsid w:val="1DDBC66"/>
    <w:multiLevelType w:val="hybridMultilevel"/>
    <w:lvl w:ilvl="0">
      <w:lvlJc w:val="left"/>
      <w:lvlText w:val="•"/>
      <w:numFmt w:val="bullet"/>
      <w:start w:val="1"/>
    </w:lvl>
  </w:abstractNum>
  <w:abstractNum w:abstractNumId="74">
    <w:nsid w:val="30AADFDA"/>
    <w:multiLevelType w:val="hybridMultilevel"/>
    <w:lvl w:ilvl="0">
      <w:lvlJc w:val="left"/>
      <w:lvlText w:val="•"/>
      <w:numFmt w:val="bullet"/>
      <w:start w:val="1"/>
    </w:lvl>
  </w:abstractNum>
  <w:abstractNum w:abstractNumId="75">
    <w:nsid w:val="30EADA61"/>
    <w:multiLevelType w:val="hybridMultilevel"/>
    <w:lvl w:ilvl="0">
      <w:lvlJc w:val="left"/>
      <w:lvlText w:val="•"/>
      <w:numFmt w:val="bullet"/>
      <w:start w:val="1"/>
    </w:lvl>
  </w:abstractNum>
  <w:abstractNum w:abstractNumId="76">
    <w:nsid w:val="27179C0B"/>
    <w:multiLevelType w:val="hybridMultilevel"/>
    <w:lvl w:ilvl="0">
      <w:lvlJc w:val="left"/>
      <w:lvlText w:val="•"/>
      <w:numFmt w:val="bullet"/>
      <w:start w:val="1"/>
    </w:lvl>
  </w:abstractNum>
  <w:abstractNum w:abstractNumId="77">
    <w:nsid w:val="5E636063"/>
    <w:multiLevelType w:val="hybridMultilevel"/>
    <w:lvl w:ilvl="0">
      <w:lvlJc w:val="left"/>
      <w:lvlText w:val="•"/>
      <w:numFmt w:val="bullet"/>
      <w:start w:val="1"/>
    </w:lvl>
  </w:abstractNum>
  <w:abstractNum w:abstractNumId="78">
    <w:nsid w:val="215641AF"/>
    <w:multiLevelType w:val="hybridMultilevel"/>
    <w:lvl w:ilvl="0">
      <w:lvlJc w:val="left"/>
      <w:lvlText w:val="•"/>
      <w:numFmt w:val="bullet"/>
      <w:start w:val="1"/>
    </w:lvl>
  </w:abstractNum>
  <w:abstractNum w:abstractNumId="79">
    <w:nsid w:val="53280662"/>
    <w:multiLevelType w:val="hybridMultilevel"/>
    <w:lvl w:ilvl="0">
      <w:lvlJc w:val="left"/>
      <w:lvlText w:val="%1."/>
      <w:numFmt w:val="lowerLetter"/>
      <w:start w:val="1"/>
    </w:lvl>
    <w:lvl w:ilvl="1">
      <w:lvlJc w:val="left"/>
      <w:lvlText w:val="•"/>
      <w:numFmt w:val="bullet"/>
      <w:start w:val="1"/>
    </w:lvl>
  </w:abstractNum>
  <w:abstractNum w:abstractNumId="80">
    <w:nsid w:val="46B24DBC"/>
    <w:multiLevelType w:val="hybridMultilevel"/>
    <w:lvl w:ilvl="0">
      <w:lvlJc w:val="left"/>
      <w:lvlText w:val="%1."/>
      <w:numFmt w:val="lowerLetter"/>
      <w:start w:val="3"/>
    </w:lvl>
    <w:lvl w:ilvl="1">
      <w:lvlJc w:val="left"/>
      <w:lvlText w:val="•"/>
      <w:numFmt w:val="bullet"/>
      <w:start w:val="1"/>
    </w:lvl>
  </w:abstractNum>
  <w:abstractNum w:abstractNumId="81">
    <w:nsid w:val="75B52783"/>
    <w:multiLevelType w:val="hybridMultilevel"/>
    <w:lvl w:ilvl="0">
      <w:lvlJc w:val="left"/>
      <w:lvlText w:val="(%1)"/>
      <w:numFmt w:val="lowerRoman"/>
      <w:start w:val="1"/>
    </w:lvl>
  </w:abstractNum>
  <w:abstractNum w:abstractNumId="82">
    <w:nsid w:val="57CE66B4"/>
    <w:multiLevelType w:val="hybridMultilevel"/>
    <w:lvl w:ilvl="0">
      <w:lvlJc w:val="left"/>
      <w:lvlText w:val="•"/>
      <w:numFmt w:val="bullet"/>
      <w:start w:val="1"/>
    </w:lvl>
  </w:abstractNum>
  <w:abstractNum w:abstractNumId="83">
    <w:nsid w:val="67A70B69"/>
    <w:multiLevelType w:val="hybridMultilevel"/>
    <w:lvl w:ilvl="0">
      <w:lvlJc w:val="left"/>
      <w:lvlText w:val="•"/>
      <w:numFmt w:val="bullet"/>
      <w:start w:val="1"/>
    </w:lvl>
  </w:abstractNum>
  <w:abstractNum w:abstractNumId="84">
    <w:nsid w:val="5953172F"/>
    <w:multiLevelType w:val="hybridMultilevel"/>
    <w:lvl w:ilvl="0">
      <w:lvlJc w:val="left"/>
      <w:lvlText w:val="•"/>
      <w:numFmt w:val="bullet"/>
      <w:start w:val="1"/>
    </w:lvl>
  </w:abstractNum>
  <w:abstractNum w:abstractNumId="85">
    <w:nsid w:val="27EDFE3A"/>
    <w:multiLevelType w:val="hybridMultilevel"/>
    <w:lvl w:ilvl="0">
      <w:lvlJc w:val="left"/>
      <w:lvlText w:val="•"/>
      <w:numFmt w:val="bullet"/>
      <w:start w:val="1"/>
    </w:lvl>
  </w:abstractNum>
  <w:abstractNum w:abstractNumId="86">
    <w:nsid w:val="52AC7DFF"/>
    <w:multiLevelType w:val="hybridMultilevel"/>
    <w:lvl w:ilvl="0">
      <w:lvlJc w:val="left"/>
      <w:lvlText w:val="•"/>
      <w:numFmt w:val="bullet"/>
      <w:start w:val="1"/>
    </w:lvl>
  </w:abstractNum>
  <w:abstractNum w:abstractNumId="87">
    <w:nsid w:val="C4C3AF"/>
    <w:multiLevelType w:val="hybridMultilevel"/>
    <w:lvl w:ilvl="0">
      <w:lvlJc w:val="left"/>
      <w:lvlText w:val="•"/>
      <w:numFmt w:val="bullet"/>
      <w:start w:val="1"/>
    </w:lvl>
  </w:abstractNum>
  <w:abstractNum w:abstractNumId="88">
    <w:nsid w:val="44380727"/>
    <w:multiLevelType w:val="hybridMultilevel"/>
    <w:lvl w:ilvl="0">
      <w:lvlJc w:val="left"/>
      <w:lvlText w:val="•"/>
      <w:numFmt w:val="bullet"/>
      <w:start w:val="1"/>
    </w:lvl>
  </w:abstractNum>
  <w:abstractNum w:abstractNumId="89">
    <w:nsid w:val="6C053B16"/>
    <w:multiLevelType w:val="hybridMultilevel"/>
    <w:lvl w:ilvl="0">
      <w:lvlJc w:val="left"/>
      <w:lvlText w:val="•"/>
      <w:numFmt w:val="bullet"/>
      <w:start w:val="1"/>
    </w:lvl>
  </w:abstractNum>
  <w:abstractNum w:abstractNumId="90">
    <w:nsid w:val="4F294393"/>
    <w:multiLevelType w:val="hybridMultilevel"/>
    <w:lvl w:ilvl="0">
      <w:lvlJc w:val="left"/>
      <w:lvlText w:val="•"/>
      <w:numFmt w:val="bullet"/>
      <w:start w:val="1"/>
    </w:lvl>
  </w:abstractNum>
  <w:abstractNum w:abstractNumId="91">
    <w:nsid w:val="5243BFAC"/>
    <w:multiLevelType w:val="hybridMultilevel"/>
    <w:lvl w:ilvl="0">
      <w:lvlJc w:val="left"/>
      <w:lvlText w:val="•"/>
      <w:numFmt w:val="bullet"/>
      <w:start w:val="1"/>
    </w:lvl>
  </w:abstractNum>
  <w:abstractNum w:abstractNumId="92">
    <w:nsid w:val="425EB207"/>
    <w:multiLevelType w:val="hybridMultilevel"/>
    <w:lvl w:ilvl="0">
      <w:lvlJc w:val="left"/>
      <w:lvlText w:val="•"/>
      <w:numFmt w:val="bullet"/>
      <w:start w:val="1"/>
    </w:lvl>
  </w:abstractNum>
  <w:abstractNum w:abstractNumId="93">
    <w:nsid w:val="334A6F1F"/>
    <w:multiLevelType w:val="hybridMultilevel"/>
    <w:lvl w:ilvl="0">
      <w:lvlJc w:val="left"/>
      <w:lvlText w:val="•"/>
      <w:numFmt w:val="bullet"/>
      <w:start w:val="1"/>
    </w:lvl>
  </w:abstractNum>
  <w:abstractNum w:abstractNumId="94">
    <w:nsid w:val="2E5B12B8"/>
    <w:multiLevelType w:val="hybridMultilevel"/>
    <w:lvl w:ilvl="0">
      <w:lvlJc w:val="left"/>
      <w:lvlText w:val="•"/>
      <w:numFmt w:val="bullet"/>
      <w:start w:val="1"/>
    </w:lvl>
  </w:abstractNum>
  <w:abstractNum w:abstractNumId="95">
    <w:nsid w:val="5C03D76D"/>
    <w:multiLevelType w:val="hybridMultilevel"/>
    <w:lvl w:ilvl="0">
      <w:lvlJc w:val="left"/>
      <w:lvlText w:val="(%1)"/>
      <w:numFmt w:val="decimal"/>
      <w:start w:val="1"/>
    </w:lvl>
  </w:abstractNum>
  <w:abstractNum w:abstractNumId="96">
    <w:nsid w:val="66A48D11"/>
    <w:multiLevelType w:val="hybridMultilevel"/>
    <w:lvl w:ilvl="0">
      <w:lvlJc w:val="left"/>
      <w:lvlText w:val="•"/>
      <w:numFmt w:val="bullet"/>
      <w:start w:val="1"/>
    </w:lvl>
  </w:abstractNum>
  <w:abstractNum w:abstractNumId="97">
    <w:nsid w:val="56C28E34"/>
    <w:multiLevelType w:val="hybridMultilevel"/>
    <w:lvl w:ilvl="0">
      <w:lvlJc w:val="left"/>
      <w:lvlText w:val="•"/>
      <w:numFmt w:val="bullet"/>
      <w:start w:val="1"/>
    </w:lvl>
  </w:abstractNum>
  <w:abstractNum w:abstractNumId="98">
    <w:nsid w:val="13916F2D"/>
    <w:multiLevelType w:val="hybridMultilevel"/>
    <w:lvl w:ilvl="0">
      <w:lvlJc w:val="left"/>
      <w:lvlText w:val="•"/>
      <w:numFmt w:val="bullet"/>
      <w:start w:val="1"/>
    </w:lvl>
  </w:abstractNum>
  <w:abstractNum w:abstractNumId="99">
    <w:nsid w:val="435D38D"/>
    <w:multiLevelType w:val="hybridMultilevel"/>
    <w:lvl w:ilvl="0">
      <w:lvlJc w:val="left"/>
      <w:lvlText w:val="•"/>
      <w:numFmt w:val="bullet"/>
      <w:start w:val="1"/>
    </w:lvl>
  </w:abstractNum>
  <w:abstractNum w:abstractNumId="100">
    <w:nsid w:val="822C0EF"/>
    <w:multiLevelType w:val="hybridMultilevel"/>
    <w:lvl w:ilvl="0">
      <w:lvlJc w:val="left"/>
      <w:lvlText w:val="•"/>
      <w:numFmt w:val="bullet"/>
      <w:start w:val="1"/>
    </w:lvl>
  </w:abstractNum>
  <w:abstractNum w:abstractNumId="101">
    <w:nsid w:val="57C5BB4F"/>
    <w:multiLevelType w:val="hybridMultilevel"/>
    <w:lvl w:ilvl="0">
      <w:lvlJc w:val="left"/>
      <w:lvlText w:val="(%1)"/>
      <w:numFmt w:val="decimal"/>
      <w:start w:val="1"/>
    </w:lvl>
  </w:abstractNum>
  <w:abstractNum w:abstractNumId="102">
    <w:nsid w:val="1803D089"/>
    <w:multiLevelType w:val="hybridMultilevel"/>
    <w:lvl w:ilvl="0">
      <w:lvlJc w:val="left"/>
      <w:lvlText w:val="(%1)"/>
      <w:numFmt w:val="decimal"/>
      <w:start w:val="1"/>
    </w:lvl>
  </w:abstractNum>
  <w:abstractNum w:abstractNumId="103">
    <w:nsid w:val="4F3A06D4"/>
    <w:multiLevelType w:val="hybridMultilevel"/>
    <w:lvl w:ilvl="0">
      <w:lvlJc w:val="left"/>
      <w:lvlText w:val="(%1)"/>
      <w:numFmt w:val="decimal"/>
      <w:start w:val="1"/>
    </w:lvl>
  </w:abstractNum>
  <w:abstractNum w:abstractNumId="104">
    <w:nsid w:val="59A377B6"/>
    <w:multiLevelType w:val="hybridMultilevel"/>
    <w:lvl w:ilvl="0">
      <w:lvlJc w:val="left"/>
      <w:lvlText w:val="•"/>
      <w:numFmt w:val="bullet"/>
      <w:start w:val="1"/>
    </w:lvl>
  </w:abstractNum>
  <w:abstractNum w:abstractNumId="105">
    <w:nsid w:val="48AEB063"/>
    <w:multiLevelType w:val="hybridMultilevel"/>
    <w:lvl w:ilvl="0">
      <w:lvlJc w:val="left"/>
      <w:lvlText w:val="(%1)"/>
      <w:numFmt w:val="lowerRoman"/>
      <w:start w:val="1"/>
    </w:lvl>
  </w:abstractNum>
  <w:abstractNum w:abstractNumId="106">
    <w:nsid w:val="24E135"/>
    <w:multiLevelType w:val="hybridMultilevel"/>
    <w:lvl w:ilvl="0">
      <w:lvlJc w:val="left"/>
      <w:lvlText w:val="•"/>
      <w:numFmt w:val="bullet"/>
      <w:start w:val="1"/>
    </w:lvl>
  </w:abstractNum>
  <w:abstractNum w:abstractNumId="107">
    <w:nsid w:val="BB13C1"/>
    <w:multiLevelType w:val="hybridMultilevel"/>
    <w:lvl w:ilvl="0">
      <w:lvlJc w:val="left"/>
      <w:lvlText w:val="(%1)"/>
      <w:numFmt w:val="lowerRoman"/>
      <w:start w:val="2"/>
    </w:lvl>
  </w:abstractNum>
  <w:abstractNum w:abstractNumId="108">
    <w:nsid w:val="271210C7"/>
    <w:multiLevelType w:val="hybridMultilevel"/>
    <w:lvl w:ilvl="0">
      <w:lvlJc w:val="left"/>
      <w:lvlText w:val="•"/>
      <w:numFmt w:val="bullet"/>
      <w:start w:val="1"/>
    </w:lvl>
  </w:abstractNum>
  <w:abstractNum w:abstractNumId="109">
    <w:nsid w:val="217B22E4"/>
    <w:multiLevelType w:val="hybridMultilevel"/>
    <w:lvl w:ilvl="0">
      <w:lvlJc w:val="left"/>
      <w:lvlText w:val="•"/>
      <w:numFmt w:val="bullet"/>
      <w:start w:val="1"/>
    </w:lvl>
  </w:abstractNum>
  <w:abstractNum w:abstractNumId="110">
    <w:nsid w:val="53E31A24"/>
    <w:multiLevelType w:val="hybridMultilevel"/>
    <w:lvl w:ilvl="0">
      <w:lvlJc w:val="left"/>
      <w:lvlText w:val="*"/>
      <w:numFmt w:val="bullet"/>
      <w:start w:val="1"/>
    </w:lvl>
  </w:abstractNum>
  <w:abstractNum w:abstractNumId="111">
    <w:nsid w:val="6DC45E83"/>
    <w:multiLevelType w:val="hybridMultilevel"/>
    <w:lvl w:ilvl="0">
      <w:lvlJc w:val="left"/>
      <w:lvlText w:val="(%1)"/>
      <w:numFmt w:val="decimal"/>
      <w:start w:val="1"/>
    </w:lvl>
  </w:abstractNum>
  <w:abstractNum w:abstractNumId="112">
    <w:nsid w:val="17304A67"/>
    <w:multiLevelType w:val="hybridMultilevel"/>
    <w:lvl w:ilvl="0">
      <w:lvlJc w:val="left"/>
      <w:lvlText w:val="*"/>
      <w:numFmt w:val="bullet"/>
      <w:start w:val="1"/>
    </w:lvl>
  </w:abstractNum>
  <w:abstractNum w:abstractNumId="113">
    <w:nsid w:val="2BB180D8"/>
    <w:multiLevelType w:val="hybridMultilevel"/>
    <w:lvl w:ilvl="0">
      <w:lvlJc w:val="left"/>
      <w:lvlText w:val="(%1)"/>
      <w:numFmt w:val="decimal"/>
      <w:start w:val="1"/>
    </w:lvl>
  </w:abstractNum>
  <w:abstractNum w:abstractNumId="114">
    <w:nsid w:val="556B69ED"/>
    <w:multiLevelType w:val="hybridMultilevel"/>
    <w:lvl w:ilvl="0">
      <w:lvlJc w:val="left"/>
      <w:lvlText w:val="(%1)"/>
      <w:numFmt w:val="decimal"/>
      <w:start w:val="4"/>
    </w:lvl>
  </w:abstractNum>
  <w:abstractNum w:abstractNumId="115">
    <w:nsid w:val="70836196"/>
    <w:multiLevelType w:val="hybridMultilevel"/>
    <w:lvl w:ilvl="0">
      <w:lvlJc w:val="left"/>
      <w:lvlText w:val="•"/>
      <w:numFmt w:val="bullet"/>
      <w:start w:val="1"/>
    </w:lvl>
  </w:abstractNum>
  <w:abstractNum w:abstractNumId="116">
    <w:nsid w:val="539F7F12"/>
    <w:multiLevelType w:val="hybridMultilevel"/>
    <w:lvl w:ilvl="0">
      <w:lvlJc w:val="left"/>
      <w:lvlText w:val="(%1)"/>
      <w:numFmt w:val="lowerRoman"/>
      <w:start w:val="1"/>
    </w:lvl>
  </w:abstractNum>
  <w:abstractNum w:abstractNumId="117">
    <w:nsid w:val="2817E7EC"/>
    <w:multiLevelType w:val="hybridMultilevel"/>
    <w:lvl w:ilvl="0">
      <w:lvlJc w:val="left"/>
      <w:lvlText w:val="•"/>
      <w:numFmt w:val="bullet"/>
      <w:start w:val="1"/>
    </w:lvl>
  </w:abstractNum>
  <w:abstractNum w:abstractNumId="118">
    <w:nsid w:val="71482545"/>
    <w:multiLevelType w:val="hybridMultilevel"/>
    <w:lvl w:ilvl="0">
      <w:lvlJc w:val="left"/>
      <w:lvlText w:val="•"/>
      <w:numFmt w:val="bullet"/>
      <w:start w:val="1"/>
    </w:lvl>
  </w:abstractNum>
  <w:abstractNum w:abstractNumId="119">
    <w:nsid w:val="17D78639"/>
    <w:multiLevelType w:val="hybridMultilevel"/>
    <w:lvl w:ilvl="0">
      <w:lvlJc w:val="left"/>
      <w:lvlText w:val="(%1)"/>
      <w:numFmt w:val="lowerRoman"/>
      <w:start w:val="2"/>
    </w:lvl>
  </w:abstractNum>
  <w:abstractNum w:abstractNumId="120">
    <w:nsid w:val="141D2302"/>
    <w:multiLevelType w:val="hybridMultilevel"/>
    <w:lvl w:ilvl="0">
      <w:lvlJc w:val="left"/>
      <w:lvlText w:val="(%1)"/>
      <w:numFmt w:val="lowerRoman"/>
      <w:start w:val="1"/>
    </w:lvl>
    <w:lvl w:ilvl="1">
      <w:lvlJc w:val="left"/>
      <w:lvlText w:val="%2."/>
      <w:numFmt w:val="decimal"/>
      <w:start w:val="1"/>
    </w:lvl>
  </w:abstractNum>
  <w:abstractNum w:abstractNumId="121">
    <w:nsid w:val="407168D8"/>
    <w:multiLevelType w:val="hybridMultilevel"/>
    <w:lvl w:ilvl="0">
      <w:lvlJc w:val="left"/>
      <w:lvlText w:val="%1."/>
      <w:numFmt w:val="decimal"/>
      <w:start w:val="2"/>
    </w:lvl>
  </w:abstractNum>
  <w:abstractNum w:abstractNumId="122">
    <w:nsid w:val="6A1B45E5"/>
    <w:multiLevelType w:val="hybridMultilevel"/>
    <w:lvl w:ilvl="0">
      <w:lvlJc w:val="left"/>
      <w:lvlText w:val="(%1)"/>
      <w:numFmt w:val="lowerRoman"/>
      <w:start w:val="3"/>
    </w:lvl>
  </w:abstractNum>
  <w:abstractNum w:abstractNumId="123">
    <w:nsid w:val="567BD50A"/>
    <w:multiLevelType w:val="hybridMultilevel"/>
    <w:lvl w:ilvl="0">
      <w:lvlJc w:val="left"/>
      <w:lvlText w:val="(%1)"/>
      <w:numFmt w:val="lowerRoman"/>
      <w:start w:val="1"/>
    </w:lvl>
  </w:abstractNum>
  <w:abstractNum w:abstractNumId="124">
    <w:nsid w:val="73BBD7F8"/>
    <w:multiLevelType w:val="hybridMultilevel"/>
    <w:lvl w:ilvl="0">
      <w:lvlJc w:val="left"/>
      <w:lvlText w:val="(%1)"/>
      <w:numFmt w:val="lowerRoman"/>
      <w:start w:val="1"/>
    </w:lvl>
  </w:abstractNum>
  <w:abstractNum w:abstractNumId="125">
    <w:nsid w:val="1876589D"/>
    <w:multiLevelType w:val="hybridMultilevel"/>
    <w:lvl w:ilvl="0">
      <w:lvlJc w:val="left"/>
      <w:lvlText w:val="(%1)"/>
      <w:numFmt w:val="lowerRoman"/>
      <w:start w:val="2"/>
    </w:lvl>
    <w:lvl w:ilvl="1">
      <w:lvlJc w:val="left"/>
      <w:lvlText w:val="%2."/>
      <w:numFmt w:val="lowerLetter"/>
      <w:start w:val="1"/>
    </w:lvl>
  </w:abstractNum>
  <w:abstractNum w:abstractNumId="126">
    <w:nsid w:val="327FAC77"/>
    <w:multiLevelType w:val="hybridMultilevel"/>
    <w:lvl w:ilvl="0">
      <w:lvlJc w:val="left"/>
      <w:lvlText w:val="%1."/>
      <w:numFmt w:val="lowerRoman"/>
      <w:start w:val="1"/>
    </w:lvl>
  </w:abstractNum>
  <w:abstractNum w:abstractNumId="127">
    <w:nsid w:val="5A606509"/>
    <w:multiLevelType w:val="hybridMultilevel"/>
    <w:lvl w:ilvl="0">
      <w:lvlJc w:val="left"/>
      <w:lvlText w:val="(%1)"/>
      <w:numFmt w:val="lowerRoman"/>
      <w:start w:val="1"/>
    </w:lvl>
  </w:abstractNum>
  <w:abstractNum w:abstractNumId="128">
    <w:nsid w:val="6F38E6D1"/>
    <w:multiLevelType w:val="hybridMultilevel"/>
    <w:lvl w:ilvl="0">
      <w:lvlJc w:val="left"/>
      <w:lvlText w:val="(%1)"/>
      <w:numFmt w:val="lowerRoman"/>
      <w:start w:val="1"/>
    </w:lvl>
  </w:abstractNum>
  <w:abstractNum w:abstractNumId="129">
    <w:nsid w:val="46111BA5"/>
    <w:multiLevelType w:val="hybridMultilevel"/>
    <w:lvl w:ilvl="0">
      <w:lvlJc w:val="left"/>
      <w:lvlText w:val="(%1)"/>
      <w:numFmt w:val="lowerRoman"/>
      <w:start w:val="1"/>
    </w:lvl>
  </w:abstractNum>
  <w:abstractNum w:abstractNumId="130">
    <w:nsid w:val="5E963896"/>
    <w:multiLevelType w:val="hybridMultilevel"/>
    <w:lvl w:ilvl="0">
      <w:lvlJc w:val="left"/>
      <w:lvlText w:val="•"/>
      <w:numFmt w:val="bullet"/>
      <w:start w:val="1"/>
    </w:lvl>
  </w:abstractNum>
  <w:abstractNum w:abstractNumId="131">
    <w:nsid w:val="775BA7C1"/>
    <w:multiLevelType w:val="hybridMultilevel"/>
    <w:lvl w:ilvl="0">
      <w:lvlJc w:val="left"/>
      <w:lvlText w:val="(%1)"/>
      <w:numFmt w:val="lowerRoman"/>
      <w:start w:val="1"/>
    </w:lvl>
  </w:abstractNum>
  <w:abstractNum w:abstractNumId="132">
    <w:nsid w:val="1DD6D6F4"/>
    <w:multiLevelType w:val="hybridMultilevel"/>
    <w:lvl w:ilvl="0">
      <w:lvlJc w:val="left"/>
      <w:lvlText w:val="•"/>
      <w:numFmt w:val="bullet"/>
      <w:start w:val="1"/>
    </w:lvl>
  </w:abstractNum>
  <w:abstractNum w:abstractNumId="133">
    <w:nsid w:val="769A091F"/>
    <w:multiLevelType w:val="hybridMultilevel"/>
    <w:lvl w:ilvl="0">
      <w:lvlJc w:val="left"/>
      <w:lvlText w:val="•"/>
      <w:numFmt w:val="bullet"/>
      <w:start w:val="1"/>
    </w:lvl>
  </w:abstractNum>
  <w:abstractNum w:abstractNumId="134">
    <w:nsid w:val="4695AE95"/>
    <w:multiLevelType w:val="hybridMultilevel"/>
    <w:lvl w:ilvl="0">
      <w:lvlJc w:val="left"/>
      <w:lvlText w:val="•"/>
      <w:numFmt w:val="bullet"/>
      <w:start w:val="1"/>
    </w:lvl>
  </w:abstractNum>
  <w:abstractNum w:abstractNumId="135">
    <w:nsid w:val="777A4EAA"/>
    <w:multiLevelType w:val="hybridMultilevel"/>
    <w:lvl w:ilvl="0">
      <w:lvlJc w:val="left"/>
      <w:lvlText w:val="(%1)"/>
      <w:numFmt w:val="lowerRoman"/>
      <w:start w:val="1"/>
    </w:lvl>
  </w:abstractNum>
  <w:abstractNum w:abstractNumId="136">
    <w:nsid w:val="3F48B982"/>
    <w:multiLevelType w:val="hybridMultilevel"/>
    <w:lvl w:ilvl="0">
      <w:lvlJc w:val="left"/>
      <w:lvlText w:val="(%1)"/>
      <w:numFmt w:val="lowerRoman"/>
      <w:start w:val="3"/>
    </w:lvl>
  </w:abstractNum>
  <w:abstractNum w:abstractNumId="137">
    <w:nsid w:val="46BA8FCA"/>
    <w:multiLevelType w:val="hybridMultilevel"/>
    <w:lvl w:ilvl="0">
      <w:lvlJc w:val="left"/>
      <w:lvlText w:val="•"/>
      <w:numFmt w:val="bullet"/>
      <w:start w:val="1"/>
    </w:lvl>
  </w:abstractNum>
  <w:abstractNum w:abstractNumId="138">
    <w:nsid w:val="7835626C"/>
    <w:multiLevelType w:val="hybridMultilevel"/>
    <w:lvl w:ilvl="0">
      <w:lvlJc w:val="left"/>
      <w:lvlText w:val="•"/>
      <w:numFmt w:val="bullet"/>
      <w:start w:val="1"/>
    </w:lvl>
  </w:abstractNum>
  <w:abstractNum w:abstractNumId="139">
    <w:nsid w:val="665ACA49"/>
    <w:multiLevelType w:val="hybridMultilevel"/>
    <w:lvl w:ilvl="0">
      <w:lvlJc w:val="left"/>
      <w:lvlText w:val="•"/>
      <w:numFmt w:val="bullet"/>
      <w:start w:val="1"/>
    </w:lvl>
  </w:abstractNum>
  <w:abstractNum w:abstractNumId="140">
    <w:nsid w:val="6835B2AE"/>
    <w:multiLevelType w:val="hybridMultilevel"/>
    <w:lvl w:ilvl="0">
      <w:lvlJc w:val="left"/>
      <w:lvlText w:val="(%1)"/>
      <w:numFmt w:val="lowerRoman"/>
      <w:start w:val="1"/>
    </w:lvl>
  </w:abstractNum>
  <w:abstractNum w:abstractNumId="141">
    <w:nsid w:val="4C187C90"/>
    <w:multiLevelType w:val="hybridMultilevel"/>
    <w:lvl w:ilvl="0">
      <w:lvlJc w:val="left"/>
      <w:lvlText w:val="(%1)"/>
      <w:numFmt w:val="lowerRoman"/>
      <w:start w:val="1"/>
    </w:lvl>
  </w:abstractNum>
  <w:abstractNum w:abstractNumId="142">
    <w:nsid w:val="541F28CD"/>
    <w:multiLevelType w:val="hybridMultilevel"/>
    <w:lvl w:ilvl="0">
      <w:lvlJc w:val="left"/>
      <w:lvlText w:val="(%1)"/>
      <w:numFmt w:val="lowerRoman"/>
      <w:start w:val="2"/>
    </w:lvl>
  </w:abstractNum>
  <w:abstractNum w:abstractNumId="143">
    <w:nsid w:val="7F65FD16"/>
    <w:multiLevelType w:val="hybridMultilevel"/>
    <w:lvl w:ilvl="0">
      <w:lvlJc w:val="left"/>
      <w:lvlText w:val="•"/>
      <w:numFmt w:val="bullet"/>
      <w:start w:val="1"/>
    </w:lvl>
  </w:abstractNum>
  <w:abstractNum w:abstractNumId="144">
    <w:nsid w:val="77C9FD68"/>
    <w:multiLevelType w:val="hybridMultilevel"/>
    <w:lvl w:ilvl="0">
      <w:lvlJc w:val="left"/>
      <w:lvlText w:val="•"/>
      <w:numFmt w:val="bullet"/>
      <w:start w:val="1"/>
    </w:lvl>
  </w:abstractNum>
  <w:abstractNum w:abstractNumId="145">
    <w:nsid w:val="298A92BA"/>
    <w:multiLevelType w:val="hybridMultilevel"/>
    <w:lvl w:ilvl="0">
      <w:lvlJc w:val="left"/>
      <w:lvlText w:val="•"/>
      <w:numFmt w:val="bullet"/>
      <w:start w:val="1"/>
    </w:lvl>
  </w:abstractNum>
  <w:abstractNum w:abstractNumId="146">
    <w:nsid w:val="6FE95EAC"/>
    <w:multiLevelType w:val="hybridMultilevel"/>
    <w:lvl w:ilvl="0">
      <w:lvlJc w:val="left"/>
      <w:lvlText w:val="•"/>
      <w:numFmt w:val="bullet"/>
      <w:start w:val="1"/>
    </w:lvl>
  </w:abstractNum>
  <w:abstractNum w:abstractNumId="147">
    <w:nsid w:val="4B697C7A"/>
    <w:multiLevelType w:val="hybridMultilevel"/>
    <w:lvl w:ilvl="0">
      <w:lvlJc w:val="left"/>
      <w:lvlText w:val="•"/>
      <w:numFmt w:val="bullet"/>
      <w:start w:val="1"/>
    </w:lvl>
  </w:abstractNum>
  <w:abstractNum w:abstractNumId="148">
    <w:nsid w:val="51A27AA6"/>
    <w:multiLevelType w:val="hybridMultilevel"/>
    <w:lvl w:ilvl="0">
      <w:lvlJc w:val="left"/>
      <w:lvlText w:val="(%1)"/>
      <w:numFmt w:val="upperLetter"/>
      <w:start w:val="1"/>
    </w:lvl>
  </w:abstractNum>
  <w:abstractNum w:abstractNumId="149">
    <w:nsid w:val="613183F2"/>
    <w:multiLevelType w:val="hybridMultilevel"/>
    <w:lvl w:ilvl="0">
      <w:lvlJc w:val="left"/>
      <w:lvlText w:val="(%1)"/>
      <w:numFmt w:val="lowerLetter"/>
      <w:start w:val="1"/>
    </w:lvl>
  </w:abstractNum>
  <w:abstractNum w:abstractNumId="150">
    <w:nsid w:val="634102B4"/>
    <w:multiLevelType w:val="hybridMultilevel"/>
    <w:lvl w:ilvl="0">
      <w:lvlJc w:val="left"/>
      <w:lvlText w:val="•"/>
      <w:numFmt w:val="bullet"/>
      <w:start w:val="1"/>
    </w:lvl>
  </w:abstractNum>
  <w:abstractNum w:abstractNumId="151">
    <w:nsid w:val="65BF9DA8"/>
    <w:multiLevelType w:val="hybridMultilevel"/>
    <w:lvl w:ilvl="0">
      <w:lvlJc w:val="left"/>
      <w:lvlText w:val="(%1)"/>
      <w:numFmt w:val="lowerRoman"/>
      <w:start w:val="1"/>
    </w:lvl>
  </w:abstractNum>
  <w:abstractNum w:abstractNumId="152">
    <w:nsid w:val="21A2ECCA"/>
    <w:multiLevelType w:val="hybridMultilevel"/>
    <w:lvl w:ilvl="0">
      <w:lvlJc w:val="left"/>
      <w:lvlText w:val="•"/>
      <w:numFmt w:val="bullet"/>
      <w:start w:val="1"/>
    </w:lvl>
  </w:abstractNum>
  <w:abstractNum w:abstractNumId="153">
    <w:nsid w:val="4D5C4899"/>
    <w:multiLevelType w:val="hybridMultilevel"/>
    <w:lvl w:ilvl="0">
      <w:lvlJc w:val="left"/>
      <w:lvlText w:val="(%1)"/>
      <w:numFmt w:val="decimal"/>
      <w:start w:val="16"/>
    </w:lvl>
  </w:abstractNum>
  <w:abstractNum w:abstractNumId="154">
    <w:nsid w:val="3C3B72B2"/>
    <w:multiLevelType w:val="hybridMultilevel"/>
    <w:lvl w:ilvl="0">
      <w:lvlJc w:val="left"/>
      <w:lvlText w:val="•"/>
      <w:numFmt w:val="bullet"/>
      <w:start w:val="1"/>
    </w:lvl>
  </w:abstractNum>
  <w:abstractNum w:abstractNumId="155">
    <w:nsid w:val="155EC4C2"/>
    <w:multiLevelType w:val="hybridMultilevel"/>
    <w:lvl w:ilvl="0">
      <w:lvlJc w:val="left"/>
      <w:lvlText w:val="(%1)"/>
      <w:numFmt w:val="upperLetter"/>
      <w:start w:val="1"/>
    </w:lvl>
  </w:abstractNum>
  <w:abstractNum w:abstractNumId="156">
    <w:nsid w:val="65D2A137"/>
    <w:multiLevelType w:val="hybridMultilevel"/>
    <w:lvl w:ilvl="0">
      <w:lvlJc w:val="left"/>
      <w:lvlText w:val="•"/>
      <w:numFmt w:val="bullet"/>
      <w:start w:val="1"/>
    </w:lvl>
  </w:abstractNum>
  <w:abstractNum w:abstractNumId="157">
    <w:nsid w:val="6EBB1F2A"/>
    <w:multiLevelType w:val="hybridMultilevel"/>
    <w:lvl w:ilvl="0">
      <w:lvlJc w:val="left"/>
      <w:lvlText w:val="%1."/>
      <w:numFmt w:val="decimal"/>
      <w:start w:val="1"/>
    </w:lvl>
  </w:abstractNum>
  <w:abstractNum w:abstractNumId="158">
    <w:nsid w:val="6FBF29CB"/>
    <w:multiLevelType w:val="hybridMultilevel"/>
    <w:lvl w:ilvl="0">
      <w:lvlJc w:val="left"/>
      <w:lvlText w:val="%1."/>
      <w:numFmt w:val="decimal"/>
      <w:start w:val="2"/>
    </w:lvl>
  </w:abstractNum>
  <w:abstractNum w:abstractNumId="159">
    <w:nsid w:val="550B8808"/>
    <w:multiLevelType w:val="hybridMultilevel"/>
    <w:lvl w:ilvl="0">
      <w:lvlJc w:val="left"/>
      <w:lvlText w:val="%1."/>
      <w:numFmt w:val="decimal"/>
      <w:start w:val="3"/>
    </w:lvl>
  </w:abstractNum>
  <w:abstractNum w:abstractNumId="160">
    <w:nsid w:val="34CC3ACF"/>
    <w:multiLevelType w:val="hybridMultilevel"/>
    <w:lvl w:ilvl="0">
      <w:lvlJc w:val="left"/>
      <w:lvlText w:val="%1."/>
      <w:numFmt w:val="decimal"/>
      <w:start w:val="1"/>
    </w:lvl>
  </w:abstractNum>
  <w:abstractNum w:abstractNumId="161">
    <w:nsid w:val="4E556261"/>
    <w:multiLevelType w:val="hybridMultilevel"/>
    <w:lvl w:ilvl="0">
      <w:lvlJc w:val="left"/>
      <w:lvlText w:val="%1."/>
      <w:numFmt w:val="decimal"/>
      <w:start w:val="4"/>
    </w:lvl>
  </w:abstractNum>
  <w:abstractNum w:abstractNumId="162">
    <w:nsid w:val="4C672FC9"/>
    <w:multiLevelType w:val="hybridMultilevel"/>
    <w:lvl w:ilvl="0">
      <w:lvlJc w:val="left"/>
      <w:lvlText w:val="%1."/>
      <w:numFmt w:val="decimal"/>
      <w:start w:val="1"/>
    </w:lvl>
  </w:abstractNum>
  <w:abstractNum w:abstractNumId="163">
    <w:nsid w:val="52A311C3"/>
    <w:multiLevelType w:val="hybridMultilevel"/>
    <w:lvl w:ilvl="0">
      <w:lvlJc w:val="left"/>
      <w:lvlText w:val="%1."/>
      <w:numFmt w:val="decimal"/>
      <w:start w:val="1"/>
    </w:lvl>
  </w:abstractNum>
  <w:abstractNum w:abstractNumId="164">
    <w:nsid w:val="44EF6B80"/>
    <w:multiLevelType w:val="hybridMultilevel"/>
    <w:lvl w:ilvl="0">
      <w:lvlJc w:val="left"/>
      <w:lvlText w:val="%1."/>
      <w:numFmt w:val="decimal"/>
      <w:start w:val="1"/>
    </w:lvl>
  </w:abstractNum>
  <w:abstractNum w:abstractNumId="165">
    <w:nsid w:val="12FCDE5E"/>
    <w:multiLevelType w:val="hybridMultilevel"/>
    <w:lvl w:ilvl="0">
      <w:lvlJc w:val="left"/>
      <w:lvlText w:val="%1."/>
      <w:numFmt w:val="decimal"/>
      <w:start w:val="1"/>
    </w:lvl>
  </w:abstractNum>
  <w:abstractNum w:abstractNumId="166">
    <w:nsid w:val="4A1D606E"/>
    <w:multiLevelType w:val="hybridMultilevel"/>
    <w:lvl w:ilvl="0">
      <w:lvlJc w:val="left"/>
      <w:lvlText w:val="(%1)"/>
      <w:numFmt w:val="lowerRoman"/>
      <w:start w:val="1"/>
    </w:lvl>
  </w:abstractNum>
  <w:abstractNum w:abstractNumId="167">
    <w:nsid w:val="4382503"/>
    <w:multiLevelType w:val="hybridMultilevel"/>
    <w:lvl w:ilvl="0">
      <w:lvlJc w:val="left"/>
      <w:lvlText w:val="(%1)"/>
      <w:numFmt w:val="lowerRoman"/>
      <w:start w:val="2"/>
    </w:lvl>
  </w:abstractNum>
  <w:abstractNum w:abstractNumId="168">
    <w:nsid w:val="59B76E28"/>
    <w:multiLevelType w:val="hybridMultilevel"/>
    <w:lvl w:ilvl="0">
      <w:lvlJc w:val="left"/>
      <w:lvlText w:val="•"/>
      <w:numFmt w:val="bullet"/>
      <w:start w:val="1"/>
    </w:lvl>
  </w:abstractNum>
  <w:abstractNum w:abstractNumId="169">
    <w:nsid w:val="4252C2DA"/>
    <w:multiLevelType w:val="hybridMultilevel"/>
    <w:lvl w:ilvl="0">
      <w:lvlJc w:val="left"/>
      <w:lvlText w:val="•"/>
      <w:numFmt w:val="bullet"/>
      <w:start w:val="1"/>
    </w:lvl>
  </w:abstractNum>
  <w:abstractNum w:abstractNumId="170">
    <w:nsid w:val="6A92EF4C"/>
    <w:multiLevelType w:val="hybridMultilevel"/>
    <w:lvl w:ilvl="0">
      <w:lvlJc w:val="left"/>
      <w:lvlText w:val="%1."/>
      <w:numFmt w:val="decimal"/>
      <w:start w:val="5"/>
    </w:lvl>
  </w:abstractNum>
  <w:abstractNum w:abstractNumId="171">
    <w:nsid w:val="41ED20D7"/>
    <w:multiLevelType w:val="hybridMultilevel"/>
    <w:lvl w:ilvl="0">
      <w:lvlJc w:val="left"/>
      <w:lvlText w:val="%1."/>
      <w:numFmt w:val="decimal"/>
      <w:start w:val="6"/>
    </w:lvl>
  </w:abstractNum>
  <w:abstractNum w:abstractNumId="172">
    <w:nsid w:val="E6B3F6A"/>
    <w:multiLevelType w:val="hybridMultilevel"/>
    <w:lvl w:ilvl="0">
      <w:lvlJc w:val="left"/>
      <w:lvlText w:val="%1."/>
      <w:numFmt w:val="decimal"/>
      <w:start w:val="7"/>
    </w:lvl>
  </w:abstractNum>
  <w:abstractNum w:abstractNumId="173">
    <w:nsid w:val="3EB21819"/>
    <w:multiLevelType w:val="hybridMultilevel"/>
    <w:lvl w:ilvl="0">
      <w:lvlJc w:val="left"/>
      <w:lvlText w:val="%1."/>
      <w:numFmt w:val="decimal"/>
      <w:start w:val="8"/>
    </w:lvl>
  </w:abstractNum>
  <w:abstractNum w:abstractNumId="174">
    <w:nsid w:val="41531DED"/>
    <w:multiLevelType w:val="hybridMultilevel"/>
    <w:lvl w:ilvl="0">
      <w:lvlJc w:val="left"/>
      <w:lvlText w:val="%1."/>
      <w:numFmt w:val="decimal"/>
      <w:start w:val="10"/>
    </w:lvl>
  </w:abstractNum>
  <w:abstractNum w:abstractNumId="175">
    <w:nsid w:val="6353CD2"/>
    <w:multiLevelType w:val="hybridMultilevel"/>
    <w:lvl w:ilvl="0">
      <w:lvlJc w:val="left"/>
      <w:lvlText w:val="%1."/>
      <w:numFmt w:val="decimal"/>
      <w:start w:val="12"/>
    </w:lvl>
  </w:abstractNum>
  <w:abstractNum w:abstractNumId="176">
    <w:nsid w:val="683CAAD3"/>
    <w:multiLevelType w:val="hybridMultilevel"/>
    <w:lvl w:ilvl="0">
      <w:lvlJc w:val="left"/>
      <w:lvlText w:val="%1."/>
      <w:numFmt w:val="decimal"/>
      <w:start w:val="13"/>
    </w:lvl>
  </w:abstractNum>
  <w:abstractNum w:abstractNumId="177">
    <w:nsid w:val="313C7C99"/>
    <w:multiLevelType w:val="hybridMultilevel"/>
    <w:lvl w:ilvl="0">
      <w:lvlJc w:val="left"/>
      <w:lvlText w:val="%1."/>
      <w:numFmt w:val="decimal"/>
      <w:start w:val="14"/>
    </w:lvl>
  </w:abstractNum>
  <w:abstractNum w:abstractNumId="178">
    <w:nsid w:val="519EB94C"/>
    <w:multiLevelType w:val="hybridMultilevel"/>
    <w:lvl w:ilvl="0">
      <w:lvlJc w:val="left"/>
      <w:lvlText w:val="%1."/>
      <w:numFmt w:val="decimal"/>
      <w:start w:val="15"/>
    </w:lvl>
  </w:abstractNum>
  <w:abstractNum w:abstractNumId="179">
    <w:nsid w:val="39DF2579"/>
    <w:multiLevelType w:val="hybridMultilevel"/>
    <w:lvl w:ilvl="0">
      <w:lvlJc w:val="left"/>
      <w:lvlText w:val="%1."/>
      <w:numFmt w:val="decimal"/>
      <w:start w:val="17"/>
    </w:lvl>
  </w:abstractNum>
  <w:abstractNum w:abstractNumId="180">
    <w:nsid w:val="126E008B"/>
    <w:multiLevelType w:val="hybridMultilevel"/>
    <w:lvl w:ilvl="0">
      <w:lvlJc w:val="left"/>
      <w:lvlText w:val="%1."/>
      <w:numFmt w:val="lowerLetter"/>
      <w:start w:val="1"/>
    </w:lvl>
  </w:abstractNum>
  <w:abstractNum w:abstractNumId="181">
    <w:nsid w:val="34DFBC00"/>
    <w:multiLevelType w:val="hybridMultilevel"/>
    <w:lvl w:ilvl="0">
      <w:lvlJc w:val="left"/>
      <w:lvlText w:val="%1."/>
      <w:numFmt w:val="lowerLetter"/>
      <w:start w:val="2"/>
    </w:lvl>
  </w:abstractNum>
  <w:abstractNum w:abstractNumId="182">
    <w:nsid w:val="1F9EC322"/>
    <w:multiLevelType w:val="hybridMultilevel"/>
    <w:lvl w:ilvl="0">
      <w:lvlJc w:val="left"/>
      <w:lvlText w:val="%1."/>
      <w:numFmt w:val="lowerLetter"/>
      <w:start w:val="3"/>
    </w:lvl>
  </w:abstractNum>
  <w:abstractNum w:abstractNumId="183">
    <w:nsid w:val="3410ED56"/>
    <w:multiLevelType w:val="hybridMultilevel"/>
    <w:lvl w:ilvl="0">
      <w:lvlJc w:val="left"/>
      <w:lvlText w:val="%1."/>
      <w:numFmt w:val="lowerLetter"/>
      <w:start w:val="4"/>
    </w:lvl>
  </w:abstractNum>
  <w:abstractNum w:abstractNumId="184">
    <w:nsid w:val="23C049A"/>
    <w:multiLevelType w:val="hybridMultilevel"/>
    <w:lvl w:ilvl="0">
      <w:lvlJc w:val="left"/>
      <w:lvlText w:val="%1."/>
      <w:numFmt w:val="lowerLetter"/>
      <w:start w:val="5"/>
    </w:lvl>
  </w:abstractNum>
  <w:abstractNum w:abstractNumId="185">
    <w:nsid w:val="5BDA35D4"/>
    <w:multiLevelType w:val="hybridMultilevel"/>
    <w:lvl w:ilvl="0">
      <w:lvlJc w:val="left"/>
      <w:lvlText w:val="%1."/>
      <w:numFmt w:val="decimal"/>
      <w:start w:val="18"/>
    </w:lvl>
  </w:abstractNum>
  <w:abstractNum w:abstractNumId="186">
    <w:nsid w:val="496FB218"/>
    <w:multiLevelType w:val="hybridMultilevel"/>
    <w:lvl w:ilvl="0">
      <w:lvlJc w:val="left"/>
      <w:lvlText w:val="%1."/>
      <w:numFmt w:val="decimal"/>
      <w:start w:val="19"/>
    </w:lvl>
  </w:abstractNum>
  <w:abstractNum w:abstractNumId="187">
    <w:nsid w:val="680EA5D1"/>
    <w:multiLevelType w:val="hybridMultilevel"/>
    <w:lvl w:ilvl="0">
      <w:lvlJc w:val="left"/>
      <w:lvlText w:val="%1."/>
      <w:numFmt w:val="decimal"/>
      <w:start w:val="20"/>
    </w:lvl>
  </w:abstractNum>
  <w:abstractNum w:abstractNumId="188">
    <w:nsid w:val="4A9554FE"/>
    <w:multiLevelType w:val="hybridMultilevel"/>
    <w:lvl w:ilvl="0">
      <w:lvlJc w:val="left"/>
      <w:lvlText w:val="%1."/>
      <w:numFmt w:val="decimal"/>
      <w:start w:val="21"/>
    </w:lvl>
  </w:abstractNum>
  <w:abstractNum w:abstractNumId="189">
    <w:nsid w:val="392EDBE4"/>
    <w:multiLevelType w:val="hybridMultilevel"/>
    <w:lvl w:ilvl="0">
      <w:lvlJc w:val="left"/>
      <w:lvlText w:val="%1."/>
      <w:numFmt w:val="decimal"/>
      <w:start w:val="22"/>
    </w:lvl>
  </w:abstractNum>
  <w:abstractNum w:abstractNumId="190">
    <w:nsid w:val="3D1A2DD9"/>
    <w:multiLevelType w:val="hybridMultilevel"/>
    <w:lvl w:ilvl="0">
      <w:lvlJc w:val="left"/>
      <w:lvlText w:val="%1."/>
      <w:numFmt w:val="decimal"/>
      <w:start w:val="23"/>
    </w:lvl>
  </w:abstractNum>
  <w:abstractNum w:abstractNumId="191">
    <w:nsid w:val="7F618FCD"/>
    <w:multiLevelType w:val="hybridMultilevel"/>
    <w:lvl w:ilvl="0">
      <w:lvlJc w:val="left"/>
      <w:lvlText w:val="%1."/>
      <w:numFmt w:val="decimal"/>
      <w:start w:val="25"/>
    </w:lvl>
  </w:abstractNum>
  <w:abstractNum w:abstractNumId="192">
    <w:nsid w:val="7843E45"/>
    <w:multiLevelType w:val="hybridMultilevel"/>
    <w:lvl w:ilvl="0">
      <w:lvlJc w:val="left"/>
      <w:lvlText w:val="%1."/>
      <w:numFmt w:val="decimal"/>
      <w:start w:val="26"/>
    </w:lvl>
  </w:abstractNum>
  <w:abstractNum w:abstractNumId="193">
    <w:nsid w:val="9815DA3"/>
    <w:multiLevelType w:val="hybridMultilevel"/>
    <w:lvl w:ilvl="0">
      <w:lvlJc w:val="left"/>
      <w:lvlText w:val="•"/>
      <w:numFmt w:val="bullet"/>
      <w:start w:val="1"/>
    </w:lvl>
  </w:abstractNum>
  <w:abstractNum w:abstractNumId="194">
    <w:nsid w:val="5204A191"/>
    <w:multiLevelType w:val="hybridMultilevel"/>
    <w:lvl w:ilvl="0">
      <w:lvlJc w:val="left"/>
      <w:lvlText w:val="%1."/>
      <w:numFmt w:val="decimal"/>
      <w:start w:val="1"/>
    </w:lvl>
  </w:abstractNum>
  <w:abstractNum w:abstractNumId="195">
    <w:nsid w:val="4C73A9C6"/>
    <w:multiLevelType w:val="hybridMultilevel"/>
    <w:lvl w:ilvl="0">
      <w:lvlJc w:val="left"/>
      <w:lvlText w:val="%1."/>
      <w:numFmt w:val="decimal"/>
      <w:start w:val="2"/>
    </w:lvl>
  </w:abstractNum>
  <w:abstractNum w:abstractNumId="196">
    <w:nsid w:val="1C7E3C01"/>
    <w:multiLevelType w:val="hybridMultilevel"/>
    <w:lvl w:ilvl="0">
      <w:lvlJc w:val="left"/>
      <w:lvlText w:val="•"/>
      <w:numFmt w:val="bullet"/>
      <w:start w:val="1"/>
    </w:lvl>
  </w:abstractNum>
  <w:abstractNum w:abstractNumId="197">
    <w:nsid w:val="1C2201FF"/>
    <w:multiLevelType w:val="hybridMultilevel"/>
    <w:lvl w:ilvl="0">
      <w:lvlJc w:val="left"/>
      <w:lvlText w:val="%1."/>
      <w:numFmt w:val="decimal"/>
      <w:start w:val="3"/>
    </w:lvl>
  </w:abstractNum>
  <w:abstractNum w:abstractNumId="198">
    <w:nsid w:val="50ABCEC9"/>
    <w:multiLevelType w:val="hybridMultilevel"/>
    <w:lvl w:ilvl="0">
      <w:lvlJc w:val="left"/>
      <w:lvlText w:val="%1."/>
      <w:numFmt w:val="decimal"/>
      <w:start w:val="4"/>
    </w:lvl>
  </w:abstractNum>
  <w:abstractNum w:abstractNumId="199">
    <w:nsid w:val="7635AA2A"/>
    <w:multiLevelType w:val="hybridMultilevel"/>
    <w:lvl w:ilvl="0">
      <w:lvlJc w:val="left"/>
      <w:lvlText w:val="%1."/>
      <w:numFmt w:val="decimal"/>
      <w:start w:val="6"/>
    </w:lvl>
  </w:abstractNum>
  <w:abstractNum w:abstractNumId="200">
    <w:nsid w:val="5E74C4D9"/>
    <w:multiLevelType w:val="hybridMultilevel"/>
    <w:lvl w:ilvl="0">
      <w:lvlJc w:val="left"/>
      <w:lvlText w:val="%1."/>
      <w:numFmt w:val="decimal"/>
      <w:start w:val="7"/>
    </w:lvl>
  </w:abstractNum>
  <w:abstractNum w:abstractNumId="201">
    <w:nsid w:val="3B3EBE15"/>
    <w:multiLevelType w:val="hybridMultilevel"/>
    <w:lvl w:ilvl="0">
      <w:lvlJc w:val="left"/>
      <w:lvlText w:val="%1."/>
      <w:numFmt w:val="decimal"/>
      <w:start w:val="8"/>
    </w:lvl>
  </w:abstractNum>
  <w:abstractNum w:abstractNumId="202">
    <w:nsid w:val="3822CB01"/>
    <w:multiLevelType w:val="hybridMultilevel"/>
    <w:lvl w:ilvl="0">
      <w:lvlJc w:val="left"/>
      <w:lvlText w:val="%1."/>
      <w:numFmt w:val="decimal"/>
      <w:start w:val="9"/>
    </w:lvl>
  </w:abstractNum>
  <w:abstractNum w:abstractNumId="203">
    <w:nsid w:val="6CE00443"/>
    <w:multiLevelType w:val="hybridMultilevel"/>
    <w:lvl w:ilvl="0">
      <w:lvlJc w:val="left"/>
      <w:lvlText w:val="%1."/>
      <w:numFmt w:val="decimal"/>
      <w:start w:val="10"/>
    </w:lvl>
  </w:abstractNum>
  <w:abstractNum w:abstractNumId="204">
    <w:nsid w:val="79F0D62F"/>
    <w:multiLevelType w:val="hybridMultilevel"/>
    <w:lvl w:ilvl="0">
      <w:lvlJc w:val="left"/>
      <w:lvlText w:val="%1."/>
      <w:numFmt w:val="decimal"/>
      <w:start w:val="11"/>
    </w:lvl>
  </w:abstractNum>
  <w:abstractNum w:abstractNumId="205">
    <w:nsid w:val="7975E8EE"/>
    <w:multiLevelType w:val="hybridMultilevel"/>
    <w:lvl w:ilvl="0">
      <w:lvlJc w:val="left"/>
      <w:lvlText w:val="%1."/>
      <w:numFmt w:val="decimal"/>
      <w:start w:val="12"/>
    </w:lvl>
  </w:abstractNum>
  <w:abstractNum w:abstractNumId="206">
    <w:nsid w:val="73154115"/>
    <w:multiLevelType w:val="hybridMultilevel"/>
    <w:lvl w:ilvl="0">
      <w:lvlJc w:val="left"/>
      <w:lvlText w:val="%1."/>
      <w:numFmt w:val="decimal"/>
      <w:start w:val="13"/>
    </w:lvl>
  </w:abstractNum>
  <w:abstractNum w:abstractNumId="207">
    <w:nsid w:val="622D8102"/>
    <w:multiLevelType w:val="hybridMultilevel"/>
    <w:lvl w:ilvl="0">
      <w:lvlJc w:val="left"/>
      <w:lvlText w:val="(%1)"/>
      <w:numFmt w:val="lowerRoman"/>
      <w:start w:val="1"/>
    </w:lvl>
  </w:abstractNum>
  <w:abstractNum w:abstractNumId="208">
    <w:nsid w:val="2AB26587"/>
    <w:multiLevelType w:val="hybridMultilevel"/>
    <w:lvl w:ilvl="0">
      <w:lvlJc w:val="left"/>
      <w:lvlText w:val="(%1)"/>
      <w:numFmt w:val="lowerRoman"/>
      <w:start w:val="1"/>
    </w:lvl>
  </w:abstractNum>
  <w:abstractNum w:abstractNumId="209">
    <w:nsid w:val="44B3FA61"/>
    <w:multiLevelType w:val="hybridMultilevel"/>
    <w:lvl w:ilvl="0">
      <w:lvlJc w:val="left"/>
      <w:lvlText w:val="•"/>
      <w:numFmt w:val="bullet"/>
      <w:start w:val="1"/>
    </w:lvl>
  </w:abstractNum>
  <w:abstractNum w:abstractNumId="210">
    <w:nsid w:val="1C0CA67C"/>
    <w:multiLevelType w:val="hybridMultilevel"/>
    <w:lvl w:ilvl="0">
      <w:lvlJc w:val="left"/>
      <w:lvlText w:val="•"/>
      <w:numFmt w:val="bullet"/>
      <w:start w:val="1"/>
    </w:lvl>
  </w:abstractNum>
  <w:abstractNum w:abstractNumId="211">
    <w:nsid w:val="3D206613"/>
    <w:multiLevelType w:val="hybridMultilevel"/>
    <w:lvl w:ilvl="0">
      <w:lvlJc w:val="left"/>
      <w:lvlText w:val="*"/>
      <w:numFmt w:val="bullet"/>
      <w:start w:val="1"/>
    </w:lvl>
  </w:abstractNum>
  <w:abstractNum w:abstractNumId="212">
    <w:nsid w:val="7993B662"/>
    <w:multiLevelType w:val="hybridMultilevel"/>
    <w:lvl w:ilvl="0">
      <w:lvlJc w:val="left"/>
      <w:lvlText w:val="**"/>
      <w:numFmt w:val="bullet"/>
      <w:start w:val="1"/>
    </w:lvl>
  </w:abstractNum>
  <w:abstractNum w:abstractNumId="213">
    <w:nsid w:val="3BAB699E"/>
    <w:multiLevelType w:val="hybridMultilevel"/>
    <w:lvl w:ilvl="0">
      <w:lvlJc w:val="left"/>
      <w:lvlText w:val="†"/>
      <w:numFmt w:val="bullet"/>
      <w:start w:val="1"/>
    </w:lvl>
  </w:abstractNum>
  <w:abstractNum w:abstractNumId="214">
    <w:nsid w:val="71315369"/>
    <w:multiLevelType w:val="hybridMultilevel"/>
    <w:lvl w:ilvl="0">
      <w:lvlJc w:val="left"/>
      <w:lvlText w:val="(%1)"/>
      <w:numFmt w:val="lowerLetter"/>
      <w:start w:val="2"/>
    </w:lvl>
  </w:abstractNum>
  <w:abstractNum w:abstractNumId="215">
    <w:nsid w:val="7BCFBAF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6">
    <w:nsid w:val="17859F72"/>
    <w:multiLevelType w:val="hybridMultilevel"/>
    <w:lvl w:ilvl="0">
      <w:lvlJc w:val="left"/>
      <w:lvlText w:val="(%1)"/>
      <w:numFmt w:val="decimal"/>
      <w:start w:val="2"/>
    </w:lvl>
  </w:abstractNum>
  <w:abstractNum w:abstractNumId="217">
    <w:nsid w:val="3AA10581"/>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lvl w:ilvl="3">
      <w:lvlJc w:val="left"/>
      <w:lvlText w:val="(%4)"/>
      <w:numFmt w:val="upperLetter"/>
      <w:start w:val="1"/>
    </w:lvl>
    <w:lvl w:ilvl="4">
      <w:lvlJc w:val="left"/>
      <w:lvlText w:val="(%5)"/>
      <w:numFmt w:val="lowerLetter"/>
      <w:start w:val="35"/>
    </w:lvl>
  </w:abstractNum>
  <w:abstractNum w:abstractNumId="218">
    <w:nsid w:val="63DE60C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upperLetter"/>
      <w:start w:val="1"/>
    </w:lvl>
    <w:lvl w:ilvl="4">
      <w:lvlJc w:val="left"/>
      <w:lvlText w:val="%5"/>
      <w:numFmt w:val="lowerLetter"/>
      <w:start w:val="1"/>
    </w:lvl>
  </w:abstractNum>
  <w:abstractNum w:abstractNumId="219">
    <w:nsid w:val="621AF471"/>
    <w:multiLevelType w:val="hybridMultilevel"/>
    <w:lvl w:ilvl="0">
      <w:lvlJc w:val="left"/>
      <w:lvlText w:val="(%1)"/>
      <w:numFmt w:val="lowerLetter"/>
      <w:start w:val="3"/>
    </w:lvl>
    <w:lvl w:ilvl="1">
      <w:lvlJc w:val="left"/>
      <w:lvlText w:val="(%2)"/>
      <w:numFmt w:val="decimal"/>
      <w:start w:val="1"/>
    </w:lvl>
  </w:abstractNum>
  <w:abstractNum w:abstractNumId="220">
    <w:nsid w:val="73CFE165"/>
    <w:multiLevelType w:val="hybridMultilevel"/>
    <w:lvl w:ilvl="0">
      <w:lvlJc w:val="left"/>
      <w:lvlText w:val="(%1)"/>
      <w:numFmt w:val="upperLetter"/>
      <w:start w:val="1"/>
    </w:lvl>
  </w:abstractNum>
  <w:abstractNum w:abstractNumId="221">
    <w:nsid w:val="20F88EA6"/>
    <w:multiLevelType w:val="hybridMultilevel"/>
    <w:lvl w:ilvl="0">
      <w:lvlJc w:val="left"/>
      <w:lvlText w:val="%1."/>
      <w:numFmt w:val="decimal"/>
      <w:start w:val="1"/>
    </w:lvl>
  </w:abstractNum>
  <w:abstractNum w:abstractNumId="222">
    <w:nsid w:val="617C843E"/>
    <w:multiLevelType w:val="hybridMultilevel"/>
    <w:lvl w:ilvl="0">
      <w:lvlJc w:val="left"/>
      <w:lvlText w:val="(%1)"/>
      <w:numFmt w:val="lowerLetter"/>
      <w:start w:val="1"/>
    </w:lvl>
  </w:abstractNum>
  <w:abstractNum w:abstractNumId="223">
    <w:nsid w:val="7B541FAB"/>
    <w:multiLevelType w:val="hybridMultilevel"/>
    <w:lvl w:ilvl="0">
      <w:lvlJc w:val="left"/>
      <w:lvlText w:val="(%1)"/>
      <w:numFmt w:val="lowerLetter"/>
      <w:start w:val="1"/>
    </w:lvl>
  </w:abstractNum>
  <w:abstractNum w:abstractNumId="224">
    <w:nsid w:val="2A79EC49"/>
    <w:multiLevelType w:val="hybridMultilevel"/>
    <w:lvl w:ilvl="0">
      <w:lvlJc w:val="left"/>
      <w:lvlText w:val="%1."/>
      <w:numFmt w:val="decimal"/>
      <w:start w:val="2"/>
    </w:lvl>
  </w:abstractNum>
  <w:abstractNum w:abstractNumId="225">
    <w:nsid w:val="338125CF"/>
    <w:multiLevelType w:val="hybridMultilevel"/>
    <w:lvl w:ilvl="0">
      <w:lvlJc w:val="left"/>
      <w:lvlText w:val="%1."/>
      <w:numFmt w:val="decimal"/>
      <w:start w:val="3"/>
    </w:lvl>
    <w:lvl w:ilvl="1">
      <w:lvlJc w:val="left"/>
      <w:lvlText w:val="(%2)"/>
      <w:numFmt w:val="lowerLetter"/>
      <w:start w:val="1"/>
    </w:lvl>
  </w:abstractNum>
  <w:abstractNum w:abstractNumId="226">
    <w:nsid w:val="47C7C971"/>
    <w:multiLevelType w:val="hybridMultilevel"/>
    <w:lvl w:ilvl="0">
      <w:lvlJc w:val="left"/>
      <w:lvlText w:val="%1."/>
      <w:numFmt w:val="decimal"/>
      <w:start w:val="4"/>
    </w:lvl>
  </w:abstractNum>
  <w:abstractNum w:abstractNumId="227">
    <w:nsid w:val="46F8284B"/>
    <w:multiLevelType w:val="hybridMultilevel"/>
    <w:lvl w:ilvl="0">
      <w:lvlJc w:val="left"/>
      <w:lvlText w:val="(%1)"/>
      <w:numFmt w:val="lowerLetter"/>
      <w:start w:val="1"/>
    </w:lvl>
    <w:lvl w:ilvl="1">
      <w:lvlJc w:val="left"/>
      <w:lvlText w:val="(%2)"/>
      <w:numFmt w:val="lowerRoman"/>
      <w:start w:val="1"/>
    </w:lvl>
  </w:abstractNum>
  <w:abstractNum w:abstractNumId="228">
    <w:nsid w:val="4FA327CE"/>
    <w:multiLevelType w:val="hybridMultilevel"/>
    <w:lvl w:ilvl="0">
      <w:lvlJc w:val="left"/>
      <w:lvlText w:val="(%1)"/>
      <w:numFmt w:val="lowerRoman"/>
      <w:start w:val="4"/>
    </w:lvl>
  </w:abstractNum>
  <w:abstractNum w:abstractNumId="229">
    <w:nsid w:val="1873983A"/>
    <w:multiLevelType w:val="hybridMultilevel"/>
    <w:lvl w:ilvl="0">
      <w:lvlJc w:val="left"/>
      <w:lvlText w:val="%1."/>
      <w:numFmt w:val="decimal"/>
      <w:start w:val="5"/>
    </w:lvl>
  </w:abstractNum>
  <w:abstractNum w:abstractNumId="230">
    <w:nsid w:val="3D2DD275"/>
    <w:multiLevelType w:val="hybridMultilevel"/>
    <w:lvl w:ilvl="0">
      <w:lvlJc w:val="left"/>
      <w:lvlText w:val="%1."/>
      <w:numFmt w:val="decimal"/>
      <w:start w:val="6"/>
    </w:lvl>
  </w:abstractNum>
  <w:abstractNum w:abstractNumId="231">
    <w:nsid w:val="2E17ECA7"/>
    <w:multiLevelType w:val="hybridMultilevel"/>
    <w:lvl w:ilvl="0">
      <w:lvlJc w:val="left"/>
      <w:lvlText w:val="%1."/>
      <w:numFmt w:val="decimal"/>
      <w:start w:val="7"/>
    </w:lvl>
  </w:abstractNum>
  <w:abstractNum w:abstractNumId="232">
    <w:nsid w:val="53B2564F"/>
    <w:multiLevelType w:val="hybridMultilevel"/>
    <w:lvl w:ilvl="0">
      <w:lvlJc w:val="left"/>
      <w:lvlText w:val="(%1)"/>
      <w:numFmt w:val="lowerLetter"/>
      <w:start w:val="1"/>
    </w:lvl>
  </w:abstractNum>
  <w:abstractNum w:abstractNumId="233">
    <w:nsid w:val="75509D76"/>
    <w:multiLevelType w:val="hybridMultilevel"/>
    <w:lvl w:ilvl="0">
      <w:lvlJc w:val="left"/>
      <w:lvlText w:val="%1."/>
      <w:numFmt w:val="decimal"/>
      <w:start w:val="8"/>
    </w:lvl>
  </w:abstractNum>
  <w:abstractNum w:abstractNumId="234">
    <w:nsid w:val="1AF7F0EA"/>
    <w:multiLevelType w:val="hybridMultilevel"/>
    <w:lvl w:ilvl="0">
      <w:lvlJc w:val="left"/>
      <w:lvlText w:val="%1."/>
      <w:numFmt w:val="decimal"/>
      <w:start w:val="9"/>
    </w:lvl>
  </w:abstractNum>
  <w:abstractNum w:abstractNumId="235">
    <w:nsid w:val="4DA32C7E"/>
    <w:multiLevelType w:val="hybridMultilevel"/>
    <w:lvl w:ilvl="0">
      <w:lvlJc w:val="left"/>
      <w:lvlText w:val="%1."/>
      <w:numFmt w:val="decimal"/>
      <w:start w:val="10"/>
    </w:lvl>
  </w:abstractNum>
  <w:abstractNum w:abstractNumId="236">
    <w:nsid w:val="6EC68664"/>
    <w:multiLevelType w:val="hybridMultilevel"/>
    <w:lvl w:ilvl="0">
      <w:lvlJc w:val="left"/>
      <w:lvlText w:val="%1."/>
      <w:numFmt w:val="decimal"/>
      <w:start w:val="11"/>
    </w:lvl>
  </w:abstractNum>
  <w:abstractNum w:abstractNumId="237">
    <w:nsid w:val="E0D31FF"/>
    <w:multiLevelType w:val="hybridMultilevel"/>
    <w:lvl w:ilvl="0">
      <w:lvlJc w:val="left"/>
      <w:lvlText w:val="(%1)"/>
      <w:numFmt w:val="lowerLetter"/>
      <w:start w:val="1"/>
    </w:lvl>
    <w:lvl w:ilvl="1">
      <w:lvlJc w:val="left"/>
      <w:lvlText w:val="(%2)"/>
      <w:numFmt w:val="lowerRoman"/>
      <w:start w:val="1"/>
    </w:lvl>
  </w:abstractNum>
  <w:abstractNum w:abstractNumId="238">
    <w:nsid w:val="2FD0AD81"/>
    <w:multiLevelType w:val="hybridMultilevel"/>
    <w:lvl w:ilvl="0">
      <w:lvlJc w:val="left"/>
      <w:lvlText w:val="%1."/>
      <w:numFmt w:val="decimal"/>
      <w:start w:val="12"/>
    </w:lvl>
  </w:abstractNum>
  <w:abstractNum w:abstractNumId="239">
    <w:nsid w:val="1978EBEB"/>
    <w:multiLevelType w:val="hybridMultilevel"/>
    <w:lvl w:ilvl="0">
      <w:lvlJc w:val="left"/>
      <w:lvlText w:val="%1."/>
      <w:numFmt w:val="decimal"/>
      <w:start w:val="13"/>
    </w:lvl>
  </w:abstractNum>
  <w:abstractNum w:abstractNumId="240">
    <w:nsid w:val="52C12C61"/>
    <w:multiLevelType w:val="hybridMultilevel"/>
    <w:lvl w:ilvl="0">
      <w:lvlJc w:val="left"/>
      <w:lvlText w:val="%1."/>
      <w:numFmt w:val="decimal"/>
      <w:start w:val="15"/>
    </w:lvl>
  </w:abstractNum>
  <w:abstractNum w:abstractNumId="241">
    <w:nsid w:val="4BDD53FD"/>
    <w:multiLevelType w:val="hybridMultilevel"/>
    <w:lvl w:ilvl="0">
      <w:lvlJc w:val="left"/>
      <w:lvlText w:val="%1."/>
      <w:numFmt w:val="decimal"/>
      <w:start w:val="16"/>
    </w:lvl>
  </w:abstractNum>
  <w:abstractNum w:abstractNumId="242">
    <w:nsid w:val="569951FE"/>
    <w:multiLevelType w:val="hybridMultilevel"/>
    <w:lvl w:ilvl="0">
      <w:lvlJc w:val="left"/>
      <w:lvlText w:val="%1."/>
      <w:numFmt w:val="decimal"/>
      <w:start w:val="17"/>
    </w:lvl>
  </w:abstractNum>
  <w:abstractNum w:abstractNumId="243">
    <w:nsid w:val="4C54E2C3"/>
    <w:multiLevelType w:val="hybridMultilevel"/>
    <w:lvl w:ilvl="0">
      <w:lvlJc w:val="left"/>
      <w:lvlText w:val="%1."/>
      <w:numFmt w:val="decimal"/>
      <w:start w:val="18"/>
    </w:lvl>
  </w:abstractNum>
  <w:abstractNum w:abstractNumId="244">
    <w:nsid w:val="788BD9B"/>
    <w:multiLevelType w:val="hybridMultilevel"/>
    <w:lvl w:ilvl="0">
      <w:lvlJc w:val="left"/>
      <w:lvlText w:val="%1."/>
      <w:numFmt w:val="decimal"/>
      <w:start w:val="19"/>
    </w:lvl>
  </w:abstractNum>
  <w:abstractNum w:abstractNumId="245">
    <w:nsid w:val="47CAA567"/>
    <w:multiLevelType w:val="hybridMultilevel"/>
    <w:lvl w:ilvl="0">
      <w:lvlJc w:val="left"/>
      <w:lvlText w:val="%1."/>
      <w:numFmt w:val="decimal"/>
      <w:start w:val="20"/>
    </w:lvl>
  </w:abstractNum>
  <w:abstractNum w:abstractNumId="246">
    <w:nsid w:val="48249DBF"/>
    <w:multiLevelType w:val="hybridMultilevel"/>
    <w:lvl w:ilvl="0">
      <w:lvlJc w:val="left"/>
      <w:lvlText w:val="%1."/>
      <w:numFmt w:val="decimal"/>
      <w:start w:val="21"/>
    </w:lvl>
  </w:abstractNum>
  <w:abstractNum w:abstractNumId="247">
    <w:nsid w:val="1F0E5D0D"/>
    <w:multiLevelType w:val="hybridMultilevel"/>
    <w:lvl w:ilvl="0">
      <w:lvlJc w:val="left"/>
      <w:lvlText w:val="(%1)"/>
      <w:numFmt w:val="lowerLetter"/>
      <w:start w:val="1"/>
    </w:lvl>
  </w:abstractNum>
  <w:abstractNum w:abstractNumId="248">
    <w:nsid w:val="26BAAE9"/>
    <w:multiLevelType w:val="hybridMultilevel"/>
    <w:lvl w:ilvl="0">
      <w:lvlJc w:val="left"/>
      <w:lvlText w:val="(%1)"/>
      <w:numFmt w:val="lowerLetter"/>
      <w:start w:val="1"/>
    </w:lvl>
  </w:abstractNum>
  <w:abstractNum w:abstractNumId="249">
    <w:nsid w:val="2C02FE8C"/>
    <w:multiLevelType w:val="hybridMultilevel"/>
    <w:lvl w:ilvl="0">
      <w:lvlJc w:val="left"/>
      <w:lvlText w:val="(%1)"/>
      <w:numFmt w:val="lowerLetter"/>
      <w:start w:val="6"/>
    </w:lvl>
    <w:lvl w:ilvl="1">
      <w:lvlJc w:val="left"/>
      <w:lvlText w:val="(%2)"/>
      <w:numFmt w:val="lowerRoman"/>
      <w:start w:val="1"/>
    </w:lvl>
  </w:abstractNum>
  <w:abstractNum w:abstractNumId="250">
    <w:nsid w:val="129517E"/>
    <w:multiLevelType w:val="hybridMultilevel"/>
    <w:lvl w:ilvl="0">
      <w:lvlJc w:val="left"/>
      <w:lvlText w:val="(%1)"/>
      <w:numFmt w:val="lowerLetter"/>
      <w:start w:val="12"/>
    </w:lvl>
  </w:abstractNum>
  <w:abstractNum w:abstractNumId="251">
    <w:nsid w:val="763B8C4E"/>
    <w:multiLevelType w:val="hybridMultilevel"/>
    <w:lvl w:ilvl="0">
      <w:lvlJc w:val="left"/>
      <w:lvlText w:val="%1."/>
      <w:numFmt w:val="decimal"/>
      <w:start w:val="22"/>
    </w:lvl>
  </w:abstractNum>
  <w:abstractNum w:abstractNumId="252">
    <w:nsid w:val="4CFB8D32"/>
    <w:multiLevelType w:val="hybridMultilevel"/>
    <w:lvl w:ilvl="0">
      <w:lvlJc w:val="left"/>
      <w:lvlText w:val="%1."/>
      <w:numFmt w:val="decimal"/>
      <w:start w:val="23"/>
    </w:lvl>
  </w:abstractNum>
  <w:abstractNum w:abstractNumId="253">
    <w:nsid w:val="62A5D5BD"/>
    <w:multiLevelType w:val="hybridMultilevel"/>
    <w:lvl w:ilvl="0">
      <w:lvlJc w:val="left"/>
      <w:lvlText w:val="%1."/>
      <w:numFmt w:val="decimal"/>
      <w:start w:val="24"/>
    </w:lvl>
  </w:abstractNum>
  <w:abstractNum w:abstractNumId="254">
    <w:nsid w:val="718FABF9"/>
    <w:multiLevelType w:val="hybridMultilevel"/>
    <w:lvl w:ilvl="0">
      <w:lvlJc w:val="left"/>
      <w:lvlText w:val="%1."/>
      <w:numFmt w:val="decimal"/>
      <w:start w:val="26"/>
    </w:lvl>
  </w:abstractNum>
  <w:abstractNum w:abstractNumId="255">
    <w:nsid w:val="7775797C"/>
    <w:multiLevelType w:val="hybridMultilevel"/>
    <w:lvl w:ilvl="0">
      <w:lvlJc w:val="left"/>
      <w:lvlText w:val="(%1)"/>
      <w:numFmt w:val="lowerLetter"/>
      <w:start w:val="1"/>
    </w:lvl>
  </w:abstractNum>
  <w:abstractNum w:abstractNumId="256">
    <w:nsid w:val="1626FB8C"/>
    <w:multiLevelType w:val="hybridMultilevel"/>
    <w:lvl w:ilvl="0">
      <w:lvlJc w:val="left"/>
      <w:lvlText w:val="(%1)"/>
      <w:numFmt w:val="lowerLetter"/>
      <w:start w:val="3"/>
    </w:lvl>
  </w:abstractNum>
  <w:abstractNum w:abstractNumId="257">
    <w:nsid w:val="3957756A"/>
    <w:multiLevelType w:val="hybridMultilevel"/>
    <w:lvl w:ilvl="0">
      <w:lvlJc w:val="left"/>
      <w:lvlText w:val="%1."/>
      <w:numFmt w:val="decimal"/>
      <w:start w:val="27"/>
    </w:lvl>
  </w:abstractNum>
  <w:abstractNum w:abstractNumId="258">
    <w:nsid w:val="3E6DA1C7"/>
    <w:multiLevelType w:val="hybridMultilevel"/>
    <w:lvl w:ilvl="0">
      <w:lvlJc w:val="left"/>
      <w:lvlText w:val="%1."/>
      <w:numFmt w:val="decimal"/>
      <w:start w:val="29"/>
    </w:lvl>
  </w:abstractNum>
  <w:abstractNum w:abstractNumId="259">
    <w:nsid w:val="65CA235B"/>
    <w:multiLevelType w:val="hybridMultilevel"/>
    <w:lvl w:ilvl="0">
      <w:lvlJc w:val="left"/>
      <w:lvlText w:val="%1."/>
      <w:numFmt w:val="decimal"/>
      <w:start w:val="30"/>
    </w:lvl>
  </w:abstractNum>
  <w:abstractNum w:abstractNumId="260">
    <w:nsid w:val="51CB0DA4"/>
    <w:multiLevelType w:val="hybridMultilevel"/>
    <w:lvl w:ilvl="0">
      <w:lvlJc w:val="left"/>
      <w:lvlText w:val="(%1)"/>
      <w:numFmt w:val="lowerLetter"/>
      <w:start w:val="1"/>
    </w:lvl>
  </w:abstractNum>
  <w:abstractNum w:abstractNumId="261">
    <w:nsid w:val="7B9B743C"/>
    <w:multiLevelType w:val="hybridMultilevel"/>
    <w:lvl w:ilvl="0">
      <w:lvlJc w:val="left"/>
      <w:lvlText w:val="(%1)"/>
      <w:numFmt w:val="lowerLetter"/>
      <w:start w:val="5"/>
    </w:lvl>
  </w:abstractNum>
  <w:abstractNum w:abstractNumId="262">
    <w:nsid w:val="13E21002"/>
    <w:multiLevelType w:val="hybridMultilevel"/>
    <w:lvl w:ilvl="0">
      <w:lvlJc w:val="left"/>
      <w:lvlText w:val="(%1)"/>
      <w:numFmt w:val="lowerLetter"/>
      <w:start w:val="1"/>
    </w:lvl>
  </w:abstractNum>
  <w:abstractNum w:abstractNumId="263">
    <w:nsid w:val="257D63F4"/>
    <w:multiLevelType w:val="hybridMultilevel"/>
    <w:lvl w:ilvl="0">
      <w:lvlJc w:val="left"/>
      <w:lvlText w:val="%1."/>
      <w:numFmt w:val="decimal"/>
      <w:start w:val="32"/>
    </w:lvl>
  </w:abstractNum>
  <w:abstractNum w:abstractNumId="264">
    <w:nsid w:val="70EC11B2"/>
    <w:multiLevelType w:val="hybridMultilevel"/>
    <w:lvl w:ilvl="0">
      <w:lvlJc w:val="left"/>
      <w:lvlText w:val="(%1)"/>
      <w:numFmt w:val="lowerLetter"/>
      <w:start w:val="1"/>
    </w:lvl>
  </w:abstractNum>
  <w:abstractNum w:abstractNumId="265">
    <w:nsid w:val="2EDA00ED"/>
    <w:multiLevelType w:val="hybridMultilevel"/>
    <w:lvl w:ilvl="0">
      <w:lvlJc w:val="left"/>
      <w:lvlText w:val="%1."/>
      <w:numFmt w:val="decimal"/>
      <w:start w:val="33"/>
    </w:lvl>
  </w:abstractNum>
  <w:abstractNum w:abstractNumId="266">
    <w:nsid w:val="73209072"/>
    <w:multiLevelType w:val="hybridMultilevel"/>
    <w:lvl w:ilvl="0">
      <w:lvlJc w:val="left"/>
      <w:lvlText w:val="(%1)"/>
      <w:numFmt w:val="lowerLetter"/>
      <w:start w:val="1"/>
    </w:lvl>
  </w:abstractNum>
  <w:abstractNum w:abstractNumId="267">
    <w:nsid w:val="5FB29816"/>
    <w:multiLevelType w:val="hybridMultilevel"/>
    <w:lvl w:ilvl="0">
      <w:lvlJc w:val="left"/>
      <w:lvlText w:val="%1."/>
      <w:numFmt w:val="decimal"/>
      <w:start w:val="34"/>
    </w:lvl>
  </w:abstractNum>
  <w:abstractNum w:abstractNumId="268">
    <w:nsid w:val="3CE732EC"/>
    <w:multiLevelType w:val="hybridMultilevel"/>
    <w:lvl w:ilvl="0">
      <w:lvlJc w:val="left"/>
      <w:lvlText w:val="%1."/>
      <w:numFmt w:val="decimal"/>
      <w:start w:val="36"/>
    </w:lvl>
  </w:abstractNum>
  <w:abstractNum w:abstractNumId="269">
    <w:nsid w:val="22F13DF3"/>
    <w:multiLevelType w:val="hybridMultilevel"/>
    <w:lvl w:ilvl="0">
      <w:lvlJc w:val="left"/>
      <w:lvlText w:val="%1."/>
      <w:numFmt w:val="decimal"/>
      <w:start w:val="37"/>
    </w:lvl>
  </w:abstractNum>
  <w:abstractNum w:abstractNumId="270">
    <w:nsid w:val="792B8401"/>
    <w:multiLevelType w:val="hybridMultilevel"/>
    <w:lvl w:ilvl="0">
      <w:lvlJc w:val="left"/>
      <w:lvlText w:val="%1."/>
      <w:numFmt w:val="decimal"/>
      <w:start w:val="38"/>
    </w:lvl>
  </w:abstractNum>
  <w:abstractNum w:abstractNumId="271">
    <w:nsid w:val="FA85F4D"/>
    <w:multiLevelType w:val="hybridMultilevel"/>
    <w:lvl w:ilvl="0">
      <w:lvlJc w:val="left"/>
      <w:lvlText w:val="%1."/>
      <w:numFmt w:val="decimal"/>
      <w:start w:val="39"/>
    </w:lvl>
  </w:abstractNum>
  <w:abstractNum w:abstractNumId="272">
    <w:nsid w:val="6ECE91F0"/>
    <w:multiLevelType w:val="hybridMultilevel"/>
    <w:lvl w:ilvl="0">
      <w:lvlJc w:val="left"/>
      <w:lvlText w:val="%1"/>
      <w:numFmt w:val="decimal"/>
      <w:start w:val="1"/>
    </w:lvl>
    <w:lvl w:ilvl="1">
      <w:lvlJc w:val="left"/>
      <w:lvlText w:val="(%2)"/>
      <w:numFmt w:val="lowerLetter"/>
      <w:start w:val="1"/>
    </w:lvl>
  </w:abstractNum>
  <w:abstractNum w:abstractNumId="273">
    <w:nsid w:val="4FC4D600"/>
    <w:multiLevelType w:val="hybridMultilevel"/>
    <w:lvl w:ilvl="0">
      <w:lvlJc w:val="left"/>
      <w:lvlText w:val="%1."/>
      <w:numFmt w:val="decimal"/>
      <w:start w:val="40"/>
    </w:lvl>
    <w:lvl w:ilvl="1">
      <w:lvlJc w:val="left"/>
      <w:lvlText w:val="%2"/>
      <w:numFmt w:val="lowerLetter"/>
      <w:start w:val="1"/>
    </w:lvl>
  </w:abstractNum>
  <w:abstractNum w:abstractNumId="274">
    <w:nsid w:val="5BFD4210"/>
    <w:multiLevelType w:val="hybridMultilevel"/>
    <w:lvl w:ilvl="0">
      <w:lvlJc w:val="left"/>
      <w:lvlText w:val="%1."/>
      <w:numFmt w:val="decimal"/>
      <w:start w:val="42"/>
    </w:lvl>
  </w:abstractNum>
  <w:abstractNum w:abstractNumId="275">
    <w:nsid w:val="76574F8B"/>
    <w:multiLevelType w:val="hybridMultilevel"/>
    <w:lvl w:ilvl="0">
      <w:lvlJc w:val="left"/>
      <w:lvlText w:val="%1."/>
      <w:numFmt w:val="decimal"/>
      <w:start w:val="43"/>
    </w:lvl>
  </w:abstractNum>
  <w:abstractNum w:abstractNumId="276">
    <w:nsid w:val="178F7B67"/>
    <w:multiLevelType w:val="hybridMultilevel"/>
    <w:lvl w:ilvl="0">
      <w:lvlJc w:val="left"/>
      <w:lvlText w:val="%1."/>
      <w:numFmt w:val="decimal"/>
      <w:start w:val="44"/>
    </w:lvl>
  </w:abstractNum>
  <w:abstractNum w:abstractNumId="277">
    <w:nsid w:val="2421DFCF"/>
    <w:multiLevelType w:val="hybridMultilevel"/>
    <w:lvl w:ilvl="0">
      <w:lvlJc w:val="left"/>
      <w:lvlText w:val="(%1)"/>
      <w:numFmt w:val="lowerLetter"/>
      <w:start w:val="1"/>
    </w:lvl>
  </w:abstractNum>
  <w:abstractNum w:abstractNumId="278">
    <w:nsid w:val="1565AC99"/>
    <w:multiLevelType w:val="hybridMultilevel"/>
    <w:lvl w:ilvl="0">
      <w:lvlJc w:val="left"/>
      <w:lvlText w:val="(%1)"/>
      <w:numFmt w:val="lowerLetter"/>
      <w:start w:val="2"/>
    </w:lvl>
  </w:abstractNum>
  <w:abstractNum w:abstractNumId="279">
    <w:nsid w:val="19FB2650"/>
    <w:multiLevelType w:val="hybridMultilevel"/>
    <w:lvl w:ilvl="0">
      <w:lvlJc w:val="left"/>
      <w:lvlText w:val="%1."/>
      <w:numFmt w:val="decimal"/>
      <w:start w:val="45"/>
    </w:lvl>
  </w:abstractNum>
  <w:abstractNum w:abstractNumId="280">
    <w:nsid w:val="5024DE5B"/>
    <w:multiLevelType w:val="hybridMultilevel"/>
    <w:lvl w:ilvl="0">
      <w:lvlJc w:val="left"/>
      <w:lvlText w:val="%1."/>
      <w:numFmt w:val="decimal"/>
      <w:start w:val="46"/>
    </w:lvl>
  </w:abstractNum>
  <w:abstractNum w:abstractNumId="281">
    <w:nsid w:val="168EFE17"/>
    <w:multiLevelType w:val="hybridMultilevel"/>
    <w:lvl w:ilvl="0">
      <w:lvlJc w:val="left"/>
      <w:lvlText w:val="%1."/>
      <w:numFmt w:val="decimal"/>
      <w:start w:val="47"/>
    </w:lvl>
  </w:abstractNum>
  <w:abstractNum w:abstractNumId="282">
    <w:nsid w:val="1036B29F"/>
    <w:multiLevelType w:val="hybridMultilevel"/>
    <w:lvl w:ilvl="0">
      <w:lvlJc w:val="left"/>
      <w:lvlText w:val="(%1)"/>
      <w:numFmt w:val="lowerLetter"/>
      <w:start w:val="1"/>
    </w:lvl>
    <w:lvl w:ilvl="1">
      <w:lvlJc w:val="left"/>
      <w:lvlText w:val="(%2)"/>
      <w:numFmt w:val="lowerRoman"/>
      <w:start w:val="1"/>
    </w:lvl>
  </w:abstractNum>
  <w:abstractNum w:abstractNumId="283">
    <w:nsid w:val="1D206B8E"/>
    <w:multiLevelType w:val="hybridMultilevel"/>
    <w:lvl w:ilvl="0">
      <w:lvlJc w:val="left"/>
      <w:lvlText w:val="%1."/>
      <w:numFmt w:val="decimal"/>
      <w:start w:val="48"/>
    </w:lvl>
  </w:abstractNum>
  <w:abstractNum w:abstractNumId="284">
    <w:nsid w:val="7934D3D4"/>
    <w:multiLevelType w:val="hybridMultilevel"/>
    <w:lvl w:ilvl="0">
      <w:lvlJc w:val="left"/>
      <w:lvlText w:val="(%1)"/>
      <w:numFmt w:val="lowerLetter"/>
      <w:start w:val="1"/>
    </w:lvl>
    <w:lvl w:ilvl="1">
      <w:lvlJc w:val="left"/>
      <w:lvlText w:val="(%2)"/>
      <w:numFmt w:val="lowerRoman"/>
      <w:start w:val="1"/>
    </w:lvl>
  </w:abstractNum>
  <w:abstractNum w:abstractNumId="285">
    <w:nsid w:val="1C65E98"/>
    <w:multiLevelType w:val="hybridMultilevel"/>
    <w:lvl w:ilvl="0">
      <w:lvlJc w:val="left"/>
      <w:lvlText w:val="%1."/>
      <w:numFmt w:val="decimal"/>
      <w:start w:val="50"/>
    </w:lvl>
  </w:abstractNum>
  <w:abstractNum w:abstractNumId="286">
    <w:nsid w:val="1495E50A"/>
    <w:multiLevelType w:val="hybridMultilevel"/>
    <w:lvl w:ilvl="0">
      <w:lvlJc w:val="left"/>
      <w:lvlText w:val="%1."/>
      <w:numFmt w:val="decimal"/>
      <w:start w:val="51"/>
    </w:lvl>
  </w:abstractNum>
  <w:abstractNum w:abstractNumId="287">
    <w:nsid w:val="F5BCF61"/>
    <w:multiLevelType w:val="hybridMultilevel"/>
    <w:lvl w:ilvl="0">
      <w:lvlJc w:val="left"/>
      <w:lvlText w:val="%1."/>
      <w:numFmt w:val="decimal"/>
      <w:start w:val="1"/>
    </w:lvl>
  </w:abstractNum>
  <w:abstractNum w:abstractNumId="288">
    <w:nsid w:val="3B1DD403"/>
    <w:multiLevelType w:val="hybridMultilevel"/>
    <w:lvl w:ilvl="0">
      <w:lvlJc w:val="left"/>
      <w:lvlText w:val="(%1)"/>
      <w:numFmt w:val="lowerLetter"/>
      <w:start w:val="1"/>
    </w:lvl>
  </w:abstractNum>
  <w:abstractNum w:abstractNumId="289">
    <w:nsid w:val="530386D1"/>
    <w:multiLevelType w:val="hybridMultilevel"/>
    <w:lvl w:ilvl="0">
      <w:lvlJc w:val="left"/>
      <w:lvlText w:val="(%1)"/>
      <w:numFmt w:val="lowerLetter"/>
      <w:start w:val="1"/>
    </w:lvl>
  </w:abstractNum>
  <w:abstractNum w:abstractNumId="290">
    <w:nsid w:val="7525F2BC"/>
    <w:multiLevelType w:val="hybridMultilevel"/>
    <w:lvl w:ilvl="0">
      <w:lvlJc w:val="left"/>
      <w:lvlText w:val="(%1)"/>
      <w:numFmt w:val="lowerLetter"/>
      <w:start w:val="1"/>
    </w:lvl>
  </w:abstractNum>
  <w:abstractNum w:abstractNumId="291">
    <w:nsid w:val="CE8E1A7"/>
    <w:multiLevelType w:val="hybridMultilevel"/>
    <w:lvl w:ilvl="0">
      <w:lvlJc w:val="left"/>
      <w:lvlText w:val="(%1)"/>
      <w:numFmt w:val="lowerLetter"/>
      <w:start w:val="2"/>
    </w:lvl>
  </w:abstractNum>
  <w:abstractNum w:abstractNumId="292">
    <w:nsid w:val="4E9EFB0D"/>
    <w:multiLevelType w:val="hybridMultilevel"/>
    <w:lvl w:ilvl="0">
      <w:lvlJc w:val="left"/>
      <w:lvlText w:val="%1."/>
      <w:numFmt w:val="decimal"/>
      <w:start w:val="2"/>
    </w:lvl>
  </w:abstractNum>
  <w:abstractNum w:abstractNumId="293">
    <w:nsid w:val="90802BE"/>
    <w:multiLevelType w:val="hybridMultilevel"/>
    <w:lvl w:ilvl="0">
      <w:lvlJc w:val="left"/>
      <w:lvlText w:val="%1."/>
      <w:numFmt w:val="decimal"/>
      <w:start w:val="3"/>
    </w:lvl>
    <w:lvl w:ilvl="1">
      <w:lvlJc w:val="left"/>
      <w:lvlText w:val="(%2)"/>
      <w:numFmt w:val="lowerLetter"/>
      <w:start w:val="1"/>
    </w:lvl>
  </w:abstractNum>
  <w:abstractNum w:abstractNumId="294">
    <w:nsid w:val="3266459B"/>
    <w:multiLevelType w:val="hybridMultilevel"/>
    <w:lvl w:ilvl="0">
      <w:lvlJc w:val="left"/>
      <w:lvlText w:val="%1."/>
      <w:numFmt w:val="decimal"/>
      <w:start w:val="4"/>
    </w:lvl>
  </w:abstractNum>
  <w:abstractNum w:abstractNumId="295">
    <w:nsid w:val="3F8B0CBF"/>
    <w:multiLevelType w:val="hybridMultilevel"/>
    <w:lvl w:ilvl="0">
      <w:lvlJc w:val="left"/>
      <w:lvlText w:val="(%1)"/>
      <w:numFmt w:val="lowerLetter"/>
      <w:start w:val="1"/>
    </w:lvl>
    <w:lvl w:ilvl="1">
      <w:lvlJc w:val="left"/>
      <w:lvlText w:val="(%2)"/>
      <w:numFmt w:val="lowerRoman"/>
      <w:start w:val="1"/>
    </w:lvl>
  </w:abstractNum>
  <w:abstractNum w:abstractNumId="296">
    <w:nsid w:val="37E203AB"/>
    <w:multiLevelType w:val="hybridMultilevel"/>
    <w:lvl w:ilvl="0">
      <w:lvlJc w:val="left"/>
      <w:lvlText w:val="%1."/>
      <w:numFmt w:val="decimal"/>
      <w:start w:val="5"/>
    </w:lvl>
  </w:abstractNum>
  <w:abstractNum w:abstractNumId="297">
    <w:nsid w:val="2586D60E"/>
    <w:multiLevelType w:val="hybridMultilevel"/>
    <w:lvl w:ilvl="0">
      <w:lvlJc w:val="left"/>
      <w:lvlText w:val="%1."/>
      <w:numFmt w:val="decimal"/>
      <w:start w:val="6"/>
    </w:lvl>
  </w:abstractNum>
  <w:abstractNum w:abstractNumId="298">
    <w:nsid w:val="1F3DA4D5"/>
    <w:multiLevelType w:val="hybridMultilevel"/>
    <w:lvl w:ilvl="0">
      <w:lvlJc w:val="left"/>
      <w:lvlText w:val="%1."/>
      <w:numFmt w:val="decimal"/>
      <w:start w:val="7"/>
    </w:lvl>
  </w:abstractNum>
  <w:abstractNum w:abstractNumId="299">
    <w:nsid w:val="74C93698"/>
    <w:multiLevelType w:val="hybridMultilevel"/>
    <w:lvl w:ilvl="0">
      <w:lvlJc w:val="left"/>
      <w:lvlText w:val="(%1)"/>
      <w:numFmt w:val="lowerLetter"/>
      <w:start w:val="1"/>
    </w:lvl>
  </w:abstractNum>
  <w:abstractNum w:abstractNumId="300">
    <w:nsid w:val="48781401"/>
    <w:multiLevelType w:val="hybridMultilevel"/>
    <w:lvl w:ilvl="0">
      <w:lvlJc w:val="left"/>
      <w:lvlText w:val="%1."/>
      <w:numFmt w:val="decimal"/>
      <w:start w:val="8"/>
    </w:lvl>
  </w:abstractNum>
  <w:abstractNum w:abstractNumId="301">
    <w:nsid w:val="186928D6"/>
    <w:multiLevelType w:val="hybridMultilevel"/>
    <w:lvl w:ilvl="0">
      <w:lvlJc w:val="left"/>
      <w:lvlText w:val="%1."/>
      <w:numFmt w:val="decimal"/>
      <w:start w:val="9"/>
    </w:lvl>
  </w:abstractNum>
  <w:abstractNum w:abstractNumId="302">
    <w:nsid w:val="47195E5"/>
    <w:multiLevelType w:val="hybridMultilevel"/>
    <w:lvl w:ilvl="0">
      <w:lvlJc w:val="left"/>
      <w:lvlText w:val="%1."/>
      <w:numFmt w:val="decimal"/>
      <w:start w:val="10"/>
    </w:lvl>
  </w:abstractNum>
  <w:abstractNum w:abstractNumId="303">
    <w:nsid w:val="3746A5F2"/>
    <w:multiLevelType w:val="hybridMultilevel"/>
    <w:lvl w:ilvl="0">
      <w:lvlJc w:val="left"/>
      <w:lvlText w:val="%1."/>
      <w:numFmt w:val="decimal"/>
      <w:start w:val="11"/>
    </w:lvl>
  </w:abstractNum>
  <w:abstractNum w:abstractNumId="304">
    <w:nsid w:val="682DFED6"/>
    <w:multiLevelType w:val="hybridMultilevel"/>
    <w:lvl w:ilvl="0">
      <w:lvlJc w:val="left"/>
      <w:lvlText w:val="(%1)"/>
      <w:numFmt w:val="lowerLetter"/>
      <w:start w:val="1"/>
    </w:lvl>
    <w:lvl w:ilvl="1">
      <w:lvlJc w:val="left"/>
      <w:lvlText w:val="(%2)"/>
      <w:numFmt w:val="lowerRoman"/>
      <w:start w:val="1"/>
    </w:lvl>
  </w:abstractNum>
  <w:abstractNum w:abstractNumId="305">
    <w:nsid w:val="606ED7F6"/>
    <w:multiLevelType w:val="hybridMultilevel"/>
    <w:lvl w:ilvl="0">
      <w:lvlJc w:val="left"/>
      <w:lvlText w:val="%1."/>
      <w:numFmt w:val="decimal"/>
      <w:start w:val="12"/>
    </w:lvl>
  </w:abstractNum>
  <w:abstractNum w:abstractNumId="306">
    <w:nsid w:val="2D9DF57D"/>
    <w:multiLevelType w:val="hybridMultilevel"/>
    <w:lvl w:ilvl="0">
      <w:lvlJc w:val="left"/>
      <w:lvlText w:val="%1."/>
      <w:numFmt w:val="decimal"/>
      <w:start w:val="13"/>
    </w:lvl>
  </w:abstractNum>
  <w:abstractNum w:abstractNumId="307">
    <w:nsid w:val="7FBD7A3E"/>
    <w:multiLevelType w:val="hybridMultilevel"/>
    <w:lvl w:ilvl="0">
      <w:lvlJc w:val="left"/>
      <w:lvlText w:val="%1."/>
      <w:numFmt w:val="decimal"/>
      <w:start w:val="15"/>
    </w:lvl>
  </w:abstractNum>
  <w:abstractNum w:abstractNumId="308">
    <w:nsid w:val="490B7C5"/>
    <w:multiLevelType w:val="hybridMultilevel"/>
    <w:lvl w:ilvl="0">
      <w:lvlJc w:val="left"/>
      <w:lvlText w:val="%1."/>
      <w:numFmt w:val="decimal"/>
      <w:start w:val="16"/>
    </w:lvl>
  </w:abstractNum>
  <w:abstractNum w:abstractNumId="309">
    <w:nsid w:val="4303A216"/>
    <w:multiLevelType w:val="hybridMultilevel"/>
    <w:lvl w:ilvl="0">
      <w:lvlJc w:val="left"/>
      <w:lvlText w:val="%1."/>
      <w:numFmt w:val="decimal"/>
      <w:start w:val="17"/>
    </w:lvl>
  </w:abstractNum>
  <w:abstractNum w:abstractNumId="310">
    <w:nsid w:val="19B8A08E"/>
    <w:multiLevelType w:val="hybridMultilevel"/>
    <w:lvl w:ilvl="0">
      <w:lvlJc w:val="left"/>
      <w:lvlText w:val="%1."/>
      <w:numFmt w:val="decimal"/>
      <w:start w:val="18"/>
    </w:lvl>
  </w:abstractNum>
  <w:abstractNum w:abstractNumId="311">
    <w:nsid w:val="54B59621"/>
    <w:multiLevelType w:val="hybridMultilevel"/>
    <w:lvl w:ilvl="0">
      <w:lvlJc w:val="left"/>
      <w:lvlText w:val="(%1)"/>
      <w:numFmt w:val="lowerLetter"/>
      <w:start w:val="1"/>
    </w:lvl>
  </w:abstractNum>
  <w:abstractNum w:abstractNumId="312">
    <w:nsid w:val="5992A02E"/>
    <w:multiLevelType w:val="hybridMultilevel"/>
    <w:lvl w:ilvl="0">
      <w:lvlJc w:val="left"/>
      <w:lvlText w:val="(%1)"/>
      <w:numFmt w:val="lowerLetter"/>
      <w:start w:val="6"/>
    </w:lvl>
  </w:abstractNum>
  <w:abstractNum w:abstractNumId="313">
    <w:nsid w:val="29EF532D"/>
    <w:multiLevelType w:val="hybridMultilevel"/>
    <w:lvl w:ilvl="0">
      <w:lvlJc w:val="left"/>
      <w:lvlText w:val="%1."/>
      <w:numFmt w:val="decimal"/>
      <w:start w:val="19"/>
    </w:lvl>
  </w:abstractNum>
  <w:abstractNum w:abstractNumId="314">
    <w:nsid w:val="71D601AF"/>
    <w:multiLevelType w:val="hybridMultilevel"/>
    <w:lvl w:ilvl="0">
      <w:lvlJc w:val="left"/>
      <w:lvlText w:val="%1."/>
      <w:numFmt w:val="decimal"/>
      <w:start w:val="20"/>
    </w:lvl>
  </w:abstractNum>
  <w:abstractNum w:abstractNumId="315">
    <w:nsid w:val="52C77402"/>
    <w:multiLevelType w:val="hybridMultilevel"/>
    <w:lvl w:ilvl="0">
      <w:lvlJc w:val="left"/>
      <w:lvlText w:val="%1."/>
      <w:numFmt w:val="decimal"/>
      <w:start w:val="21"/>
    </w:lvl>
  </w:abstractNum>
  <w:abstractNum w:abstractNumId="316">
    <w:nsid w:val="2BB5B1C6"/>
    <w:multiLevelType w:val="hybridMultilevel"/>
    <w:lvl w:ilvl="0">
      <w:lvlJc w:val="left"/>
      <w:lvlText w:val="(%1)"/>
      <w:numFmt w:val="lowerLetter"/>
      <w:start w:val="1"/>
    </w:lvl>
  </w:abstractNum>
  <w:abstractNum w:abstractNumId="317">
    <w:nsid w:val="66BE6B9"/>
    <w:multiLevelType w:val="hybridMultilevel"/>
    <w:lvl w:ilvl="0">
      <w:lvlJc w:val="left"/>
      <w:lvlText w:val="(%1)"/>
      <w:numFmt w:val="lowerLetter"/>
      <w:start w:val="1"/>
    </w:lvl>
  </w:abstractNum>
  <w:abstractNum w:abstractNumId="318">
    <w:nsid w:val="62234363"/>
    <w:multiLevelType w:val="hybridMultilevel"/>
    <w:lvl w:ilvl="0">
      <w:lvlJc w:val="left"/>
      <w:lvlText w:val="(%1)"/>
      <w:numFmt w:val="lowerLetter"/>
      <w:start w:val="4"/>
    </w:lvl>
    <w:lvl w:ilvl="1">
      <w:lvlJc w:val="left"/>
      <w:lvlText w:val="(%2)"/>
      <w:numFmt w:val="lowerRoman"/>
      <w:start w:val="1"/>
    </w:lvl>
  </w:abstractNum>
  <w:abstractNum w:abstractNumId="319">
    <w:nsid w:val="66D385C9"/>
    <w:multiLevelType w:val="hybridMultilevel"/>
    <w:lvl w:ilvl="0">
      <w:lvlJc w:val="left"/>
      <w:lvlText w:val="(%1)"/>
      <w:numFmt w:val="lowerLetter"/>
      <w:start w:val="10"/>
    </w:lvl>
  </w:abstractNum>
  <w:abstractNum w:abstractNumId="320">
    <w:nsid w:val="596F6D8A"/>
    <w:multiLevelType w:val="hybridMultilevel"/>
    <w:lvl w:ilvl="0">
      <w:lvlJc w:val="left"/>
      <w:lvlText w:val="%1."/>
      <w:numFmt w:val="decimal"/>
      <w:start w:val="22"/>
    </w:lvl>
  </w:abstractNum>
  <w:abstractNum w:abstractNumId="321">
    <w:nsid w:val="5749361F"/>
    <w:multiLevelType w:val="hybridMultilevel"/>
    <w:lvl w:ilvl="0">
      <w:lvlJc w:val="left"/>
      <w:lvlText w:val="%1."/>
      <w:numFmt w:val="decimal"/>
      <w:start w:val="23"/>
    </w:lvl>
  </w:abstractNum>
  <w:abstractNum w:abstractNumId="322">
    <w:nsid w:val="73BC6770"/>
    <w:multiLevelType w:val="hybridMultilevel"/>
    <w:lvl w:ilvl="0">
      <w:lvlJc w:val="left"/>
      <w:lvlText w:val="%1."/>
      <w:numFmt w:val="decimal"/>
      <w:start w:val="24"/>
    </w:lvl>
  </w:abstractNum>
  <w:abstractNum w:abstractNumId="323">
    <w:nsid w:val="280E6897"/>
    <w:multiLevelType w:val="hybridMultilevel"/>
    <w:lvl w:ilvl="0">
      <w:lvlJc w:val="left"/>
      <w:lvlText w:val="%1."/>
      <w:numFmt w:val="decimal"/>
      <w:start w:val="25"/>
    </w:lvl>
  </w:abstractNum>
  <w:abstractNum w:abstractNumId="324">
    <w:nsid w:val="605138DE"/>
    <w:multiLevelType w:val="hybridMultilevel"/>
    <w:lvl w:ilvl="0">
      <w:lvlJc w:val="left"/>
      <w:lvlText w:val="(%1)"/>
      <w:numFmt w:val="lowerLetter"/>
      <w:start w:val="1"/>
    </w:lvl>
  </w:abstractNum>
  <w:abstractNum w:abstractNumId="325">
    <w:nsid w:val="2622AD0C"/>
    <w:multiLevelType w:val="hybridMultilevel"/>
    <w:lvl w:ilvl="0">
      <w:lvlJc w:val="left"/>
      <w:lvlText w:val="(%1)"/>
      <w:numFmt w:val="lowerLetter"/>
      <w:start w:val="1"/>
    </w:lvl>
  </w:abstractNum>
  <w:abstractNum w:abstractNumId="326">
    <w:nsid w:val="67997556"/>
    <w:multiLevelType w:val="hybridMultilevel"/>
    <w:lvl w:ilvl="0">
      <w:lvlJc w:val="left"/>
      <w:lvlText w:val="%1."/>
      <w:numFmt w:val="decimal"/>
      <w:start w:val="26"/>
    </w:lvl>
  </w:abstractNum>
  <w:abstractNum w:abstractNumId="327">
    <w:nsid w:val="18333C89"/>
    <w:multiLevelType w:val="hybridMultilevel"/>
    <w:lvl w:ilvl="0">
      <w:lvlJc w:val="left"/>
      <w:lvlText w:val="(%1)"/>
      <w:numFmt w:val="lowerLetter"/>
      <w:start w:val="1"/>
    </w:lvl>
  </w:abstractNum>
  <w:abstractNum w:abstractNumId="328">
    <w:nsid w:val="4BA9831A"/>
    <w:multiLevelType w:val="hybridMultilevel"/>
    <w:lvl w:ilvl="0">
      <w:lvlJc w:val="left"/>
      <w:lvlText w:val="%1."/>
      <w:numFmt w:val="decimal"/>
      <w:start w:val="27"/>
    </w:lvl>
  </w:abstractNum>
  <w:abstractNum w:abstractNumId="329">
    <w:nsid w:val="6D71A2B"/>
    <w:multiLevelType w:val="hybridMultilevel"/>
    <w:lvl w:ilvl="0">
      <w:lvlJc w:val="left"/>
      <w:lvlText w:val="(%1)"/>
      <w:numFmt w:val="lowerLetter"/>
      <w:start w:val="1"/>
    </w:lvl>
  </w:abstractNum>
  <w:abstractNum w:abstractNumId="330">
    <w:nsid w:val="CFC7321"/>
    <w:multiLevelType w:val="hybridMultilevel"/>
    <w:lvl w:ilvl="0">
      <w:lvlJc w:val="left"/>
      <w:lvlText w:val="%1."/>
      <w:numFmt w:val="decimal"/>
      <w:start w:val="28"/>
    </w:lvl>
  </w:abstractNum>
  <w:abstractNum w:abstractNumId="331">
    <w:nsid w:val="1421971B"/>
    <w:multiLevelType w:val="hybridMultilevel"/>
    <w:lvl w:ilvl="0">
      <w:lvlJc w:val="left"/>
      <w:lvlText w:val="%1."/>
      <w:numFmt w:val="decimal"/>
      <w:start w:val="30"/>
    </w:lvl>
  </w:abstractNum>
  <w:abstractNum w:abstractNumId="332">
    <w:nsid w:val="1F404301"/>
    <w:multiLevelType w:val="hybridMultilevel"/>
    <w:lvl w:ilvl="0">
      <w:lvlJc w:val="left"/>
      <w:lvlText w:val="%1."/>
      <w:numFmt w:val="decimal"/>
      <w:start w:val="31"/>
    </w:lvl>
  </w:abstractNum>
  <w:abstractNum w:abstractNumId="333">
    <w:nsid w:val="116E0907"/>
    <w:multiLevelType w:val="hybridMultilevel"/>
    <w:lvl w:ilvl="0">
      <w:lvlJc w:val="left"/>
      <w:lvlText w:val="%1."/>
      <w:numFmt w:val="decimal"/>
      <w:start w:val="32"/>
    </w:lvl>
  </w:abstractNum>
  <w:abstractNum w:abstractNumId="334">
    <w:nsid w:val="4B683D0D"/>
    <w:multiLevelType w:val="hybridMultilevel"/>
    <w:lvl w:ilvl="0">
      <w:lvlJc w:val="left"/>
      <w:lvlText w:val="%1."/>
      <w:numFmt w:val="decimal"/>
      <w:start w:val="33"/>
    </w:lvl>
  </w:abstractNum>
  <w:abstractNum w:abstractNumId="335">
    <w:nsid w:val="76E41D8"/>
    <w:multiLevelType w:val="hybridMultilevel"/>
    <w:lvl w:ilvl="0">
      <w:lvlJc w:val="left"/>
      <w:lvlText w:val="%1"/>
      <w:numFmt w:val="decimal"/>
      <w:start w:val="1"/>
    </w:lvl>
    <w:lvl w:ilvl="1">
      <w:lvlJc w:val="left"/>
      <w:lvlText w:val="(%2)"/>
      <w:numFmt w:val="lowerLetter"/>
      <w:start w:val="1"/>
    </w:lvl>
  </w:abstractNum>
  <w:abstractNum w:abstractNumId="336">
    <w:nsid w:val="71DCE0FD"/>
    <w:multiLevelType w:val="hybridMultilevel"/>
    <w:lvl w:ilvl="0">
      <w:lvlJc w:val="left"/>
      <w:lvlText w:val="%1."/>
      <w:numFmt w:val="decimal"/>
      <w:start w:val="34"/>
    </w:lvl>
    <w:lvl w:ilvl="1">
      <w:lvlJc w:val="left"/>
      <w:lvlText w:val="%2"/>
      <w:numFmt w:val="lowerLetter"/>
      <w:start w:val="1"/>
    </w:lvl>
  </w:abstractNum>
  <w:abstractNum w:abstractNumId="337">
    <w:nsid w:val="7906328B"/>
    <w:multiLevelType w:val="hybridMultilevel"/>
    <w:lvl w:ilvl="0">
      <w:lvlJc w:val="left"/>
      <w:lvlText w:val="%1."/>
      <w:numFmt w:val="decimal"/>
      <w:start w:val="36"/>
    </w:lvl>
  </w:abstractNum>
  <w:abstractNum w:abstractNumId="338">
    <w:nsid w:val="72BBC16"/>
    <w:multiLevelType w:val="hybridMultilevel"/>
    <w:lvl w:ilvl="0">
      <w:lvlJc w:val="left"/>
      <w:lvlText w:val="%1."/>
      <w:numFmt w:val="decimal"/>
      <w:start w:val="37"/>
    </w:lvl>
  </w:abstractNum>
  <w:abstractNum w:abstractNumId="339">
    <w:nsid w:val="766D98C2"/>
    <w:multiLevelType w:val="hybridMultilevel"/>
    <w:lvl w:ilvl="0">
      <w:lvlJc w:val="left"/>
      <w:lvlText w:val="%1."/>
      <w:numFmt w:val="decimal"/>
      <w:start w:val="38"/>
    </w:lvl>
  </w:abstractNum>
  <w:abstractNum w:abstractNumId="340">
    <w:nsid w:val="3C09D4A1"/>
    <w:multiLevelType w:val="hybridMultilevel"/>
    <w:lvl w:ilvl="0">
      <w:lvlJc w:val="left"/>
      <w:lvlText w:val="(%1)"/>
      <w:numFmt w:val="lowerLetter"/>
      <w:start w:val="1"/>
    </w:lvl>
  </w:abstractNum>
  <w:abstractNum w:abstractNumId="341">
    <w:nsid w:val="20E45CA4"/>
    <w:multiLevelType w:val="hybridMultilevel"/>
    <w:lvl w:ilvl="0">
      <w:lvlJc w:val="left"/>
      <w:lvlText w:val="%1."/>
      <w:numFmt w:val="decimal"/>
      <w:start w:val="39"/>
    </w:lvl>
  </w:abstractNum>
  <w:abstractNum w:abstractNumId="342">
    <w:nsid w:val="4B232EE3"/>
    <w:multiLevelType w:val="hybridMultilevel"/>
    <w:lvl w:ilvl="0">
      <w:lvlJc w:val="left"/>
      <w:lvlText w:val="%1."/>
      <w:numFmt w:val="decimal"/>
      <w:start w:val="40"/>
    </w:lvl>
  </w:abstractNum>
  <w:abstractNum w:abstractNumId="343">
    <w:nsid w:val="159C74CF"/>
    <w:multiLevelType w:val="hybridMultilevel"/>
    <w:lvl w:ilvl="0">
      <w:lvlJc w:val="left"/>
      <w:lvlText w:val="%1."/>
      <w:numFmt w:val="decimal"/>
      <w:start w:val="41"/>
    </w:lvl>
  </w:abstractNum>
  <w:abstractNum w:abstractNumId="344">
    <w:nsid w:val="4AD3AFD2"/>
    <w:multiLevelType w:val="hybridMultilevel"/>
    <w:lvl w:ilvl="0">
      <w:lvlJc w:val="left"/>
      <w:lvlText w:val="(%1)"/>
      <w:numFmt w:val="lowerLetter"/>
      <w:start w:val="1"/>
    </w:lvl>
    <w:lvl w:ilvl="1">
      <w:lvlJc w:val="left"/>
      <w:lvlText w:val="(%2)"/>
      <w:numFmt w:val="lowerRoman"/>
      <w:start w:val="1"/>
    </w:lvl>
  </w:abstractNum>
  <w:abstractNum w:abstractNumId="345">
    <w:nsid w:val="3CF93092"/>
    <w:multiLevelType w:val="hybridMultilevel"/>
    <w:lvl w:ilvl="0">
      <w:lvlJc w:val="left"/>
      <w:lvlText w:val="%1"/>
      <w:numFmt w:val="lowerLetter"/>
      <w:start w:val="1"/>
    </w:lvl>
    <w:lvl w:ilvl="1">
      <w:lvlJc w:val="left"/>
      <w:lvlText w:val="(%2)"/>
      <w:numFmt w:val="lowerLetter"/>
      <w:start w:val="61"/>
    </w:lvl>
  </w:abstractNum>
  <w:abstractNum w:abstractNumId="346">
    <w:nsid w:val="6863E8D2"/>
    <w:multiLevelType w:val="hybridMultilevel"/>
    <w:lvl w:ilvl="0">
      <w:lvlJc w:val="left"/>
      <w:lvlText w:val="(%1)"/>
      <w:numFmt w:val="lowerLetter"/>
      <w:start w:val="2"/>
    </w:lvl>
    <w:lvl w:ilvl="1">
      <w:lvlJc w:val="left"/>
      <w:lvlText w:val="(%2)"/>
      <w:numFmt w:val="lowerLetter"/>
      <w:start w:val="9"/>
    </w:lvl>
  </w:abstractNum>
  <w:abstractNum w:abstractNumId="347">
    <w:nsid w:val="76896198"/>
    <w:multiLevelType w:val="hybridMultilevel"/>
    <w:lvl w:ilvl="0">
      <w:lvlJc w:val="left"/>
      <w:lvlText w:val="(%1)"/>
      <w:numFmt w:val="lowerRoman"/>
      <w:start w:val="2"/>
    </w:lvl>
  </w:abstractNum>
  <w:abstractNum w:abstractNumId="348">
    <w:nsid w:val="4365174B"/>
    <w:multiLevelType w:val="hybridMultilevel"/>
    <w:lvl w:ilvl="0">
      <w:lvlJc w:val="left"/>
      <w:lvlText w:val="(%1)"/>
      <w:numFmt w:val="lowerLetter"/>
      <w:start w:val="1"/>
    </w:lvl>
  </w:abstractNum>
  <w:abstractNum w:abstractNumId="349">
    <w:nsid w:val="4A872C35"/>
    <w:multiLevelType w:val="hybridMultilevel"/>
    <w:lvl w:ilvl="0">
      <w:lvlJc w:val="left"/>
      <w:lvlText w:val="(%1)"/>
      <w:numFmt w:val="lowerLetter"/>
      <w:start w:val="3"/>
    </w:lvl>
    <w:lvl w:ilvl="1">
      <w:lvlJc w:val="left"/>
      <w:lvlText w:val="(%2)"/>
      <w:numFmt w:val="lowerRoman"/>
      <w:start w:val="1"/>
    </w:lvl>
  </w:abstractNum>
  <w:abstractNum w:abstractNumId="350">
    <w:nsid w:val="5D5CE761"/>
    <w:multiLevelType w:val="hybridMultilevel"/>
    <w:lvl w:ilvl="0">
      <w:lvlJc w:val="left"/>
      <w:lvlText w:val="(%1)"/>
      <w:numFmt w:val="lowerLetter"/>
      <w:start w:val="5"/>
    </w:lvl>
    <w:lvl w:ilvl="1">
      <w:lvlJc w:val="left"/>
      <w:lvlText w:val="(%2)"/>
      <w:numFmt w:val="lowerRoman"/>
      <w:start w:val="1"/>
    </w:lvl>
  </w:abstractNum>
  <w:abstractNum w:abstractNumId="351">
    <w:nsid w:val="1CD484D5"/>
    <w:multiLevelType w:val="hybridMultilevel"/>
    <w:lvl w:ilvl="0">
      <w:lvlJc w:val="left"/>
      <w:lvlText w:val="%1"/>
      <w:numFmt w:val="lowerLetter"/>
      <w:start w:val="1"/>
    </w:lvl>
    <w:lvl w:ilvl="1">
      <w:lvlJc w:val="left"/>
      <w:lvlText w:val="(%2)"/>
      <w:numFmt w:val="lowerLetter"/>
      <w:start w:val="35"/>
    </w:lvl>
  </w:abstractNum>
  <w:abstractNum w:abstractNumId="352">
    <w:nsid w:val="21D06255"/>
    <w:multiLevelType w:val="hybridMultilevel"/>
    <w:lvl w:ilvl="0">
      <w:lvlJc w:val="left"/>
      <w:lvlText w:val="(%1)"/>
      <w:numFmt w:val="lowerLetter"/>
      <w:start w:val="6"/>
    </w:lvl>
    <w:lvl w:ilvl="1">
      <w:lvlJc w:val="left"/>
      <w:lvlText w:val="%2"/>
      <w:numFmt w:val="lowerLetter"/>
      <w:start w:val="1"/>
    </w:lvl>
  </w:abstractNum>
  <w:abstractNum w:abstractNumId="353">
    <w:nsid w:val="51194ED1"/>
    <w:multiLevelType w:val="hybridMultilevel"/>
    <w:lvl w:ilvl="0">
      <w:lvlJc w:val="left"/>
      <w:lvlText w:val="(%1)"/>
      <w:numFmt w:val="lowerLetter"/>
      <w:start w:val="1"/>
    </w:lvl>
  </w:abstractNum>
  <w:abstractNum w:abstractNumId="354">
    <w:nsid w:val="44E2ED6C"/>
    <w:multiLevelType w:val="hybridMultilevel"/>
    <w:lvl w:ilvl="0">
      <w:lvlJc w:val="left"/>
      <w:lvlText w:val="(%1)"/>
      <w:numFmt w:val="lowerLetter"/>
      <w:start w:val="3"/>
    </w:lvl>
  </w:abstractNum>
  <w:abstractNum w:abstractNumId="355">
    <w:nsid w:val="2219B33"/>
    <w:multiLevelType w:val="hybridMultilevel"/>
    <w:lvl w:ilvl="0">
      <w:lvlJc w:val="left"/>
      <w:lvlText w:val="(%1)"/>
      <w:numFmt w:val="lowerRoman"/>
      <w:start w:val="1"/>
    </w:lvl>
  </w:abstractNum>
  <w:abstractNum w:abstractNumId="356">
    <w:nsid w:val="773BFBDD"/>
    <w:multiLevelType w:val="hybridMultilevel"/>
    <w:lvl w:ilvl="0">
      <w:lvlJc w:val="left"/>
      <w:lvlText w:val="(%1)"/>
      <w:numFmt w:val="lowerRoman"/>
      <w:start w:val="9"/>
    </w:lvl>
  </w:abstractNum>
  <w:abstractNum w:abstractNumId="357">
    <w:nsid w:val="2C7C62C2"/>
    <w:multiLevelType w:val="hybridMultilevel"/>
    <w:lvl w:ilvl="0">
      <w:lvlJc w:val="left"/>
      <w:lvlText w:val="(%1)"/>
      <w:numFmt w:val="lowerRoman"/>
      <w:start w:val="10"/>
    </w:lvl>
  </w:abstractNum>
  <w:abstractNum w:abstractNumId="358">
    <w:nsid w:val="1A54D7BC"/>
    <w:multiLevelType w:val="hybridMultilevel"/>
    <w:lvl w:ilvl="0">
      <w:lvlJc w:val="left"/>
      <w:lvlText w:val="(%1)"/>
      <w:numFmt w:val="upperLetter"/>
      <w:start w:val="1"/>
    </w:lvl>
  </w:abstractNum>
  <w:abstractNum w:abstractNumId="359">
    <w:nsid w:val="42E57EF7"/>
    <w:multiLevelType w:val="hybridMultilevel"/>
    <w:lvl w:ilvl="0">
      <w:lvlJc w:val="left"/>
      <w:lvlText w:val="(%1)"/>
      <w:numFmt w:val="upperLetter"/>
      <w:start w:val="3"/>
    </w:lvl>
  </w:abstractNum>
  <w:abstractNum w:abstractNumId="360">
    <w:nsid w:val="33537CED"/>
    <w:multiLevelType w:val="hybridMultilevel"/>
    <w:lvl w:ilvl="0">
      <w:lvlJc w:val="left"/>
      <w:lvlText w:val="(%1)"/>
      <w:numFmt w:val="upperLetter"/>
      <w:start w:val="4"/>
    </w:lvl>
  </w:abstractNum>
  <w:abstractNum w:abstractNumId="361">
    <w:nsid w:val="27514ADE"/>
    <w:multiLevelType w:val="hybridMultilevel"/>
    <w:lvl w:ilvl="0">
      <w:lvlJc w:val="left"/>
      <w:lvlText w:val="(%1)"/>
      <w:numFmt w:val="lowerRoman"/>
      <w:start w:val="1"/>
    </w:lvl>
  </w:abstractNum>
  <w:abstractNum w:abstractNumId="362">
    <w:nsid w:val="57071613"/>
    <w:multiLevelType w:val="hybridMultilevel"/>
    <w:lvl w:ilvl="0">
      <w:lvlJc w:val="left"/>
      <w:lvlText w:val="%1."/>
      <w:numFmt w:val="decimal"/>
      <w:start w:val="1"/>
    </w:lvl>
  </w:abstractNum>
  <w:abstractNum w:abstractNumId="363">
    <w:nsid w:val="5293BFEF"/>
    <w:multiLevelType w:val="hybridMultilevel"/>
    <w:lvl w:ilvl="0">
      <w:lvlJc w:val="left"/>
      <w:lvlText w:val="%1."/>
      <w:numFmt w:val="decimal"/>
      <w:start w:val="2"/>
    </w:lvl>
  </w:abstractNum>
  <w:abstractNum w:abstractNumId="364">
    <w:nsid w:val="38BF53E5"/>
    <w:multiLevelType w:val="hybridMultilevel"/>
    <w:lvl w:ilvl="0">
      <w:lvlJc w:val="left"/>
      <w:lvlText w:val="%1"/>
      <w:numFmt w:val="lowerLetter"/>
      <w:start w:val="1"/>
    </w:lvl>
    <w:lvl w:ilvl="1">
      <w:lvlJc w:val="left"/>
      <w:lvlText w:val="(%2)"/>
      <w:numFmt w:val="lowerRoman"/>
      <w:start w:val="1"/>
    </w:lvl>
  </w:abstractNum>
  <w:abstractNum w:abstractNumId="365">
    <w:nsid w:val="226F5320"/>
    <w:multiLevelType w:val="hybridMultilevel"/>
    <w:lvl w:ilvl="0">
      <w:lvlJc w:val="left"/>
      <w:lvlText w:val="(%1)"/>
      <w:numFmt w:val="lowerLetter"/>
      <w:start w:val="1"/>
    </w:lvl>
    <w:lvl w:ilvl="1">
      <w:lvlJc w:val="left"/>
      <w:lvlText w:val="%2"/>
      <w:numFmt w:val="lowerRoman"/>
      <w:start w:val="1"/>
    </w:lvl>
  </w:abstractNum>
  <w:abstractNum w:abstractNumId="366">
    <w:nsid w:val="5A0201C7"/>
    <w:multiLevelType w:val="hybridMultilevel"/>
    <w:lvl w:ilvl="0">
      <w:lvlJc w:val="left"/>
      <w:lvlText w:val="%1"/>
      <w:numFmt w:val="upperLetter"/>
      <w:start w:val="1"/>
    </w:lvl>
    <w:lvl w:ilvl="1">
      <w:lvlJc w:val="left"/>
      <w:lvlText w:val="(%2)"/>
      <w:numFmt w:val="lowerLetter"/>
      <w:start w:val="1"/>
    </w:lvl>
  </w:abstractNum>
  <w:abstractNum w:abstractNumId="367">
    <w:nsid w:val="2A9C34E2"/>
    <w:multiLevelType w:val="hybridMultilevel"/>
    <w:lvl w:ilvl="0">
      <w:lvlJc w:val="left"/>
      <w:lvlText w:val="(%1)"/>
      <w:numFmt w:val="upperLetter"/>
      <w:start w:val="3"/>
    </w:lvl>
    <w:lvl w:ilvl="1">
      <w:lvlJc w:val="left"/>
      <w:lvlText w:val="(%2)"/>
      <w:numFmt w:val="lowerLetter"/>
      <w:start w:val="2"/>
    </w:lvl>
  </w:abstractNum>
  <w:abstractNum w:abstractNumId="368">
    <w:nsid w:val="1B7585AB"/>
    <w:multiLevelType w:val="hybridMultilevel"/>
    <w:lvl w:ilvl="0">
      <w:lvlJc w:val="left"/>
      <w:lvlText w:val="%1."/>
      <w:numFmt w:val="decimal"/>
      <w:start w:val="3"/>
    </w:lvl>
  </w:abstractNum>
  <w:abstractNum w:abstractNumId="369">
    <w:nsid w:val="612DBDDD"/>
    <w:multiLevelType w:val="hybridMultilevel"/>
    <w:lvl w:ilvl="0">
      <w:lvlJc w:val="left"/>
      <w:lvlText w:val="(%1)"/>
      <w:numFmt w:val="lowerRoman"/>
      <w:start w:val="4"/>
    </w:lvl>
  </w:abstractNum>
  <w:abstractNum w:abstractNumId="370">
    <w:nsid w:val="2109CDA4"/>
    <w:multiLevelType w:val="hybridMultilevel"/>
    <w:lvl w:ilvl="0">
      <w:lvlJc w:val="left"/>
      <w:lvlText w:val="(%1)"/>
      <w:numFmt w:val="lowerRoman"/>
      <w:start w:val="7"/>
    </w:lvl>
  </w:abstractNum>
  <w:abstractNum w:abstractNumId="371">
    <w:nsid w:val="577F5A4D"/>
    <w:multiLevelType w:val="hybridMultilevel"/>
    <w:lvl w:ilvl="0">
      <w:lvlJc w:val="left"/>
      <w:lvlText w:val="%1."/>
      <w:numFmt w:val="decimal"/>
      <w:start w:val="4"/>
    </w:lvl>
  </w:abstractNum>
  <w:abstractNum w:abstractNumId="372">
    <w:nsid w:val="2121A81"/>
    <w:multiLevelType w:val="hybridMultilevel"/>
    <w:lvl w:ilvl="0">
      <w:lvlJc w:val="left"/>
      <w:lvlText w:val="%1."/>
      <w:numFmt w:val="decimal"/>
      <w:start w:val="5"/>
    </w:lvl>
  </w:abstractNum>
  <w:abstractNum w:abstractNumId="373">
    <w:nsid w:val="6C2CFC88"/>
    <w:multiLevelType w:val="hybridMultilevel"/>
    <w:lvl w:ilvl="0">
      <w:lvlJc w:val="left"/>
      <w:lvlText w:val="%1."/>
      <w:numFmt w:val="decimal"/>
      <w:start w:val="6"/>
    </w:lvl>
  </w:abstractNum>
  <w:abstractNum w:abstractNumId="374">
    <w:nsid w:val="6D1BCF1C"/>
    <w:multiLevelType w:val="hybridMultilevel"/>
    <w:lvl w:ilvl="0">
      <w:lvlJc w:val="left"/>
      <w:lvlText w:val="%1."/>
      <w:numFmt w:val="decimal"/>
      <w:start w:val="7"/>
    </w:lvl>
  </w:abstractNum>
  <w:abstractNum w:abstractNumId="375">
    <w:nsid w:val="4CE5CA53"/>
    <w:multiLevelType w:val="hybridMultilevel"/>
    <w:lvl w:ilvl="0">
      <w:lvlJc w:val="left"/>
      <w:lvlText w:val="%1."/>
      <w:numFmt w:val="decimal"/>
      <w:start w:val="8"/>
    </w:lvl>
  </w:abstractNum>
  <w:abstractNum w:abstractNumId="376">
    <w:nsid w:val="29262D1A"/>
    <w:multiLevelType w:val="hybridMultilevel"/>
    <w:lvl w:ilvl="0">
      <w:lvlJc w:val="left"/>
      <w:lvlText w:val="%1."/>
      <w:numFmt w:val="decimal"/>
      <w:start w:val="1"/>
    </w:lvl>
  </w:abstractNum>
  <w:abstractNum w:abstractNumId="377">
    <w:nsid w:val="557FB7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25" Type="http://schemas.openxmlformats.org/officeDocument/2006/relationships/image" Target="media/image409.png"/><Relationship Id="rId438" Type="http://schemas.openxmlformats.org/officeDocument/2006/relationships/image" Target="media/image410.png"/><Relationship Id="rId439" Type="http://schemas.openxmlformats.org/officeDocument/2006/relationships/image" Target="media/image411.png"/><Relationship Id="rId440" Type="http://schemas.openxmlformats.org/officeDocument/2006/relationships/image" Target="media/image412.png"/><Relationship Id="rId441" Type="http://schemas.openxmlformats.org/officeDocument/2006/relationships/image" Target="media/image413.png"/><Relationship Id="rId442" Type="http://schemas.openxmlformats.org/officeDocument/2006/relationships/image" Target="media/image414.png"/><Relationship Id="rId443" Type="http://schemas.openxmlformats.org/officeDocument/2006/relationships/image" Target="media/image415.png"/><Relationship Id="rId444" Type="http://schemas.openxmlformats.org/officeDocument/2006/relationships/image" Target="media/image416.png"/><Relationship Id="rId445" Type="http://schemas.openxmlformats.org/officeDocument/2006/relationships/image" Target="media/image417.png"/><Relationship Id="rId446" Type="http://schemas.openxmlformats.org/officeDocument/2006/relationships/image" Target="media/image418.png"/><Relationship Id="rId447" Type="http://schemas.openxmlformats.org/officeDocument/2006/relationships/image" Target="media/image419.png"/><Relationship Id="rId448" Type="http://schemas.openxmlformats.org/officeDocument/2006/relationships/image" Target="media/image420.png"/><Relationship Id="rId449" Type="http://schemas.openxmlformats.org/officeDocument/2006/relationships/image" Target="media/image421.png"/><Relationship Id="rId450" Type="http://schemas.openxmlformats.org/officeDocument/2006/relationships/image" Target="media/image422.png"/><Relationship Id="rId451" Type="http://schemas.openxmlformats.org/officeDocument/2006/relationships/image" Target="media/image423.png"/><Relationship Id="rId452" Type="http://schemas.openxmlformats.org/officeDocument/2006/relationships/image" Target="media/image424.png"/><Relationship Id="rId453" Type="http://schemas.openxmlformats.org/officeDocument/2006/relationships/image" Target="media/image425.png"/><Relationship Id="rId454" Type="http://schemas.openxmlformats.org/officeDocument/2006/relationships/image" Target="media/image426.png"/><Relationship Id="rId455" Type="http://schemas.openxmlformats.org/officeDocument/2006/relationships/image" Target="media/image427.png"/><Relationship Id="rId456" Type="http://schemas.openxmlformats.org/officeDocument/2006/relationships/image" Target="media/image428.png"/><Relationship Id="rId457" Type="http://schemas.openxmlformats.org/officeDocument/2006/relationships/image" Target="media/image429.png"/><Relationship Id="rId458" Type="http://schemas.openxmlformats.org/officeDocument/2006/relationships/image" Target="media/image430.png"/><Relationship Id="rId459" Type="http://schemas.openxmlformats.org/officeDocument/2006/relationships/image" Target="media/image431.png"/><Relationship Id="rId460" Type="http://schemas.openxmlformats.org/officeDocument/2006/relationships/image" Target="media/image432.png"/><Relationship Id="rId461" Type="http://schemas.openxmlformats.org/officeDocument/2006/relationships/image" Target="media/image433.png"/><Relationship Id="rId462" Type="http://schemas.openxmlformats.org/officeDocument/2006/relationships/image" Target="media/image434.png"/><Relationship Id="rId463" Type="http://schemas.openxmlformats.org/officeDocument/2006/relationships/image" Target="media/image435.png"/><Relationship Id="rId464" Type="http://schemas.openxmlformats.org/officeDocument/2006/relationships/image" Target="media/image436.png"/><Relationship Id="rId465" Type="http://schemas.openxmlformats.org/officeDocument/2006/relationships/image" Target="media/image437.png"/><Relationship Id="rId466" Type="http://schemas.openxmlformats.org/officeDocument/2006/relationships/image" Target="media/image438.png"/><Relationship Id="rId467" Type="http://schemas.openxmlformats.org/officeDocument/2006/relationships/image" Target="media/image439.png"/><Relationship Id="rId468" Type="http://schemas.openxmlformats.org/officeDocument/2006/relationships/image" Target="media/image440.png"/><Relationship Id="rId469" Type="http://schemas.openxmlformats.org/officeDocument/2006/relationships/image" Target="media/image441.png"/><Relationship Id="rId470" Type="http://schemas.openxmlformats.org/officeDocument/2006/relationships/image" Target="media/image442.png"/><Relationship Id="rId471" Type="http://schemas.openxmlformats.org/officeDocument/2006/relationships/image" Target="media/image443.png"/><Relationship Id="rId472" Type="http://schemas.openxmlformats.org/officeDocument/2006/relationships/image" Target="media/image444.png"/><Relationship Id="rId473" Type="http://schemas.openxmlformats.org/officeDocument/2006/relationships/image" Target="media/image445.png"/><Relationship Id="rId474" Type="http://schemas.openxmlformats.org/officeDocument/2006/relationships/image" Target="media/image446.png"/><Relationship Id="rId475" Type="http://schemas.openxmlformats.org/officeDocument/2006/relationships/image" Target="media/image447.png"/><Relationship Id="rId476" Type="http://schemas.openxmlformats.org/officeDocument/2006/relationships/image" Target="media/image448.png"/><Relationship Id="rId477" Type="http://schemas.openxmlformats.org/officeDocument/2006/relationships/image" Target="media/image449.png"/><Relationship Id="rId478" Type="http://schemas.openxmlformats.org/officeDocument/2006/relationships/image" Target="media/image450.png"/><Relationship Id="rId479" Type="http://schemas.openxmlformats.org/officeDocument/2006/relationships/image" Target="media/image451.png"/><Relationship Id="rId480" Type="http://schemas.openxmlformats.org/officeDocument/2006/relationships/image" Target="media/image452.png"/><Relationship Id="rId481" Type="http://schemas.openxmlformats.org/officeDocument/2006/relationships/image" Target="media/image453.png"/><Relationship Id="rId482" Type="http://schemas.openxmlformats.org/officeDocument/2006/relationships/image" Target="media/image454.png"/><Relationship Id="rId483" Type="http://schemas.openxmlformats.org/officeDocument/2006/relationships/image" Target="media/image455.png"/><Relationship Id="rId484" Type="http://schemas.openxmlformats.org/officeDocument/2006/relationships/image" Target="media/image456.png"/><Relationship Id="rId485" Type="http://schemas.openxmlformats.org/officeDocument/2006/relationships/image" Target="media/image457.png"/><Relationship Id="rId486" Type="http://schemas.openxmlformats.org/officeDocument/2006/relationships/image" Target="media/image458.png"/><Relationship Id="rId487" Type="http://schemas.openxmlformats.org/officeDocument/2006/relationships/image" Target="media/image459.png"/><Relationship Id="rId488" Type="http://schemas.openxmlformats.org/officeDocument/2006/relationships/image" Target="media/image460.png"/><Relationship Id="rId489" Type="http://schemas.openxmlformats.org/officeDocument/2006/relationships/image" Target="media/image461.png"/><Relationship Id="rId490" Type="http://schemas.openxmlformats.org/officeDocument/2006/relationships/image" Target="media/image462.png"/><Relationship Id="rId491" Type="http://schemas.openxmlformats.org/officeDocument/2006/relationships/image" Target="media/image463.png"/><Relationship Id="rId492" Type="http://schemas.openxmlformats.org/officeDocument/2006/relationships/image" Target="media/image464.png"/><Relationship Id="rId493" Type="http://schemas.openxmlformats.org/officeDocument/2006/relationships/image" Target="media/image465.png"/><Relationship Id="rId494" Type="http://schemas.openxmlformats.org/officeDocument/2006/relationships/image" Target="media/image466.png"/><Relationship Id="rId495" Type="http://schemas.openxmlformats.org/officeDocument/2006/relationships/image" Target="media/image467.png"/><Relationship Id="rId496" Type="http://schemas.openxmlformats.org/officeDocument/2006/relationships/image" Target="media/image468.png"/><Relationship Id="rId497" Type="http://schemas.openxmlformats.org/officeDocument/2006/relationships/image" Target="media/image469.png"/><Relationship Id="rId498" Type="http://schemas.openxmlformats.org/officeDocument/2006/relationships/image" Target="media/image470.png"/><Relationship Id="rId499" Type="http://schemas.openxmlformats.org/officeDocument/2006/relationships/image" Target="media/image471.png"/><Relationship Id="rId500" Type="http://schemas.openxmlformats.org/officeDocument/2006/relationships/image" Target="media/image472.png"/><Relationship Id="rId501" Type="http://schemas.openxmlformats.org/officeDocument/2006/relationships/image" Target="media/image473.png"/><Relationship Id="rId502" Type="http://schemas.openxmlformats.org/officeDocument/2006/relationships/image" Target="media/image474.png"/><Relationship Id="rId503" Type="http://schemas.openxmlformats.org/officeDocument/2006/relationships/image" Target="media/image475.png"/><Relationship Id="rId504" Type="http://schemas.openxmlformats.org/officeDocument/2006/relationships/image" Target="media/image476.png"/><Relationship Id="rId505" Type="http://schemas.openxmlformats.org/officeDocument/2006/relationships/image" Target="media/image477.png"/><Relationship Id="rId506" Type="http://schemas.openxmlformats.org/officeDocument/2006/relationships/image" Target="media/image478.jpeg"/><Relationship Id="rId507" Type="http://schemas.openxmlformats.org/officeDocument/2006/relationships/image" Target="media/image479.png"/><Relationship Id="rId508" Type="http://schemas.openxmlformats.org/officeDocument/2006/relationships/image" Target="media/image480.png"/><Relationship Id="rId509" Type="http://schemas.openxmlformats.org/officeDocument/2006/relationships/image" Target="media/image481.jpeg"/><Relationship Id="rId510" Type="http://schemas.openxmlformats.org/officeDocument/2006/relationships/image" Target="media/image482.png"/><Relationship Id="rId511" Type="http://schemas.openxmlformats.org/officeDocument/2006/relationships/image" Target="media/image483.jpeg"/><Relationship Id="rId512" Type="http://schemas.openxmlformats.org/officeDocument/2006/relationships/image" Target="media/image484.png"/><Relationship Id="rId513" Type="http://schemas.openxmlformats.org/officeDocument/2006/relationships/image" Target="media/image485.jpeg"/><Relationship Id="rId514" Type="http://schemas.openxmlformats.org/officeDocument/2006/relationships/image" Target="media/image486.png"/><Relationship Id="rId515" Type="http://schemas.openxmlformats.org/officeDocument/2006/relationships/image" Target="media/image487.jpeg"/><Relationship Id="rId516" Type="http://schemas.openxmlformats.org/officeDocument/2006/relationships/image" Target="media/image488.jpeg"/><Relationship Id="rId517" Type="http://schemas.openxmlformats.org/officeDocument/2006/relationships/image" Target="media/image489.png"/><Relationship Id="rId518" Type="http://schemas.openxmlformats.org/officeDocument/2006/relationships/image" Target="media/image490.png"/><Relationship Id="rId519" Type="http://schemas.openxmlformats.org/officeDocument/2006/relationships/image" Target="media/image491.png"/><Relationship Id="rId520" Type="http://schemas.openxmlformats.org/officeDocument/2006/relationships/image" Target="media/image492.png"/><Relationship Id="rId521" Type="http://schemas.openxmlformats.org/officeDocument/2006/relationships/image" Target="media/image493.png"/><Relationship Id="rId522" Type="http://schemas.openxmlformats.org/officeDocument/2006/relationships/image" Target="media/image494.png"/><Relationship Id="rId523" Type="http://schemas.openxmlformats.org/officeDocument/2006/relationships/image" Target="media/image495.png"/><Relationship Id="rId524" Type="http://schemas.openxmlformats.org/officeDocument/2006/relationships/image" Target="media/image496.png"/><Relationship Id="rId525" Type="http://schemas.openxmlformats.org/officeDocument/2006/relationships/image" Target="media/image497.png"/><Relationship Id="rId526" Type="http://schemas.openxmlformats.org/officeDocument/2006/relationships/image" Target="media/image498.png"/><Relationship Id="rId527" Type="http://schemas.openxmlformats.org/officeDocument/2006/relationships/image" Target="media/image499.png"/><Relationship Id="rId528" Type="http://schemas.openxmlformats.org/officeDocument/2006/relationships/image" Target="media/image500.png"/><Relationship Id="rId529" Type="http://schemas.openxmlformats.org/officeDocument/2006/relationships/image" Target="media/image501.png"/><Relationship Id="rId530" Type="http://schemas.openxmlformats.org/officeDocument/2006/relationships/image" Target="media/image502.png"/><Relationship Id="rId531" Type="http://schemas.openxmlformats.org/officeDocument/2006/relationships/image" Target="media/image503.png"/><Relationship Id="rId532" Type="http://schemas.openxmlformats.org/officeDocument/2006/relationships/image" Target="media/image504.png"/><Relationship Id="rId533" Type="http://schemas.openxmlformats.org/officeDocument/2006/relationships/image" Target="media/image505.png"/><Relationship Id="rId534" Type="http://schemas.openxmlformats.org/officeDocument/2006/relationships/image" Target="media/image506.png"/><Relationship Id="rId535" Type="http://schemas.openxmlformats.org/officeDocument/2006/relationships/image" Target="media/image507.png"/><Relationship Id="rId536" Type="http://schemas.openxmlformats.org/officeDocument/2006/relationships/image" Target="media/image508.png"/><Relationship Id="rId537" Type="http://schemas.openxmlformats.org/officeDocument/2006/relationships/image" Target="media/image509.png"/><Relationship Id="rId538" Type="http://schemas.openxmlformats.org/officeDocument/2006/relationships/image" Target="media/image510.png"/><Relationship Id="rId539" Type="http://schemas.openxmlformats.org/officeDocument/2006/relationships/image" Target="media/image511.png"/><Relationship Id="rId540" Type="http://schemas.openxmlformats.org/officeDocument/2006/relationships/image" Target="media/image512.png"/><Relationship Id="rId541" Type="http://schemas.openxmlformats.org/officeDocument/2006/relationships/image" Target="media/image513.png"/><Relationship Id="rId542" Type="http://schemas.openxmlformats.org/officeDocument/2006/relationships/image" Target="media/image514.png"/><Relationship Id="rId543" Type="http://schemas.openxmlformats.org/officeDocument/2006/relationships/image" Target="media/image515.png"/><Relationship Id="rId544" Type="http://schemas.openxmlformats.org/officeDocument/2006/relationships/image" Target="media/image516.png"/><Relationship Id="rId545" Type="http://schemas.openxmlformats.org/officeDocument/2006/relationships/image" Target="media/image517.png"/><Relationship Id="rId546" Type="http://schemas.openxmlformats.org/officeDocument/2006/relationships/image" Target="media/image518.png"/><Relationship Id="rId547" Type="http://schemas.openxmlformats.org/officeDocument/2006/relationships/image" Target="media/image519.png"/><Relationship Id="rId548" Type="http://schemas.openxmlformats.org/officeDocument/2006/relationships/image" Target="media/image520.png"/><Relationship Id="rId549" Type="http://schemas.openxmlformats.org/officeDocument/2006/relationships/image" Target="media/image521.png"/><Relationship Id="rId550" Type="http://schemas.openxmlformats.org/officeDocument/2006/relationships/image" Target="media/image522.png"/><Relationship Id="rId551" Type="http://schemas.openxmlformats.org/officeDocument/2006/relationships/image" Target="media/image523.png"/><Relationship Id="rId552" Type="http://schemas.openxmlformats.org/officeDocument/2006/relationships/image" Target="media/image524.png"/><Relationship Id="rId553" Type="http://schemas.openxmlformats.org/officeDocument/2006/relationships/image" Target="media/image525.png"/><Relationship Id="rId554" Type="http://schemas.openxmlformats.org/officeDocument/2006/relationships/image" Target="media/image526.png"/><Relationship Id="rId555" Type="http://schemas.openxmlformats.org/officeDocument/2006/relationships/image" Target="media/image527.png"/><Relationship Id="rId556" Type="http://schemas.openxmlformats.org/officeDocument/2006/relationships/image" Target="media/image528.png"/><Relationship Id="rId557" Type="http://schemas.openxmlformats.org/officeDocument/2006/relationships/image" Target="media/image529.png"/><Relationship Id="rId558" Type="http://schemas.openxmlformats.org/officeDocument/2006/relationships/image" Target="media/image530.png"/><Relationship Id="rId559" Type="http://schemas.openxmlformats.org/officeDocument/2006/relationships/image" Target="media/image531.png"/><Relationship Id="rId560" Type="http://schemas.openxmlformats.org/officeDocument/2006/relationships/image" Target="media/image532.png"/><Relationship Id="rId561" Type="http://schemas.openxmlformats.org/officeDocument/2006/relationships/image" Target="media/image533.png"/><Relationship Id="rId562" Type="http://schemas.openxmlformats.org/officeDocument/2006/relationships/image" Target="media/image534.png"/><Relationship Id="rId563" Type="http://schemas.openxmlformats.org/officeDocument/2006/relationships/image" Target="media/image535.png"/><Relationship Id="rId564" Type="http://schemas.openxmlformats.org/officeDocument/2006/relationships/image" Target="media/image536.png"/><Relationship Id="rId565" Type="http://schemas.openxmlformats.org/officeDocument/2006/relationships/image" Target="media/image537.png"/><Relationship Id="rId566" Type="http://schemas.openxmlformats.org/officeDocument/2006/relationships/image" Target="media/image538.png"/><Relationship Id="rId567" Type="http://schemas.openxmlformats.org/officeDocument/2006/relationships/image" Target="media/image539.png"/><Relationship Id="rId568" Type="http://schemas.openxmlformats.org/officeDocument/2006/relationships/image" Target="media/image540.png"/><Relationship Id="rId569" Type="http://schemas.openxmlformats.org/officeDocument/2006/relationships/image" Target="media/image541.png"/><Relationship Id="rId570" Type="http://schemas.openxmlformats.org/officeDocument/2006/relationships/image" Target="media/image542.png"/><Relationship Id="rId571" Type="http://schemas.openxmlformats.org/officeDocument/2006/relationships/image" Target="media/image543.png"/><Relationship Id="rId572" Type="http://schemas.openxmlformats.org/officeDocument/2006/relationships/image" Target="media/image544.png"/><Relationship Id="rId573" Type="http://schemas.openxmlformats.org/officeDocument/2006/relationships/image" Target="media/image545.png"/><Relationship Id="rId574" Type="http://schemas.openxmlformats.org/officeDocument/2006/relationships/image" Target="media/image546.png"/><Relationship Id="rId575" Type="http://schemas.openxmlformats.org/officeDocument/2006/relationships/image" Target="media/image547.png"/><Relationship Id="rId576" Type="http://schemas.openxmlformats.org/officeDocument/2006/relationships/image" Target="media/image548.png"/><Relationship Id="rId577" Type="http://schemas.openxmlformats.org/officeDocument/2006/relationships/image" Target="media/image549.png"/><Relationship Id="rId578" Type="http://schemas.openxmlformats.org/officeDocument/2006/relationships/image" Target="media/image550.png"/><Relationship Id="rId579" Type="http://schemas.openxmlformats.org/officeDocument/2006/relationships/image" Target="media/image551.png"/><Relationship Id="rId580" Type="http://schemas.openxmlformats.org/officeDocument/2006/relationships/image" Target="media/image552.png"/><Relationship Id="rId581" Type="http://schemas.openxmlformats.org/officeDocument/2006/relationships/image" Target="media/image553.png"/><Relationship Id="rId582" Type="http://schemas.openxmlformats.org/officeDocument/2006/relationships/image" Target="media/image554.png"/><Relationship Id="rId583" Type="http://schemas.openxmlformats.org/officeDocument/2006/relationships/image" Target="media/image555.png"/><Relationship Id="rId416" Type="http://schemas.openxmlformats.org/officeDocument/2006/relationships/hyperlink" Target="http://www.sec.gov/Archives/edgar/data/1809196/000119312520108419/d865842df4.htm#anxa" TargetMode="External"/><Relationship Id="rId417" Type="http://schemas.openxmlformats.org/officeDocument/2006/relationships/hyperlink" Target="http://www.sec.gov/Archives/edgar/data/1809196/000119312520163109/d865842dex22.htm" TargetMode="External"/><Relationship Id="rId418" Type="http://schemas.openxmlformats.org/officeDocument/2006/relationships/hyperlink" Target="http://www.sec.gov/Archives/edgar/data/1809196/000119312520163109/d865842dex23.htm" TargetMode="External"/><Relationship Id="rId419" Type="http://schemas.openxmlformats.org/officeDocument/2006/relationships/hyperlink" Target="http://www.sec.gov/Archives/edgar/data/1809196/000119312520163109/d865842dex24.htm" TargetMode="External"/><Relationship Id="rId420" Type="http://schemas.openxmlformats.org/officeDocument/2006/relationships/hyperlink" Target="http://www.sec.gov/Archives/edgar/data/0001809196/000119312520162185/d865842dex41.htm" TargetMode="External"/><Relationship Id="rId421" Type="http://schemas.openxmlformats.org/officeDocument/2006/relationships/hyperlink" Target="http://www.sec.gov/Archives/edgar/data/1809196/000119312520108419/d865842dex102.htm" TargetMode="External"/><Relationship Id="rId422" Type="http://schemas.openxmlformats.org/officeDocument/2006/relationships/hyperlink" Target="http://www.sec.gov/Archives/edgar/data/1809196/000119312520150257/d865842df4a.htm#anxf" TargetMode="External"/><Relationship Id="rId423" Type="http://schemas.openxmlformats.org/officeDocument/2006/relationships/hyperlink" Target="http://www.sec.gov/Archives/edgar/data/0001809196/000119312520162185/d865842dex104.htm" TargetMode="External"/><Relationship Id="rId424" Type="http://schemas.openxmlformats.org/officeDocument/2006/relationships/hyperlink" Target="http://www.sec.gov/Archives/edgar/data/1809196/000119312520108419/d865842dex105.htm" TargetMode="External"/><Relationship Id="rId426" Type="http://schemas.openxmlformats.org/officeDocument/2006/relationships/hyperlink" Target="http://www.sec.gov/Archives/edgar/data/1809196/000119312520108419/d865842dex106.htm" TargetMode="External"/><Relationship Id="rId427" Type="http://schemas.openxmlformats.org/officeDocument/2006/relationships/hyperlink" Target="http://www.sec.gov/Archives/edgar/data/1809196/000119312520108419/d865842dex107.htm" TargetMode="External"/><Relationship Id="rId428" Type="http://schemas.openxmlformats.org/officeDocument/2006/relationships/hyperlink" Target="http://www.sec.gov/Archives/edgar/data/1809196/000119312520108419/d865842dex108.htm" TargetMode="External"/><Relationship Id="rId429" Type="http://schemas.openxmlformats.org/officeDocument/2006/relationships/hyperlink" Target="http://www.sec.gov/Archives/edgar/data/1809196/000119312520108419/d865842dex109.htm" TargetMode="External"/><Relationship Id="rId430" Type="http://schemas.openxmlformats.org/officeDocument/2006/relationships/hyperlink" Target="http://www.sec.gov/Archives/edgar/data/1809196/000119312520108419/d865842dex1010.htm" TargetMode="External"/><Relationship Id="rId431" Type="http://schemas.openxmlformats.org/officeDocument/2006/relationships/hyperlink" Target="http://www.sec.gov/Archives/edgar/data/1809196/000119312520108419/d865842dex1011.htm" TargetMode="External"/><Relationship Id="rId432" Type="http://schemas.openxmlformats.org/officeDocument/2006/relationships/hyperlink" Target="http://www.sec.gov/Archives/edgar/data/1809196/000119312520108419/d865842dex1012.htm" TargetMode="External"/><Relationship Id="rId433" Type="http://schemas.openxmlformats.org/officeDocument/2006/relationships/hyperlink" Target="http://www.sec.gov/Archives/edgar/data/1809196/000119312520108419/d865842dex1013.htm" TargetMode="External"/><Relationship Id="rId434" Type="http://schemas.openxmlformats.org/officeDocument/2006/relationships/hyperlink" Target="http://www.sec.gov/Archives/edgar/data/1809196/000119312520108419/d865842dex1014.htm" TargetMode="External"/><Relationship Id="rId435" Type="http://schemas.openxmlformats.org/officeDocument/2006/relationships/hyperlink" Target="http://www.sec.gov/Archives/edgar/data/1809196/000119312520108419/d865842dex1015.htm" TargetMode="External"/><Relationship Id="rId436" Type="http://schemas.openxmlformats.org/officeDocument/2006/relationships/hyperlink" Target="http://www.sec.gov/Archives/edgar/data/1809196/000119312520163109/d865842dex1016.htm" TargetMode="External"/><Relationship Id="rId437" Type="http://schemas.openxmlformats.org/officeDocument/2006/relationships/hyperlink" Target="http://www.sec.gov/Archives/edgar/data/0001809196/000119312520162185/d865842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2020-07-31T15:35:11Z</dcterms:created>
  <dcterms:modified xsi:type="dcterms:W3CDTF">2020-07-31T15:35:11Z</dcterms:modified>
</cp:coreProperties>
</file>