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81" w:lineRule="exact"/>
        <w:rPr>
          <w:sz w:val="24"/>
          <w:szCs w:val="24"/>
          <w:color w:val="auto"/>
        </w:rPr>
      </w:pPr>
    </w:p>
    <w:p>
      <w:pPr>
        <w:ind w:left="2960" w:right="1119" w:hanging="722"/>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September 12, 2022</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Commission File Number: 001-39363</w:t>
      </w:r>
    </w:p>
    <w:p>
      <w:pPr>
        <w:spacing w:after="0" w:line="21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40"/>
          <w:szCs w:val="40"/>
          <w:b w:val="1"/>
          <w:bCs w:val="1"/>
          <w:color w:val="auto"/>
        </w:rPr>
        <w:t>IMMATICS N.V.</w:t>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Paul-Ehrlich-Straße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72076 Tübingen, Federal Republic of Germany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3020"/>
        <w:spacing w:after="0" w:line="207" w:lineRule="exact"/>
        <w:tabs>
          <w:tab w:leader="none" w:pos="5100" w:val="left"/>
          <w:tab w:leader="none" w:pos="6800" w:val="left"/>
          <w:tab w:leader="none" w:pos="89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35560</wp:posOffset>
            </wp:positionV>
            <wp:extent cx="386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35560</wp:posOffset>
            </wp:positionV>
            <wp:extent cx="394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884555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10, 2022, Immatics N.V. (the “Company” or “Immatics”) announced a comprehensive preclinical data set for its T cell engaging</w:t>
      </w:r>
    </w:p>
    <w:p>
      <w:pPr>
        <w:spacing w:after="0" w:line="205" w:lineRule="auto"/>
        <w:rPr>
          <w:sz w:val="20"/>
          <w:szCs w:val="20"/>
          <w:color w:val="auto"/>
        </w:rPr>
      </w:pPr>
      <w:r>
        <w:rPr>
          <w:rFonts w:ascii="Times New Roman" w:cs="Times New Roman" w:eastAsia="Times New Roman" w:hAnsi="Times New Roman"/>
          <w:sz w:val="18"/>
          <w:szCs w:val="18"/>
          <w:color w:val="auto"/>
        </w:rPr>
        <w:t>receptor (TCER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product candidate IMA402 at the European Society for Medical Oncology (ESMO) Congress 2022 held in Paris, France,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to 13, 2022. Data highlights include:</w:t>
      </w:r>
    </w:p>
    <w:p>
      <w:pPr>
        <w:spacing w:after="0" w:line="209" w:lineRule="exact"/>
        <w:rPr>
          <w:sz w:val="20"/>
          <w:szCs w:val="20"/>
          <w:color w:val="auto"/>
        </w:rPr>
      </w:pPr>
    </w:p>
    <w:p>
      <w:pPr>
        <w:ind w:left="660" w:right="18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IMA402 TCER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utilizes a high-affinity TCR designed to specifically bind to an HLA-A*02:01-presented peptide derived from PRAME on tumor cells</w:t>
      </w:r>
    </w:p>
    <w:p>
      <w:pPr>
        <w:spacing w:after="0" w:line="196" w:lineRule="exact"/>
        <w:rPr>
          <w:rFonts w:ascii="Times New Roman" w:cs="Times New Roman" w:eastAsia="Times New Roman" w:hAnsi="Times New Roman"/>
          <w:sz w:val="36"/>
          <w:szCs w:val="36"/>
          <w:color w:val="auto"/>
          <w:vertAlign w:val="superscript"/>
        </w:rPr>
      </w:pPr>
    </w:p>
    <w:p>
      <w:pPr>
        <w:ind w:left="660" w:right="240" w:hanging="328"/>
        <w:spacing w:after="0" w:line="29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 cell recruiter domain is a proprietary low-affinity T cell recruiter against the TCR/CD3 complex that demonstrates superior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tumor control compared to analogous TCER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molecules designed with higher-affinity variants of a widely used antibody recruiter</w:t>
      </w:r>
    </w:p>
    <w:p>
      <w:pPr>
        <w:spacing w:after="0" w:line="32" w:lineRule="exact"/>
        <w:rPr>
          <w:rFonts w:ascii="Times New Roman" w:cs="Times New Roman" w:eastAsia="Times New Roman" w:hAnsi="Times New Roman"/>
          <w:sz w:val="18"/>
          <w:szCs w:val="18"/>
          <w:color w:val="auto"/>
        </w:rPr>
      </w:pPr>
    </w:p>
    <w:p>
      <w:pPr>
        <w:ind w:left="660" w:right="100" w:hanging="328"/>
        <w:spacing w:after="0" w:line="188"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IMA402 TCER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optimized to reduce T cell engager-associated toxicities in patients, which is demonstrated by reduced recruiter-mediated cytokine release </w:t>
      </w:r>
      <w:r>
        <w:rPr>
          <w:rFonts w:ascii="Times New Roman" w:cs="Times New Roman" w:eastAsia="Times New Roman" w:hAnsi="Times New Roman"/>
          <w:sz w:val="18"/>
          <w:szCs w:val="18"/>
          <w:i w:val="1"/>
          <w:iCs w:val="1"/>
          <w:color w:val="auto"/>
        </w:rPr>
        <w:t>in vitro</w:t>
      </w:r>
    </w:p>
    <w:p>
      <w:pPr>
        <w:spacing w:after="0" w:line="196"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IMA402 showed potent and selective activity against PRAME-positive tumor cell lines </w:t>
      </w:r>
      <w:r>
        <w:rPr>
          <w:rFonts w:ascii="Times New Roman" w:cs="Times New Roman" w:eastAsia="Times New Roman" w:hAnsi="Times New Roman"/>
          <w:sz w:val="18"/>
          <w:szCs w:val="18"/>
          <w:i w:val="1"/>
          <w:iCs w:val="1"/>
          <w:color w:val="auto"/>
        </w:rPr>
        <w:t>in vitro</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studies in mice demonstrated dose-dependent anti-tumor activity of IMA402. Sufficiently high drug doses were key to achieving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desired anti-tumor effects over a prolonged period</w:t>
      </w:r>
    </w:p>
    <w:p>
      <w:pPr>
        <w:spacing w:after="0" w:line="158"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safety assessment including toxicity screening against 20 normal tissue types, whole blood cytokine release assessment and alloreactivity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confirmed favorable safety profile for IMA402</w:t>
      </w:r>
    </w:p>
    <w:p>
      <w:pPr>
        <w:spacing w:after="0" w:line="160"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half-life extended format of IMA402 confers a serum half-life of &gt;1 week in mice suggesting a favorable dosing regimen and prolonged drug exposure at therapeutic levels when compared to TCR Bispecifics lacking half-life extension strategies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IMA402 is designed to allow high dosing not limited by toxicities with the goal of reaching relevant therapeutic doses in tumor tissue and achieve a meaningful clinical benefit in patients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clinical trial evaluating IMA402 in patients with solid tumors is expected to start in 2023. The Phase 1 part of the trial will start with a minimal anticipated biological effect level (MABEL) dose of IMA402 and will have an adaptive design aimed at accelerating dose escalation to determine the recommended Phase 2 dose (RP2D). HLA-A*02:01-positive patients with different solid tumors expressing PRAME will initially receive weekly infusions of IMA402. Pharmacokinetics data will be assessed throughout the trial and might provide an opportunity to adapt the treatment interval. The Phase 2a dose expansion part of the trial will be designed to comprise several cohorts to further evaluate IMA402 in specific indications and combination therapies. Submission of the IND application is planned for Q2 2023.</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foregoing, the Company issued a press release, a copy of which is attached hereto as 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shall be deemed to be incorporated by reference into the registration statements on Form F-3 (Registration Nos. 333-258351 and 333-240260) of Immatics N.V. and to be a part thereof from the date on which this report is filed, to the extent not superseded by documents or reports subsequently filed or furnished.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42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Press release dated September 10, 2022</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42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tc>
        <w:tc>
          <w:tcPr>
            <w:tcW w:w="0" w:type="dxa"/>
            <w:vAlign w:val="bottom"/>
          </w:tcPr>
          <w:p>
            <w:pPr>
              <w:spacing w:after="0"/>
              <w:rPr>
                <w:sz w:val="1"/>
                <w:szCs w:val="1"/>
                <w:color w:val="auto"/>
              </w:rPr>
            </w:pP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undersigned, thereunto duly authorized.</w:t>
            </w: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422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w w:val="95"/>
              </w:rPr>
              <w:t>IMMATICS N.V.</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12, 2022</w:t>
            </w:r>
          </w:p>
        </w:tc>
        <w:tc>
          <w:tcPr>
            <w:tcW w:w="422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Harpreet Singh</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4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4220" w:type="dxa"/>
            <w:vAlign w:val="bottom"/>
          </w:tcPr>
          <w:p>
            <w:pPr>
              <w:ind w:left="2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Harpreet Singh</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422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783"/>
        </w:trPr>
        <w:tc>
          <w:tcPr>
            <w:tcW w:w="2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168275</wp:posOffset>
            </wp:positionV>
            <wp:extent cx="166306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06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PRESS RELEASE</w:t>
      </w:r>
    </w:p>
    <w:p>
      <w:pPr>
        <w:spacing w:after="0" w:line="394" w:lineRule="exact"/>
        <w:rPr>
          <w:sz w:val="20"/>
          <w:szCs w:val="20"/>
          <w:color w:val="auto"/>
        </w:rPr>
      </w:pPr>
    </w:p>
    <w:p>
      <w:pPr>
        <w:jc w:val="center"/>
        <w:spacing w:after="0" w:line="273" w:lineRule="auto"/>
        <w:rPr>
          <w:sz w:val="20"/>
          <w:szCs w:val="20"/>
          <w:color w:val="auto"/>
        </w:rPr>
      </w:pPr>
      <w:r>
        <w:rPr>
          <w:rFonts w:ascii="Arial" w:cs="Arial" w:eastAsia="Arial" w:hAnsi="Arial"/>
          <w:sz w:val="25"/>
          <w:szCs w:val="25"/>
          <w:b w:val="1"/>
          <w:bCs w:val="1"/>
          <w:color w:val="auto"/>
        </w:rPr>
        <w:t>Immatics Presents Comprehensive Preclinical Data Set for TCR Bispecific Candidate IMA402 Targeting PRAME at European Society for Medical Oncology (ESMO) Congress 2022</w:t>
      </w:r>
    </w:p>
    <w:p>
      <w:pPr>
        <w:spacing w:after="0" w:line="60"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t>TCER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IMA402 is a next-generation, half-life extended TCR Bispecific targeting an HLA-A*02:01-presented peptide derived from</w:t>
      </w:r>
    </w:p>
    <w:p>
      <w:pPr>
        <w:ind w:left="340"/>
        <w:spacing w:after="0"/>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t>PRAME</w:t>
      </w:r>
    </w:p>
    <w:p>
      <w:pPr>
        <w:spacing w:after="0" w:line="180" w:lineRule="exact"/>
        <w:rPr>
          <w:rFonts w:ascii="Times New Roman" w:cs="Times New Roman" w:eastAsia="Times New Roman" w:hAnsi="Times New Roman"/>
          <w:sz w:val="36"/>
          <w:szCs w:val="36"/>
          <w:color w:val="auto"/>
          <w:vertAlign w:val="superscript"/>
        </w:rPr>
      </w:pPr>
    </w:p>
    <w:p>
      <w:pPr>
        <w:ind w:left="340" w:hanging="332"/>
        <w:spacing w:after="0" w:line="270" w:lineRule="auto"/>
        <w:tabs>
          <w:tab w:leader="none" w:pos="3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preclinical studies, IMA402 demonstrated enhanced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reduced T cell engager-associated toxicities as part of overall favorable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safety profile</w:t>
      </w:r>
    </w:p>
    <w:p>
      <w:pPr>
        <w:spacing w:after="0" w:line="140" w:lineRule="exact"/>
        <w:rPr>
          <w:rFonts w:ascii="Times New Roman" w:cs="Times New Roman" w:eastAsia="Times New Roman" w:hAnsi="Times New Roman"/>
          <w:sz w:val="18"/>
          <w:szCs w:val="18"/>
          <w:color w:val="auto"/>
        </w:rPr>
      </w:pPr>
    </w:p>
    <w:p>
      <w:pPr>
        <w:ind w:left="340" w:right="100" w:hanging="332"/>
        <w:spacing w:after="0" w:line="270" w:lineRule="auto"/>
        <w:tabs>
          <w:tab w:leader="none" w:pos="3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Pharmacokinetic characteristics of half-life extended IMA402 suggest potential for a favorable dosing regimen in patients with prolonged drug exposure at therapeutic levels.</w:t>
      </w:r>
    </w:p>
    <w:p>
      <w:pPr>
        <w:spacing w:after="0" w:line="140" w:lineRule="exact"/>
        <w:rPr>
          <w:rFonts w:ascii="Times New Roman" w:cs="Times New Roman" w:eastAsia="Times New Roman" w:hAnsi="Times New Roman"/>
          <w:sz w:val="18"/>
          <w:szCs w:val="18"/>
          <w:color w:val="auto"/>
        </w:rPr>
      </w:pPr>
    </w:p>
    <w:p>
      <w:pPr>
        <w:ind w:left="340" w:hanging="332"/>
        <w:spacing w:after="0" w:line="245" w:lineRule="auto"/>
        <w:tabs>
          <w:tab w:leader="none" w:pos="3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18"/>
          <w:szCs w:val="18"/>
          <w:color w:val="auto"/>
        </w:rPr>
        <w:t>IMA402 is part of Immatics’ strategy to leverage the full clinical potential of targeting PRAME, one of the most promising targets for TCR-based therapies</w:t>
      </w:r>
    </w:p>
    <w:p>
      <w:pPr>
        <w:spacing w:after="0" w:line="15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t>Phase 1/2 clinical trial on track to start in 2023; submission of the CTA/IND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application is planned for 2Q 2023.</w:t>
      </w:r>
    </w:p>
    <w:p>
      <w:pPr>
        <w:spacing w:after="0" w:line="5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 xml:space="preserve">Tuebingen, Germany and Houston, Texas, September 10,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Immatics N.V.</w:t>
      </w:r>
      <w:r>
        <w:rPr>
          <w:rFonts w:ascii="Arial" w:cs="Arial" w:eastAsia="Arial" w:hAnsi="Arial"/>
          <w:sz w:val="18"/>
          <w:szCs w:val="18"/>
          <w:b w:val="1"/>
          <w:bCs w:val="1"/>
          <w:color w:val="auto"/>
        </w:rPr>
        <w:t xml:space="preserve"> </w:t>
      </w:r>
      <w:r>
        <w:rPr>
          <w:rFonts w:ascii="Arial" w:cs="Arial" w:eastAsia="Arial" w:hAnsi="Arial"/>
          <w:sz w:val="18"/>
          <w:szCs w:val="18"/>
          <w:color w:val="auto"/>
        </w:rPr>
        <w:t>(NASDAQ: IMTX, “Immatics”),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active in the discovery and development of T cell-redirecting cancer immunotherapies, today announced a</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comprehensive preclinical data set for its T cell engaging receptor (TCER</w:t>
      </w:r>
      <w:r>
        <w:rPr>
          <w:rFonts w:ascii="Arial" w:cs="Arial" w:eastAsia="Arial" w:hAnsi="Arial"/>
          <w:sz w:val="29"/>
          <w:szCs w:val="29"/>
          <w:color w:val="auto"/>
          <w:vertAlign w:val="superscript"/>
        </w:rPr>
        <w:t>®</w:t>
      </w:r>
      <w:r>
        <w:rPr>
          <w:rFonts w:ascii="Arial" w:cs="Arial" w:eastAsia="Arial" w:hAnsi="Arial"/>
          <w:sz w:val="18"/>
          <w:szCs w:val="18"/>
          <w:color w:val="auto"/>
        </w:rPr>
        <w:t>) product candidate IMA402 at the European Society for Medical Oncology (ESMO) Congress 2022 held in Paris, France, from September 9 to 13, 2022. IMA402 is the company’s second program in its TCR Bispecifics pipeline and is directed against an HLA-A*02:01-presented peptide derived from PRAME, a cancer target broadly expressed in many solid tumors. The data are available as an ePoster on the ESMO platform at 9 AM on Saturday, September 10, and will be presented during the poster session from noon to 1 PM CEST on Monday, September 12.</w:t>
      </w:r>
    </w:p>
    <w:p>
      <w:pPr>
        <w:spacing w:after="0" w:line="172"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color w:val="auto"/>
        </w:rPr>
        <w:t>Immatics TCER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molecules are “off-the-shelf§ TCR Bispecifics engineered with two binding regions: a TCR domain and a T cell recruiter domain.</w:t>
      </w:r>
    </w:p>
    <w:p>
      <w:pPr>
        <w:spacing w:after="0" w:line="166" w:lineRule="exact"/>
        <w:rPr>
          <w:sz w:val="20"/>
          <w:szCs w:val="20"/>
          <w:color w:val="auto"/>
        </w:rPr>
      </w:pPr>
    </w:p>
    <w:p>
      <w:pPr>
        <w:ind w:right="2540"/>
        <w:spacing w:after="0" w:line="471" w:lineRule="auto"/>
        <w:rPr>
          <w:sz w:val="20"/>
          <w:szCs w:val="20"/>
          <w:color w:val="auto"/>
        </w:rPr>
      </w:pPr>
      <w:r>
        <w:rPr>
          <w:rFonts w:ascii="Arial" w:cs="Arial" w:eastAsia="Arial" w:hAnsi="Arial"/>
          <w:sz w:val="18"/>
          <w:szCs w:val="18"/>
          <w:color w:val="auto"/>
        </w:rPr>
        <w:t xml:space="preserve">1) Clinical Trial Application (CTA) is the equivalent of an Investigational New Drug (IND) application in Europe </w:t>
      </w:r>
      <w:r>
        <w:rPr>
          <w:rFonts w:ascii="Arial" w:cs="Arial" w:eastAsia="Arial" w:hAnsi="Arial"/>
          <w:sz w:val="18"/>
          <w:szCs w:val="18"/>
          <w:b w:val="1"/>
          <w:bCs w:val="1"/>
          <w:color w:val="auto"/>
        </w:rPr>
        <w:t>Data Highlights: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TCER</w:t>
      </w:r>
      <w:r>
        <w:rPr>
          <w:rFonts w:ascii="Arial" w:cs="Arial" w:eastAsia="Arial" w:hAnsi="Arial"/>
          <w:sz w:val="29"/>
          <w:szCs w:val="29"/>
          <w:u w:val="single" w:color="auto"/>
          <w:color w:val="auto"/>
          <w:vertAlign w:val="superscript"/>
        </w:rPr>
        <w:t>®</w:t>
      </w:r>
      <w:r>
        <w:rPr>
          <w:rFonts w:ascii="Arial" w:cs="Arial" w:eastAsia="Arial" w:hAnsi="Arial"/>
          <w:sz w:val="18"/>
          <w:szCs w:val="18"/>
          <w:u w:val="single" w:color="auto"/>
          <w:color w:val="auto"/>
        </w:rPr>
        <w:t xml:space="preserve"> format is optimized for efficacy and safety</w:t>
      </w:r>
    </w:p>
    <w:p>
      <w:pPr>
        <w:spacing w:after="0" w:line="112" w:lineRule="exact"/>
        <w:rPr>
          <w:sz w:val="20"/>
          <w:szCs w:val="20"/>
          <w:color w:val="auto"/>
        </w:rPr>
      </w:pPr>
    </w:p>
    <w:p>
      <w:pPr>
        <w:ind w:left="340" w:right="4400" w:hanging="332"/>
        <w:spacing w:after="0" w:line="184"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t>The IMA402 TCER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utilizes a high-affinity TCR designed to specifically bind to an HLA-A*02:01-presented peptide derived from PRAME on tumor cells</w:t>
      </w:r>
    </w:p>
    <w:p>
      <w:pPr>
        <w:spacing w:after="0" w:line="167" w:lineRule="exact"/>
        <w:rPr>
          <w:rFonts w:ascii="Times New Roman" w:cs="Times New Roman" w:eastAsia="Times New Roman" w:hAnsi="Times New Roman"/>
          <w:sz w:val="36"/>
          <w:szCs w:val="36"/>
          <w:color w:val="auto"/>
          <w:vertAlign w:val="superscript"/>
        </w:rPr>
      </w:pPr>
    </w:p>
    <w:p>
      <w:pPr>
        <w:ind w:left="340" w:right="20" w:hanging="332"/>
        <w:spacing w:after="0" w:line="288" w:lineRule="auto"/>
        <w:tabs>
          <w:tab w:leader="none" w:pos="3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The T cell recruiter domain is a proprietary low-affinity T cell recruiter against the TCR/CD3 complex that demonstrates superior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tumor control compared to analogous TCER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molecules designed with higher-affinity variants of a widely used antibody recruiter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Immatics Press Release September 10, 2022</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 4</w:t>
            </w:r>
          </w:p>
        </w:tc>
      </w:tr>
    </w:tbl>
    <w:p>
      <w:pPr>
        <w:sectPr>
          <w:pgSz w:w="11900" w:h="16838" w:orient="portrait"/>
          <w:cols w:equalWidth="0" w:num="1">
            <w:col w:w="11240"/>
          </w:cols>
          <w:pgMar w:left="320" w:top="108" w:right="339" w:bottom="1440" w:gutter="0" w:footer="0" w:header="0"/>
        </w:sectPr>
      </w:pPr>
    </w:p>
    <w:bookmarkStart w:id="3" w:name="page4"/>
    <w:bookmarkEnd w:id="3"/>
    <w:p>
      <w:pPr>
        <w:ind w:left="340" w:hanging="332"/>
        <w:spacing w:after="0" w:line="184"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The IMA402 TCER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optimized to reduce T cell engager-associated toxicities in patients, which is demonstrated by reduced recruiter-mediated cytokine release </w:t>
      </w:r>
      <w:r>
        <w:rPr>
          <w:rFonts w:ascii="Arial" w:cs="Arial" w:eastAsia="Arial" w:hAnsi="Arial"/>
          <w:sz w:val="18"/>
          <w:szCs w:val="18"/>
          <w:i w:val="1"/>
          <w:iCs w:val="1"/>
          <w:color w:val="auto"/>
        </w:rPr>
        <w:t>in vitro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Compelling preclinical data</w:t>
      </w:r>
    </w:p>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18"/>
          <w:szCs w:val="18"/>
          <w:color w:val="auto"/>
        </w:rPr>
        <w:t xml:space="preserve">IMA402 showed potent and selective activity against PRAME-positive tumor cell lines </w:t>
      </w:r>
      <w:r>
        <w:rPr>
          <w:rFonts w:ascii="Arial" w:cs="Arial" w:eastAsia="Arial" w:hAnsi="Arial"/>
          <w:sz w:val="18"/>
          <w:szCs w:val="18"/>
          <w:i w:val="1"/>
          <w:iCs w:val="1"/>
          <w:color w:val="auto"/>
        </w:rPr>
        <w:t>in vitro</w:t>
      </w:r>
    </w:p>
    <w:p>
      <w:pPr>
        <w:spacing w:after="0" w:line="202" w:lineRule="exact"/>
        <w:rPr>
          <w:rFonts w:ascii="Times New Roman" w:cs="Times New Roman" w:eastAsia="Times New Roman" w:hAnsi="Times New Roman"/>
          <w:sz w:val="20"/>
          <w:szCs w:val="20"/>
          <w:color w:val="auto"/>
        </w:rPr>
      </w:pPr>
    </w:p>
    <w:p>
      <w:pPr>
        <w:ind w:left="340" w:right="20" w:hanging="332"/>
        <w:spacing w:after="0" w:line="245" w:lineRule="auto"/>
        <w:tabs>
          <w:tab w:leader="none" w:pos="3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studies in mice demonstrated dose-dependent anti-tumor activity of IMA402. Sufficiently high drug doses were key to achieving</w:t>
      </w:r>
      <w:r>
        <w:rPr>
          <w:rFonts w:ascii="Arial" w:cs="Arial" w:eastAsia="Arial" w:hAnsi="Arial"/>
          <w:sz w:val="18"/>
          <w:szCs w:val="18"/>
          <w:i w:val="1"/>
          <w:iCs w:val="1"/>
          <w:color w:val="auto"/>
        </w:rPr>
        <w:t xml:space="preserve"> </w:t>
      </w:r>
      <w:r>
        <w:rPr>
          <w:rFonts w:ascii="Arial" w:cs="Arial" w:eastAsia="Arial" w:hAnsi="Arial"/>
          <w:sz w:val="18"/>
          <w:szCs w:val="18"/>
          <w:color w:val="auto"/>
        </w:rPr>
        <w:t>the desired anti-tumor effects over a prolonged period</w:t>
      </w:r>
    </w:p>
    <w:p>
      <w:pPr>
        <w:spacing w:after="0" w:line="161" w:lineRule="exact"/>
        <w:rPr>
          <w:rFonts w:ascii="Times New Roman" w:cs="Times New Roman" w:eastAsia="Times New Roman" w:hAnsi="Times New Roman"/>
          <w:sz w:val="20"/>
          <w:szCs w:val="20"/>
          <w:color w:val="auto"/>
        </w:rPr>
      </w:pPr>
    </w:p>
    <w:p>
      <w:pPr>
        <w:ind w:left="340" w:hanging="332"/>
        <w:spacing w:after="0" w:line="270"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safety assessment including toxicity screening against 20 normal tissue types, whole blood cytokine release assessment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alloreactivity evaluation confirmed favorable safety profile for IMA402</w:t>
      </w:r>
    </w:p>
    <w:p>
      <w:pPr>
        <w:spacing w:after="0" w:line="140" w:lineRule="exact"/>
        <w:rPr>
          <w:rFonts w:ascii="Times New Roman" w:cs="Times New Roman" w:eastAsia="Times New Roman" w:hAnsi="Times New Roman"/>
          <w:sz w:val="18"/>
          <w:szCs w:val="18"/>
          <w:color w:val="auto"/>
        </w:rPr>
      </w:pPr>
    </w:p>
    <w:p>
      <w:pPr>
        <w:ind w:left="340" w:right="20" w:hanging="332"/>
        <w:spacing w:after="0" w:line="245" w:lineRule="auto"/>
        <w:tabs>
          <w:tab w:leader="none" w:pos="3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18"/>
          <w:szCs w:val="18"/>
          <w:color w:val="auto"/>
        </w:rPr>
        <w:t>The half-life extended format of IMA402 confers a serum half-life of &gt;1 week in mice suggesting a favorable dosing regimen and prolonged drug exposure at therapeutic levels when compared to TCR Bispecifics lacking half-life extension strategies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Clinical trial evaluating IMA402 in patients with solid tumors to start in 2023</w:t>
      </w:r>
    </w:p>
    <w:p>
      <w:pPr>
        <w:spacing w:after="0" w:line="198" w:lineRule="exact"/>
        <w:rPr>
          <w:sz w:val="20"/>
          <w:szCs w:val="20"/>
          <w:color w:val="auto"/>
        </w:rPr>
      </w:pPr>
    </w:p>
    <w:p>
      <w:pPr>
        <w:ind w:left="340" w:hanging="332"/>
        <w:spacing w:after="0" w:line="270" w:lineRule="auto"/>
        <w:tabs>
          <w:tab w:leader="none" w:pos="3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IMA402 is designed to allow high dosing not limited by toxicities with the goal of reaching relevant therapeutic doses in tumor tissue and achieve a meaningful clinical benefit in patients</w:t>
      </w:r>
    </w:p>
    <w:p>
      <w:pPr>
        <w:spacing w:after="0" w:line="14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“Improving drug safety, efficacy and dosing schedule are key considerations in the field of bispecific T cell engaging molecules. The promising preclinical results for our next-generation, half-life extended TCER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IMA402 reflect the potential of our TCR Bispecific approach for patients with solid tumors,” commented Carsten Reinhardt, M.D., Ph.D., Chief Development Officer at Immatics. “We look forward to initiating the IMA402 Phase 1/2 clinical trial in 2023 as part of our strategy to tackle PRAME with two distinct therapeutic modalities. We believe PRAME is the most promising, clinically validated T cell target for solid cancers to date and with our cell therapy and bispecific approaches, we are well positioned to provide innovative treatment options for a variety of cancer patient populations with different medical needs.”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enable the start of the Phase 1/2 trial in 2023, Immatics has completed the manufacturing process development for IMA402 and manufacturing of the clinical batch is on track for 2H 2022. The Phase 1 part of the trial will start with a minimal anticipated biological effect level (MABEL) dose of IMA402 and will have an adaptive design aimed at accelerating dose escalation to determine the recommended Phase 2 dose (RP2D). HLA-A*02:01-positive patients with different solid tumors expressing PRAME will initially receive weekly infusions of IMA402. Pharmacokinetics data will be assessed throughout the trial and might provide an opportunity to adapt the treatment interval. The Phase 2a dose expansion part of the trial will be designed to</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Immatics Press Release September 10, 2022</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 4</w:t>
            </w:r>
          </w:p>
        </w:tc>
      </w:tr>
    </w:tbl>
    <w:p>
      <w:pPr>
        <w:sectPr>
          <w:pgSz w:w="11900" w:h="16838" w:orient="portrait"/>
          <w:cols w:equalWidth="0" w:num="1">
            <w:col w:w="11240"/>
          </w:cols>
          <w:pgMar w:left="320" w:top="1367" w:right="339" w:bottom="1440" w:gutter="0" w:footer="0" w:header="0"/>
        </w:sectPr>
      </w:pPr>
    </w:p>
    <w:bookmarkStart w:id="4" w:name="page5"/>
    <w:bookmarkEnd w:id="4"/>
    <w:p>
      <w:pPr>
        <w:jc w:val="both"/>
        <w:spacing w:after="0" w:line="21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comprise several cohorts to further evaluate IMA402 in specific indications and combination therapies. Submission of the IND</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application is planned for Q2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ESMO Congress 2022 poster presentation is available on Immatics’ website using </w:t>
      </w:r>
      <w:r>
        <w:rPr>
          <w:rFonts w:ascii="Arial" w:cs="Arial" w:eastAsia="Arial" w:hAnsi="Arial"/>
          <w:sz w:val="18"/>
          <w:szCs w:val="18"/>
          <w:u w:val="single" w:color="auto"/>
          <w:color w:val="0000FF"/>
        </w:rPr>
        <w:t>this link</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TCER</w:t>
      </w:r>
      <w:r>
        <w:rPr>
          <w:rFonts w:ascii="Arial" w:cs="Arial" w:eastAsia="Arial" w:hAnsi="Arial"/>
          <w:sz w:val="29"/>
          <w:szCs w:val="29"/>
          <w:b w:val="1"/>
          <w:bCs w:val="1"/>
          <w:color w:val="auto"/>
          <w:vertAlign w:val="superscript"/>
        </w:rPr>
        <w:t>®</w:t>
      </w:r>
    </w:p>
    <w:p>
      <w:pPr>
        <w:spacing w:after="0" w:line="112" w:lineRule="exact"/>
        <w:rPr>
          <w:sz w:val="20"/>
          <w:szCs w:val="20"/>
          <w:color w:val="auto"/>
        </w:rPr>
      </w:pPr>
    </w:p>
    <w:p>
      <w:pPr>
        <w:jc w:val="both"/>
        <w:spacing w:after="0" w:line="200" w:lineRule="auto"/>
        <w:rPr>
          <w:sz w:val="20"/>
          <w:szCs w:val="20"/>
          <w:color w:val="auto"/>
        </w:rPr>
      </w:pPr>
      <w:r>
        <w:rPr>
          <w:rFonts w:ascii="Arial" w:cs="Arial" w:eastAsia="Arial" w:hAnsi="Arial"/>
          <w:sz w:val="17"/>
          <w:szCs w:val="17"/>
          <w:color w:val="auto"/>
        </w:rPr>
        <w:t>Immatics’ half-life extended TCER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molecules are next-generation, antibody-like “off-the-shelf” biologics that leverage the body’s immune system by redirecting and activating T cells towards cancer cells expressing a specific tumor target. The design of the TCER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molecules enables the activation of any T cell in the body to attack the tumor, regardless of the T cells’ intrinsic specificity. Immatics proprietary biologics</w:t>
      </w:r>
    </w:p>
    <w:p>
      <w:pPr>
        <w:spacing w:after="0" w:line="3"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are engineered with two binding regions: a TCR domain and a T cell recruiter domain. The TCER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format is designed to maximize efficacy while minimizing toxicities in patients. It contains a high-affinity TCR domain that is designed to bind specifically to the cancer target peptide on the cell surface presented by an HLA molecule. The antibody-derived, low-affinity T cell recruiter domain is directed against the TCR/CD3 complex and recruits a patient’s T cells to the tumor to attack the cancer cells. With a low-affinity recruiter aiming for optimized biodistribution</w:t>
      </w:r>
    </w:p>
    <w:p>
      <w:pPr>
        <w:spacing w:after="0" w:line="3" w:lineRule="exact"/>
        <w:rPr>
          <w:sz w:val="20"/>
          <w:szCs w:val="20"/>
          <w:color w:val="auto"/>
        </w:rPr>
      </w:pPr>
    </w:p>
    <w:p>
      <w:pPr>
        <w:jc w:val="both"/>
        <w:spacing w:after="0" w:line="181" w:lineRule="auto"/>
        <w:rPr>
          <w:sz w:val="20"/>
          <w:szCs w:val="20"/>
          <w:color w:val="auto"/>
        </w:rPr>
      </w:pPr>
      <w:r>
        <w:rPr>
          <w:rFonts w:ascii="Arial" w:cs="Arial" w:eastAsia="Arial" w:hAnsi="Arial"/>
          <w:sz w:val="17"/>
          <w:szCs w:val="17"/>
          <w:color w:val="auto"/>
        </w:rPr>
        <w:t>and enrichment of the molecule at the tumor site instead of the periphery, TCER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are engineered to reduce the occurrence of immune-related adverse events, such as cytokine release syndrome. In addition, the TCER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format consists of an Fc-part conferring half-life</w:t>
      </w:r>
    </w:p>
    <w:p>
      <w:pPr>
        <w:jc w:val="both"/>
        <w:spacing w:after="0" w:line="213" w:lineRule="auto"/>
        <w:rPr>
          <w:sz w:val="20"/>
          <w:szCs w:val="20"/>
          <w:color w:val="auto"/>
        </w:rPr>
      </w:pPr>
      <w:r>
        <w:rPr>
          <w:rFonts w:ascii="Arial" w:cs="Arial" w:eastAsia="Arial" w:hAnsi="Arial"/>
          <w:sz w:val="18"/>
          <w:szCs w:val="18"/>
          <w:color w:val="auto"/>
        </w:rPr>
        <w:t>extension, stability, and manufacturability. TCER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are “off-the-shelf” biologics and thus immediately available for patient treatment. They can be distributed through standard pharmaceutical supply chains and provide the opportunity to reach a large patient population without the need of specialized medical centers.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END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Immatics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Immatics combines the discovery of true targets for cancer immunotherapies with the development of the right T cell receptors with the goal of enabling a robust and specific T cell response against these targets. This deep know-how is the foundation for our pipeline of Adoptive Cell Therapies and TCR Bispecifics as well as our partnerships with global leaders in the pharmaceutical industry. We are committed to delivering the power of T cells and to unlocking new avenues for patients in their fight against cancer.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regular updates about Immatics, visit </w:t>
      </w:r>
      <w:r>
        <w:rPr>
          <w:rFonts w:ascii="Arial" w:cs="Arial" w:eastAsia="Arial" w:hAnsi="Arial"/>
          <w:sz w:val="18"/>
          <w:szCs w:val="18"/>
          <w:u w:val="single" w:color="auto"/>
          <w:color w:val="0000FF"/>
        </w:rPr>
        <w:t>www.immatics.com</w:t>
      </w:r>
      <w:r>
        <w:rPr>
          <w:rFonts w:ascii="Arial" w:cs="Arial" w:eastAsia="Arial" w:hAnsi="Arial"/>
          <w:sz w:val="18"/>
          <w:szCs w:val="18"/>
          <w:color w:val="auto"/>
        </w:rPr>
        <w:t xml:space="preserve">. You can also follow us on </w:t>
      </w:r>
      <w:r>
        <w:rPr>
          <w:rFonts w:ascii="Arial" w:cs="Arial" w:eastAsia="Arial" w:hAnsi="Arial"/>
          <w:sz w:val="18"/>
          <w:szCs w:val="18"/>
          <w:u w:val="single" w:color="auto"/>
          <w:color w:val="0000FF"/>
        </w:rPr>
        <w:t>Instagram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LinkedIn</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press release may be considered forward-looking statements. Forward-looking statements generally relate to future events or Immatics’ future financial or operating performance. For example, statements concerning the timing of product candidates and Immatics’ focus on partnerships to advance its strategy are forward-looking statements. 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Immatics Press Release September 10, 2022</w:t>
            </w:r>
          </w:p>
        </w:tc>
        <w:tc>
          <w:tcPr>
            <w:tcW w:w="3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 4</w:t>
            </w:r>
          </w:p>
        </w:tc>
      </w:tr>
    </w:tbl>
    <w:p>
      <w:pPr>
        <w:sectPr>
          <w:pgSz w:w="11900" w:h="16838" w:orient="portrait"/>
          <w:cols w:equalWidth="0" w:num="1">
            <w:col w:w="11240"/>
          </w:cols>
          <w:pgMar w:left="320" w:top="1367" w:right="3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5643245</wp:posOffset>
            </wp:positionH>
            <wp:positionV relativeFrom="page">
              <wp:posOffset>157480</wp:posOffset>
            </wp:positionV>
            <wp:extent cx="166306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63065" cy="617220"/>
                    </a:xfrm>
                    <a:prstGeom prst="rect">
                      <a:avLst/>
                    </a:prstGeom>
                    <a:noFill/>
                  </pic:spPr>
                </pic:pic>
              </a:graphicData>
            </a:graphic>
          </wp:anchor>
        </w:drawing>
        <w:t>some cases, you can identify forward-looking statements by terminology such as “may”, “should”,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Immatics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general economic conditions and other risks, uncertainties and factors set forth in filings with the SEC. 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Immatics undertakes no duty to update these forward-looking statements. All the scientific and clinical data presented within this press release are – by definition prior to completion of the clinical trial and a clinical study report – preliminary in nature and subject to further quality checks including customary source data verification.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Jacob Verghese or Eva Mulder</w:t>
      </w:r>
    </w:p>
    <w:p>
      <w:pPr>
        <w:spacing w:after="0" w:line="234" w:lineRule="auto"/>
        <w:rPr>
          <w:sz w:val="20"/>
          <w:szCs w:val="20"/>
          <w:color w:val="auto"/>
        </w:rPr>
      </w:pPr>
      <w:r>
        <w:rPr>
          <w:rFonts w:ascii="Arial" w:cs="Arial" w:eastAsia="Arial" w:hAnsi="Arial"/>
          <w:sz w:val="18"/>
          <w:szCs w:val="18"/>
          <w:color w:val="auto"/>
        </w:rPr>
        <w:t>Trophic Communications</w:t>
      </w:r>
    </w:p>
    <w:p>
      <w:pPr>
        <w:spacing w:after="0" w:line="235" w:lineRule="auto"/>
        <w:rPr>
          <w:sz w:val="20"/>
          <w:szCs w:val="20"/>
          <w:color w:val="auto"/>
        </w:rPr>
      </w:pPr>
      <w:r>
        <w:rPr>
          <w:rFonts w:ascii="Arial" w:cs="Arial" w:eastAsia="Arial" w:hAnsi="Arial"/>
          <w:sz w:val="18"/>
          <w:szCs w:val="18"/>
          <w:color w:val="auto"/>
        </w:rPr>
        <w:t>Phone: +49 89 2070 89831 or +31 6 52 33 1579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immatics@trophic.eu</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Immatics N.V.</w:t>
            </w:r>
          </w:p>
        </w:tc>
        <w:tc>
          <w:tcPr>
            <w:tcW w:w="10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Anja Heuer</w:t>
            </w:r>
          </w:p>
        </w:tc>
        <w:tc>
          <w:tcPr>
            <w:tcW w:w="6560" w:type="dxa"/>
            <w:vAlign w:val="bottom"/>
            <w:gridSpan w:val="3"/>
          </w:tcPr>
          <w:p>
            <w:pPr>
              <w:ind w:left="1060"/>
              <w:spacing w:after="0" w:line="202" w:lineRule="exact"/>
              <w:rPr>
                <w:sz w:val="20"/>
                <w:szCs w:val="20"/>
                <w:color w:val="auto"/>
              </w:rPr>
            </w:pPr>
            <w:r>
              <w:rPr>
                <w:rFonts w:ascii="Arial" w:cs="Arial" w:eastAsia="Arial" w:hAnsi="Arial"/>
                <w:sz w:val="18"/>
                <w:szCs w:val="18"/>
                <w:color w:val="auto"/>
              </w:rPr>
              <w:t>Jordan Silverstein</w:t>
            </w: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Director, Corporate Communications</w:t>
            </w:r>
          </w:p>
        </w:tc>
        <w:tc>
          <w:tcPr>
            <w:tcW w:w="6560" w:type="dxa"/>
            <w:vAlign w:val="bottom"/>
            <w:gridSpan w:val="3"/>
          </w:tcPr>
          <w:p>
            <w:pPr>
              <w:ind w:left="1060"/>
              <w:spacing w:after="0" w:line="202" w:lineRule="exact"/>
              <w:rPr>
                <w:sz w:val="20"/>
                <w:szCs w:val="20"/>
                <w:color w:val="auto"/>
              </w:rPr>
            </w:pPr>
            <w:r>
              <w:rPr>
                <w:rFonts w:ascii="Arial" w:cs="Arial" w:eastAsia="Arial" w:hAnsi="Arial"/>
                <w:sz w:val="18"/>
                <w:szCs w:val="18"/>
                <w:color w:val="auto"/>
              </w:rPr>
              <w:t>Head of Strategy</w:t>
            </w: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Phone: +49 89 540415-606</w:t>
            </w:r>
          </w:p>
        </w:tc>
        <w:tc>
          <w:tcPr>
            <w:tcW w:w="6560" w:type="dxa"/>
            <w:vAlign w:val="bottom"/>
            <w:gridSpan w:val="3"/>
          </w:tcPr>
          <w:p>
            <w:pPr>
              <w:ind w:left="1060"/>
              <w:spacing w:after="0" w:line="202" w:lineRule="exact"/>
              <w:rPr>
                <w:sz w:val="20"/>
                <w:szCs w:val="20"/>
                <w:color w:val="auto"/>
              </w:rPr>
            </w:pPr>
            <w:r>
              <w:rPr>
                <w:rFonts w:ascii="Arial" w:cs="Arial" w:eastAsia="Arial" w:hAnsi="Arial"/>
                <w:sz w:val="18"/>
                <w:szCs w:val="18"/>
                <w:color w:val="auto"/>
              </w:rPr>
              <w:t>Phone: +1 281 810 7545</w:t>
            </w:r>
          </w:p>
        </w:tc>
      </w:tr>
      <w:tr>
        <w:trPr>
          <w:trHeight w:val="194"/>
        </w:trPr>
        <w:tc>
          <w:tcPr>
            <w:tcW w:w="4680" w:type="dxa"/>
            <w:vAlign w:val="bottom"/>
            <w:gridSpan w:val="2"/>
          </w:tcPr>
          <w:p>
            <w:pPr>
              <w:spacing w:after="0" w:line="195" w:lineRule="exact"/>
              <w:rPr>
                <w:sz w:val="20"/>
                <w:szCs w:val="20"/>
                <w:color w:val="auto"/>
              </w:rPr>
            </w:pPr>
            <w:r>
              <w:rPr>
                <w:rFonts w:ascii="Arial" w:cs="Arial" w:eastAsia="Arial" w:hAnsi="Arial"/>
                <w:sz w:val="18"/>
                <w:szCs w:val="18"/>
                <w:color w:val="0000FF"/>
              </w:rPr>
              <w:t>media@immatics.com</w:t>
            </w:r>
          </w:p>
        </w:tc>
        <w:tc>
          <w:tcPr>
            <w:tcW w:w="6560" w:type="dxa"/>
            <w:vAlign w:val="bottom"/>
            <w:gridSpan w:val="3"/>
          </w:tcPr>
          <w:p>
            <w:pPr>
              <w:ind w:left="1060"/>
              <w:spacing w:after="0" w:line="195" w:lineRule="exact"/>
              <w:rPr>
                <w:sz w:val="20"/>
                <w:szCs w:val="20"/>
                <w:color w:val="auto"/>
              </w:rPr>
            </w:pPr>
            <w:r>
              <w:rPr>
                <w:rFonts w:ascii="Arial" w:cs="Arial" w:eastAsia="Arial" w:hAnsi="Arial"/>
                <w:sz w:val="18"/>
                <w:szCs w:val="18"/>
                <w:color w:val="0000FF"/>
              </w:rPr>
              <w:t>InvestorRelations@immatics.com</w:t>
            </w:r>
          </w:p>
        </w:tc>
      </w:tr>
      <w:tr>
        <w:trPr>
          <w:trHeight w:val="20"/>
        </w:trPr>
        <w:tc>
          <w:tcPr>
            <w:tcW w:w="17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803"/>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Immatics Press Release September 10, 2022</w:t>
            </w:r>
          </w:p>
        </w:tc>
        <w:tc>
          <w:tcPr>
            <w:tcW w:w="6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 | 4</w:t>
            </w:r>
          </w:p>
        </w:tc>
      </w:tr>
    </w:tbl>
    <w:p>
      <w:pPr>
        <w:spacing w:after="0" w:line="1" w:lineRule="exact"/>
        <w:rPr>
          <w:sz w:val="20"/>
          <w:szCs w:val="20"/>
          <w:color w:val="auto"/>
        </w:rPr>
      </w:pP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2022-09-12T06:02:35Z</dcterms:created>
  <dcterms:modified xsi:type="dcterms:W3CDTF">2022-09-12T06:02:35Z</dcterms:modified>
</cp:coreProperties>
</file>