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SECURITIES AND EXCHANGE COMMISSION</w:t>
      </w:r>
    </w:p>
    <w:p>
      <w:pPr>
        <w:jc w:val="center"/>
        <w:ind w:right="1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8"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169545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90"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REPORT OF FOREIGN PRIVATE ISSUER</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Rule 13a-16 or 15d-16</w:t>
      </w:r>
    </w:p>
    <w:p>
      <w:pPr>
        <w:jc w:val="center"/>
        <w:ind w:right="19"/>
        <w:spacing w:after="0"/>
        <w:rPr>
          <w:sz w:val="20"/>
          <w:szCs w:val="20"/>
          <w:color w:val="auto"/>
        </w:rPr>
      </w:pPr>
      <w:r>
        <w:rPr>
          <w:rFonts w:ascii="Arial" w:cs="Arial" w:eastAsia="Arial" w:hAnsi="Arial"/>
          <w:sz w:val="15"/>
          <w:szCs w:val="15"/>
          <w:b w:val="1"/>
          <w:bCs w:val="1"/>
          <w:color w:val="auto"/>
        </w:rPr>
        <w:t>of the Securities Exchange Act of 1934</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August 17, 2023</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Commission File Number: 001-39363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172085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83" w:lineRule="exact"/>
        <w:rPr>
          <w:sz w:val="24"/>
          <w:szCs w:val="24"/>
          <w:color w:val="auto"/>
        </w:rPr>
      </w:pPr>
    </w:p>
    <w:p>
      <w:pPr>
        <w:jc w:val="center"/>
        <w:ind w:right="19"/>
        <w:spacing w:after="0"/>
        <w:rPr>
          <w:sz w:val="20"/>
          <w:szCs w:val="20"/>
          <w:color w:val="auto"/>
        </w:rPr>
      </w:pPr>
      <w:r>
        <w:rPr>
          <w:rFonts w:ascii="Arial" w:cs="Arial" w:eastAsia="Arial" w:hAnsi="Arial"/>
          <w:sz w:val="30"/>
          <w:szCs w:val="30"/>
          <w:b w:val="1"/>
          <w:bCs w:val="1"/>
          <w:color w:val="auto"/>
        </w:rPr>
        <w:t>IMMATICS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178435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Paul-Ehrlich-Straße 15</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72076 Tübingen, Federal Republic of Germany</w:t>
      </w:r>
    </w:p>
    <w:p>
      <w:pPr>
        <w:jc w:val="center"/>
        <w:ind w:right="19"/>
        <w:spacing w:after="0"/>
        <w:rPr>
          <w:sz w:val="20"/>
          <w:szCs w:val="20"/>
          <w:color w:val="auto"/>
        </w:rPr>
      </w:pPr>
      <w:r>
        <w:rPr>
          <w:rFonts w:ascii="Arial" w:cs="Arial" w:eastAsia="Arial" w:hAnsi="Arial"/>
          <w:sz w:val="10"/>
          <w:szCs w:val="10"/>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152400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73" w:lineRule="exact"/>
        <w:rPr>
          <w:sz w:val="24"/>
          <w:szCs w:val="24"/>
          <w:color w:val="auto"/>
        </w:rPr>
      </w:pPr>
    </w:p>
    <w:p>
      <w:pPr>
        <w:ind w:left="640"/>
        <w:spacing w:after="0"/>
        <w:rPr>
          <w:sz w:val="20"/>
          <w:szCs w:val="20"/>
          <w:color w:val="auto"/>
        </w:rPr>
      </w:pPr>
      <w:r>
        <w:rPr>
          <w:rFonts w:ascii="Arial" w:cs="Arial" w:eastAsia="Arial" w:hAnsi="Arial"/>
          <w:sz w:val="13"/>
          <w:szCs w:val="13"/>
          <w:color w:val="auto"/>
        </w:rPr>
        <w:t>Indicate by check mark whether the registrant files or will file annual reports under cover Form 20-F or Form 40-F.</w:t>
      </w:r>
    </w:p>
    <w:p>
      <w:pPr>
        <w:spacing w:after="0" w:line="121" w:lineRule="exact"/>
        <w:rPr>
          <w:sz w:val="24"/>
          <w:szCs w:val="24"/>
          <w:color w:val="auto"/>
        </w:rPr>
      </w:pPr>
    </w:p>
    <w:p>
      <w:pPr>
        <w:ind w:left="3460"/>
        <w:spacing w:after="0" w:line="150" w:lineRule="exact"/>
        <w:tabs>
          <w:tab w:leader="none" w:pos="4800" w:val="left"/>
        </w:tabs>
        <w:rPr>
          <w:sz w:val="20"/>
          <w:szCs w:val="20"/>
          <w:color w:val="auto"/>
        </w:rPr>
      </w:pPr>
      <w:r>
        <w:rPr>
          <w:rFonts w:ascii="Arial" w:cs="Arial" w:eastAsia="Arial" w:hAnsi="Arial"/>
          <w:sz w:val="13"/>
          <w:szCs w:val="13"/>
          <w:color w:val="auto"/>
        </w:rPr>
        <w:t xml:space="preserve">Form 20-F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Form 40-F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135890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INFORMATION CONTAINED IN THIS REPORT ON 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-92075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138" w:lineRule="exact"/>
        <w:rPr>
          <w:sz w:val="24"/>
          <w:szCs w:val="24"/>
          <w:color w:val="auto"/>
        </w:rPr>
      </w:pPr>
    </w:p>
    <w:p>
      <w:pPr>
        <w:ind w:left="640" w:right="819"/>
        <w:spacing w:after="0" w:line="300" w:lineRule="auto"/>
        <w:rPr>
          <w:sz w:val="20"/>
          <w:szCs w:val="20"/>
          <w:color w:val="auto"/>
        </w:rPr>
      </w:pPr>
      <w:r>
        <w:rPr>
          <w:rFonts w:ascii="Arial" w:cs="Arial" w:eastAsia="Arial" w:hAnsi="Arial"/>
          <w:sz w:val="11"/>
          <w:szCs w:val="11"/>
          <w:color w:val="auto"/>
        </w:rPr>
        <w:t>On August 17, 2023, Immatics N.V. (the “Company”) issued an interim report for the three and six-month periods ended June 30, 2023, which is attached hereto as Exhibit 99.1, and issued a press release announcing the second quarter 2023 financial results for the Company, which is attached hereto as Exhibit 99.2. Additionally, the Company made available an updated investor presentation, which is attached hereto as Exhibit 99.3. The fact that the presentation is being made available and furnished herewith is not an admission as to the materiality of any information contained in the presentation. The information contained in the presentation is being provided as of November 17, 2022 and the Company does not undertake any obligation to update the presentation in the future or to update forward-looking statements to reflect subsequent actual results.</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INCORPORATION BY REFERENCE</w:t>
      </w:r>
    </w:p>
    <w:p>
      <w:pPr>
        <w:spacing w:after="0" w:line="158" w:lineRule="exact"/>
        <w:rPr>
          <w:sz w:val="24"/>
          <w:szCs w:val="24"/>
          <w:color w:val="auto"/>
        </w:rPr>
      </w:pPr>
    </w:p>
    <w:p>
      <w:pPr>
        <w:ind w:left="640" w:right="879"/>
        <w:spacing w:after="0" w:line="249" w:lineRule="auto"/>
        <w:rPr>
          <w:sz w:val="20"/>
          <w:szCs w:val="20"/>
          <w:color w:val="auto"/>
        </w:rPr>
      </w:pPr>
      <w:r>
        <w:rPr>
          <w:rFonts w:ascii="Arial" w:cs="Arial" w:eastAsia="Arial" w:hAnsi="Arial"/>
          <w:sz w:val="13"/>
          <w:szCs w:val="13"/>
          <w:color w:val="auto"/>
        </w:rPr>
        <w:t>This Report on Form 6-K (other than Exhibit 99.2 and Exhibit 99.3 hereto) including Exhibit 99.1 hereto, shall be deemed to be incorporated by reference into the registration statements on Form S-8 (333-249408 and 333-265820) and the registration statements on Form F-3 (Registration Nos. 333-258351 and 333-240260) of Immatics N.V. and to be a part thereof from the date on which this report is filed, to the extent not superseded by documents or reports subsequently filed or furnished.</w:t>
      </w:r>
    </w:p>
    <w:p>
      <w:pPr>
        <w:spacing w:after="0" w:line="134" w:lineRule="exact"/>
        <w:rPr>
          <w:sz w:val="24"/>
          <w:szCs w:val="24"/>
          <w:color w:val="auto"/>
        </w:rPr>
      </w:pPr>
    </w:p>
    <w:tbl>
      <w:tblPr>
        <w:tblLayout w:type="fixed"/>
        <w:tblInd w:w="64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40" w:type="dxa"/>
            <w:vAlign w:val="bottom"/>
          </w:tcPr>
          <w:p>
            <w:pPr>
              <w:ind w:left="80"/>
              <w:spacing w:after="0"/>
              <w:rPr>
                <w:sz w:val="20"/>
                <w:szCs w:val="20"/>
                <w:color w:val="auto"/>
              </w:rPr>
            </w:pPr>
            <w:r>
              <w:rPr>
                <w:rFonts w:ascii="Arial" w:cs="Arial" w:eastAsia="Arial" w:hAnsi="Arial"/>
                <w:sz w:val="13"/>
                <w:szCs w:val="13"/>
                <w:b w:val="1"/>
                <w:bCs w:val="1"/>
                <w:color w:val="auto"/>
              </w:rPr>
              <w:t>EXHIBITS</w:t>
            </w:r>
          </w:p>
        </w:tc>
      </w:tr>
      <w:tr>
        <w:trPr>
          <w:trHeight w:val="286"/>
        </w:trPr>
        <w:tc>
          <w:tcPr>
            <w:tcW w:w="1160" w:type="dxa"/>
            <w:vAlign w:val="bottom"/>
          </w:tcPr>
          <w:p>
            <w:pPr>
              <w:spacing w:after="0"/>
              <w:rPr>
                <w:sz w:val="20"/>
                <w:szCs w:val="20"/>
                <w:color w:val="auto"/>
              </w:rPr>
            </w:pPr>
            <w:r>
              <w:rPr>
                <w:rFonts w:ascii="Arial" w:cs="Arial" w:eastAsia="Arial" w:hAnsi="Arial"/>
                <w:sz w:val="10"/>
                <w:szCs w:val="10"/>
                <w:b w:val="1"/>
                <w:bCs w:val="1"/>
                <w:color w:val="auto"/>
              </w:rPr>
              <w:t>Exhibit Number</w:t>
            </w:r>
          </w:p>
        </w:tc>
        <w:tc>
          <w:tcPr>
            <w:tcW w:w="4360" w:type="dxa"/>
            <w:vAlign w:val="bottom"/>
            <w:gridSpan w:val="3"/>
          </w:tcPr>
          <w:p>
            <w:pPr>
              <w:spacing w:after="0"/>
              <w:rPr>
                <w:sz w:val="20"/>
                <w:szCs w:val="20"/>
                <w:color w:val="auto"/>
              </w:rPr>
            </w:pPr>
            <w:r>
              <w:rPr>
                <w:rFonts w:ascii="Arial" w:cs="Arial" w:eastAsia="Arial" w:hAnsi="Arial"/>
                <w:sz w:val="10"/>
                <w:szCs w:val="10"/>
                <w:b w:val="1"/>
                <w:bCs w:val="1"/>
                <w:color w:val="auto"/>
              </w:rPr>
              <w:t>Description</w:t>
            </w:r>
          </w:p>
        </w:tc>
      </w:tr>
      <w:tr>
        <w:trPr>
          <w:trHeight w:val="188"/>
        </w:trPr>
        <w:tc>
          <w:tcPr>
            <w:tcW w:w="1160" w:type="dxa"/>
            <w:vAlign w:val="bottom"/>
          </w:tcPr>
          <w:p>
            <w:pPr>
              <w:spacing w:after="0"/>
              <w:rPr>
                <w:sz w:val="20"/>
                <w:szCs w:val="20"/>
                <w:color w:val="auto"/>
              </w:rPr>
            </w:pPr>
            <w:r>
              <w:rPr>
                <w:rFonts w:ascii="Arial" w:cs="Arial" w:eastAsia="Arial" w:hAnsi="Arial"/>
                <w:sz w:val="13"/>
                <w:szCs w:val="13"/>
                <w:color w:val="auto"/>
              </w:rPr>
              <w:t>99.1</w:t>
            </w:r>
          </w:p>
        </w:tc>
        <w:tc>
          <w:tcPr>
            <w:tcW w:w="4360" w:type="dxa"/>
            <w:vAlign w:val="bottom"/>
            <w:tcBorders>
              <w:bottom w:val="single" w:sz="8" w:color="0000EE"/>
            </w:tcBorders>
            <w:gridSpan w:val="3"/>
          </w:tcPr>
          <w:p>
            <w:pPr>
              <w:spacing w:after="0"/>
              <w:rPr>
                <w:sz w:val="20"/>
                <w:szCs w:val="20"/>
                <w:color w:val="auto"/>
              </w:rPr>
            </w:pPr>
            <w:r>
              <w:rPr>
                <w:rFonts w:ascii="Arial" w:cs="Arial" w:eastAsia="Arial" w:hAnsi="Arial"/>
                <w:sz w:val="13"/>
                <w:szCs w:val="13"/>
                <w:color w:val="0000EE"/>
                <w:w w:val="87"/>
              </w:rPr>
              <w:t>Immatics N.V. interim report for the three and six-month periods ended June 30, 2023.</w:t>
            </w:r>
          </w:p>
        </w:tc>
      </w:tr>
      <w:tr>
        <w:trPr>
          <w:trHeight w:val="207"/>
        </w:trPr>
        <w:tc>
          <w:tcPr>
            <w:tcW w:w="1160" w:type="dxa"/>
            <w:vAlign w:val="bottom"/>
          </w:tcPr>
          <w:p>
            <w:pPr>
              <w:spacing w:after="0"/>
              <w:rPr>
                <w:sz w:val="20"/>
                <w:szCs w:val="20"/>
                <w:color w:val="auto"/>
              </w:rPr>
            </w:pPr>
            <w:r>
              <w:rPr>
                <w:rFonts w:ascii="Arial" w:cs="Arial" w:eastAsia="Arial" w:hAnsi="Arial"/>
                <w:sz w:val="13"/>
                <w:szCs w:val="13"/>
                <w:color w:val="auto"/>
              </w:rPr>
              <w:t>99.2</w:t>
            </w:r>
          </w:p>
        </w:tc>
        <w:tc>
          <w:tcPr>
            <w:tcW w:w="4360" w:type="dxa"/>
            <w:vAlign w:val="bottom"/>
            <w:gridSpan w:val="3"/>
          </w:tcPr>
          <w:p>
            <w:pPr>
              <w:spacing w:after="0"/>
              <w:rPr>
                <w:sz w:val="20"/>
                <w:szCs w:val="20"/>
                <w:color w:val="auto"/>
              </w:rPr>
            </w:pPr>
            <w:r>
              <w:rPr>
                <w:rFonts w:ascii="Arial" w:cs="Arial" w:eastAsia="Arial" w:hAnsi="Arial"/>
                <w:sz w:val="13"/>
                <w:szCs w:val="13"/>
                <w:color w:val="0000EE"/>
              </w:rPr>
              <w:t>Press release dated August 17, 2023.</w:t>
            </w:r>
          </w:p>
        </w:tc>
      </w:tr>
      <w:tr>
        <w:trPr>
          <w:trHeight w:val="20"/>
        </w:trPr>
        <w:tc>
          <w:tcPr>
            <w:tcW w:w="116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07"/>
        </w:trPr>
        <w:tc>
          <w:tcPr>
            <w:tcW w:w="1160" w:type="dxa"/>
            <w:vAlign w:val="bottom"/>
          </w:tcPr>
          <w:p>
            <w:pPr>
              <w:spacing w:after="0"/>
              <w:rPr>
                <w:sz w:val="20"/>
                <w:szCs w:val="20"/>
                <w:color w:val="auto"/>
              </w:rPr>
            </w:pPr>
            <w:r>
              <w:rPr>
                <w:rFonts w:ascii="Arial" w:cs="Arial" w:eastAsia="Arial" w:hAnsi="Arial"/>
                <w:sz w:val="13"/>
                <w:szCs w:val="13"/>
                <w:color w:val="auto"/>
              </w:rPr>
              <w:t>99.3</w:t>
            </w:r>
          </w:p>
        </w:tc>
        <w:tc>
          <w:tcPr>
            <w:tcW w:w="4360" w:type="dxa"/>
            <w:vAlign w:val="bottom"/>
            <w:gridSpan w:val="3"/>
          </w:tcPr>
          <w:p>
            <w:pPr>
              <w:spacing w:after="0"/>
              <w:rPr>
                <w:sz w:val="20"/>
                <w:szCs w:val="20"/>
                <w:color w:val="auto"/>
              </w:rPr>
            </w:pPr>
            <w:r>
              <w:rPr>
                <w:rFonts w:ascii="Arial" w:cs="Arial" w:eastAsia="Arial" w:hAnsi="Arial"/>
                <w:sz w:val="13"/>
                <w:szCs w:val="13"/>
                <w:color w:val="0000EE"/>
              </w:rPr>
              <w:t>Corporate presentation dated August 17, 2023</w:t>
            </w:r>
          </w:p>
        </w:tc>
      </w:tr>
      <w:tr>
        <w:trPr>
          <w:trHeight w:val="20"/>
        </w:trPr>
        <w:tc>
          <w:tcPr>
            <w:tcW w:w="1160" w:type="dxa"/>
            <w:vAlign w:val="bottom"/>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36"/>
        </w:trPr>
        <w:tc>
          <w:tcPr>
            <w:tcW w:w="1160" w:type="dxa"/>
            <w:vAlign w:val="bottom"/>
          </w:tcPr>
          <w:p>
            <w:pPr>
              <w:spacing w:after="0"/>
              <w:rPr>
                <w:sz w:val="20"/>
                <w:szCs w:val="20"/>
                <w:color w:val="auto"/>
              </w:rPr>
            </w:pPr>
            <w:r>
              <w:rPr>
                <w:rFonts w:ascii="Arial" w:cs="Arial" w:eastAsia="Arial" w:hAnsi="Arial"/>
                <w:sz w:val="13"/>
                <w:szCs w:val="13"/>
                <w:color w:val="auto"/>
              </w:rPr>
              <w:t>101.INS</w:t>
            </w:r>
          </w:p>
        </w:tc>
        <w:tc>
          <w:tcPr>
            <w:tcW w:w="4360" w:type="dxa"/>
            <w:vAlign w:val="bottom"/>
            <w:gridSpan w:val="3"/>
          </w:tcPr>
          <w:p>
            <w:pPr>
              <w:spacing w:after="0"/>
              <w:rPr>
                <w:sz w:val="20"/>
                <w:szCs w:val="20"/>
                <w:color w:val="auto"/>
              </w:rPr>
            </w:pPr>
            <w:r>
              <w:rPr>
                <w:rFonts w:ascii="Arial" w:cs="Arial" w:eastAsia="Arial" w:hAnsi="Arial"/>
                <w:sz w:val="13"/>
                <w:szCs w:val="13"/>
                <w:color w:val="auto"/>
              </w:rPr>
              <w:t>Inline XBRL Taxonomy Extension Instance Document</w:t>
            </w:r>
          </w:p>
        </w:tc>
      </w:tr>
      <w:tr>
        <w:trPr>
          <w:trHeight w:val="227"/>
        </w:trPr>
        <w:tc>
          <w:tcPr>
            <w:tcW w:w="1160" w:type="dxa"/>
            <w:vAlign w:val="bottom"/>
          </w:tcPr>
          <w:p>
            <w:pPr>
              <w:spacing w:after="0"/>
              <w:rPr>
                <w:sz w:val="20"/>
                <w:szCs w:val="20"/>
                <w:color w:val="auto"/>
              </w:rPr>
            </w:pPr>
            <w:r>
              <w:rPr>
                <w:rFonts w:ascii="Arial" w:cs="Arial" w:eastAsia="Arial" w:hAnsi="Arial"/>
                <w:sz w:val="13"/>
                <w:szCs w:val="13"/>
                <w:color w:val="auto"/>
              </w:rPr>
              <w:t>101.SCH</w:t>
            </w:r>
          </w:p>
        </w:tc>
        <w:tc>
          <w:tcPr>
            <w:tcW w:w="4360" w:type="dxa"/>
            <w:vAlign w:val="bottom"/>
            <w:gridSpan w:val="3"/>
          </w:tcPr>
          <w:p>
            <w:pPr>
              <w:spacing w:after="0"/>
              <w:rPr>
                <w:sz w:val="20"/>
                <w:szCs w:val="20"/>
                <w:color w:val="auto"/>
              </w:rPr>
            </w:pPr>
            <w:r>
              <w:rPr>
                <w:rFonts w:ascii="Arial" w:cs="Arial" w:eastAsia="Arial" w:hAnsi="Arial"/>
                <w:sz w:val="13"/>
                <w:szCs w:val="13"/>
                <w:color w:val="auto"/>
              </w:rPr>
              <w:t>Inline XBRL Taxonomy Extension Schema Document</w:t>
            </w:r>
          </w:p>
        </w:tc>
      </w:tr>
      <w:tr>
        <w:trPr>
          <w:trHeight w:val="227"/>
        </w:trPr>
        <w:tc>
          <w:tcPr>
            <w:tcW w:w="1160" w:type="dxa"/>
            <w:vAlign w:val="bottom"/>
          </w:tcPr>
          <w:p>
            <w:pPr>
              <w:spacing w:after="0"/>
              <w:rPr>
                <w:sz w:val="20"/>
                <w:szCs w:val="20"/>
                <w:color w:val="auto"/>
              </w:rPr>
            </w:pPr>
            <w:r>
              <w:rPr>
                <w:rFonts w:ascii="Arial" w:cs="Arial" w:eastAsia="Arial" w:hAnsi="Arial"/>
                <w:sz w:val="13"/>
                <w:szCs w:val="13"/>
                <w:color w:val="auto"/>
              </w:rPr>
              <w:t>101.CAL</w:t>
            </w:r>
          </w:p>
        </w:tc>
        <w:tc>
          <w:tcPr>
            <w:tcW w:w="4360" w:type="dxa"/>
            <w:vAlign w:val="bottom"/>
            <w:gridSpan w:val="3"/>
          </w:tcPr>
          <w:p>
            <w:pPr>
              <w:spacing w:after="0"/>
              <w:rPr>
                <w:sz w:val="20"/>
                <w:szCs w:val="20"/>
                <w:color w:val="auto"/>
              </w:rPr>
            </w:pPr>
            <w:r>
              <w:rPr>
                <w:rFonts w:ascii="Arial" w:cs="Arial" w:eastAsia="Arial" w:hAnsi="Arial"/>
                <w:sz w:val="13"/>
                <w:szCs w:val="13"/>
                <w:color w:val="auto"/>
              </w:rPr>
              <w:t>Inline XBRL Taxonomy Extension Calculation Linkbase Document</w:t>
            </w:r>
          </w:p>
        </w:tc>
      </w:tr>
      <w:tr>
        <w:trPr>
          <w:trHeight w:val="227"/>
        </w:trPr>
        <w:tc>
          <w:tcPr>
            <w:tcW w:w="1160" w:type="dxa"/>
            <w:vAlign w:val="bottom"/>
          </w:tcPr>
          <w:p>
            <w:pPr>
              <w:spacing w:after="0"/>
              <w:rPr>
                <w:sz w:val="20"/>
                <w:szCs w:val="20"/>
                <w:color w:val="auto"/>
              </w:rPr>
            </w:pPr>
            <w:r>
              <w:rPr>
                <w:rFonts w:ascii="Arial" w:cs="Arial" w:eastAsia="Arial" w:hAnsi="Arial"/>
                <w:sz w:val="13"/>
                <w:szCs w:val="13"/>
                <w:color w:val="auto"/>
              </w:rPr>
              <w:t>101.DEF</w:t>
            </w:r>
          </w:p>
        </w:tc>
        <w:tc>
          <w:tcPr>
            <w:tcW w:w="4360" w:type="dxa"/>
            <w:vAlign w:val="bottom"/>
            <w:gridSpan w:val="3"/>
          </w:tcPr>
          <w:p>
            <w:pPr>
              <w:spacing w:after="0"/>
              <w:rPr>
                <w:sz w:val="20"/>
                <w:szCs w:val="20"/>
                <w:color w:val="auto"/>
              </w:rPr>
            </w:pPr>
            <w:r>
              <w:rPr>
                <w:rFonts w:ascii="Arial" w:cs="Arial" w:eastAsia="Arial" w:hAnsi="Arial"/>
                <w:sz w:val="13"/>
                <w:szCs w:val="13"/>
                <w:color w:val="auto"/>
              </w:rPr>
              <w:t>Inline XBRL Taxonomy Extension Definition Linkbase Document</w:t>
            </w:r>
          </w:p>
        </w:tc>
      </w:tr>
      <w:tr>
        <w:trPr>
          <w:trHeight w:val="227"/>
        </w:trPr>
        <w:tc>
          <w:tcPr>
            <w:tcW w:w="1160" w:type="dxa"/>
            <w:vAlign w:val="bottom"/>
          </w:tcPr>
          <w:p>
            <w:pPr>
              <w:spacing w:after="0"/>
              <w:rPr>
                <w:sz w:val="20"/>
                <w:szCs w:val="20"/>
                <w:color w:val="auto"/>
              </w:rPr>
            </w:pPr>
            <w:r>
              <w:rPr>
                <w:rFonts w:ascii="Arial" w:cs="Arial" w:eastAsia="Arial" w:hAnsi="Arial"/>
                <w:sz w:val="13"/>
                <w:szCs w:val="13"/>
                <w:color w:val="auto"/>
              </w:rPr>
              <w:t>101.LAB</w:t>
            </w:r>
          </w:p>
        </w:tc>
        <w:tc>
          <w:tcPr>
            <w:tcW w:w="4360" w:type="dxa"/>
            <w:vAlign w:val="bottom"/>
            <w:gridSpan w:val="3"/>
          </w:tcPr>
          <w:p>
            <w:pPr>
              <w:spacing w:after="0"/>
              <w:rPr>
                <w:sz w:val="20"/>
                <w:szCs w:val="20"/>
                <w:color w:val="auto"/>
              </w:rPr>
            </w:pPr>
            <w:r>
              <w:rPr>
                <w:rFonts w:ascii="Arial" w:cs="Arial" w:eastAsia="Arial" w:hAnsi="Arial"/>
                <w:sz w:val="13"/>
                <w:szCs w:val="13"/>
                <w:color w:val="auto"/>
              </w:rPr>
              <w:t>Inline XBRL Taxonomy Extension Label Linkbase Document</w:t>
            </w:r>
          </w:p>
        </w:tc>
      </w:tr>
      <w:tr>
        <w:trPr>
          <w:trHeight w:val="227"/>
        </w:trPr>
        <w:tc>
          <w:tcPr>
            <w:tcW w:w="1160" w:type="dxa"/>
            <w:vAlign w:val="bottom"/>
          </w:tcPr>
          <w:p>
            <w:pPr>
              <w:spacing w:after="0"/>
              <w:rPr>
                <w:sz w:val="20"/>
                <w:szCs w:val="20"/>
                <w:color w:val="auto"/>
              </w:rPr>
            </w:pPr>
            <w:r>
              <w:rPr>
                <w:rFonts w:ascii="Arial" w:cs="Arial" w:eastAsia="Arial" w:hAnsi="Arial"/>
                <w:sz w:val="13"/>
                <w:szCs w:val="13"/>
                <w:color w:val="auto"/>
              </w:rPr>
              <w:t>101.PRE</w:t>
            </w:r>
          </w:p>
        </w:tc>
        <w:tc>
          <w:tcPr>
            <w:tcW w:w="4360" w:type="dxa"/>
            <w:vAlign w:val="bottom"/>
            <w:gridSpan w:val="3"/>
          </w:tcPr>
          <w:p>
            <w:pPr>
              <w:spacing w:after="0"/>
              <w:rPr>
                <w:sz w:val="20"/>
                <w:szCs w:val="20"/>
                <w:color w:val="auto"/>
              </w:rPr>
            </w:pPr>
            <w:r>
              <w:rPr>
                <w:rFonts w:ascii="Arial" w:cs="Arial" w:eastAsia="Arial" w:hAnsi="Arial"/>
                <w:sz w:val="13"/>
                <w:szCs w:val="13"/>
                <w:color w:val="auto"/>
              </w:rPr>
              <w:t>Inline XBRL Taxonomy Extension Presentation Linkbase Document</w:t>
            </w:r>
          </w:p>
        </w:tc>
      </w:tr>
    </w:tbl>
    <w:p>
      <w:pPr>
        <w:spacing w:after="0" w:line="67" w:lineRule="exact"/>
        <w:rPr>
          <w:sz w:val="24"/>
          <w:szCs w:val="24"/>
          <w:color w:val="auto"/>
        </w:rPr>
      </w:pPr>
    </w:p>
    <w:p>
      <w:pPr>
        <w:ind w:left="4480" w:right="2619" w:hanging="3843"/>
        <w:spacing w:after="0" w:line="428" w:lineRule="auto"/>
        <w:tabs>
          <w:tab w:leader="none" w:pos="1801" w:val="left"/>
        </w:tabs>
        <w:numPr>
          <w:ilvl w:val="0"/>
          <w:numId w:val="1"/>
        </w:numPr>
        <w:rPr>
          <w:rFonts w:ascii="Arial" w:cs="Arial" w:eastAsia="Arial" w:hAnsi="Arial"/>
          <w:sz w:val="13"/>
          <w:szCs w:val="13"/>
          <w:color w:val="auto"/>
        </w:rPr>
      </w:pPr>
      <w:r>
        <w:rPr>
          <w:rFonts w:ascii="Arial" w:cs="Arial" w:eastAsia="Arial" w:hAnsi="Arial"/>
          <w:sz w:val="13"/>
          <w:szCs w:val="13"/>
          <w:color w:val="auto"/>
        </w:rPr>
        <w:t>Cover Page Interactive Data File (formatted as Inline XBRL and contained in Exhibit 101). 1</w:t>
      </w:r>
    </w:p>
    <w:p>
      <w:pPr>
        <w:sectPr>
          <w:pgSz w:w="11900" w:h="16838" w:orient="portrait"/>
          <w:cols w:equalWidth="0" w:num="1">
            <w:col w:w="9019"/>
          </w:cols>
          <w:pgMar w:left="1440" w:top="309" w:right="1440" w:bottom="1440" w:gutter="0" w:footer="0" w:header="0"/>
        </w:sectPr>
      </w:pPr>
    </w:p>
    <w:bookmarkStart w:id="1" w:name="page2"/>
    <w:bookmarkEnd w:id="1"/>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Table of Contents</w:t>
      </w:r>
    </w:p>
    <w:p>
      <w:pPr>
        <w:spacing w:after="0" w:line="210" w:lineRule="exact"/>
        <w:rPr>
          <w:sz w:val="20"/>
          <w:szCs w:val="20"/>
          <w:color w:val="auto"/>
        </w:rPr>
      </w:pPr>
    </w:p>
    <w:p>
      <w:pPr>
        <w:ind w:left="5240"/>
        <w:spacing w:after="0"/>
        <w:rPr>
          <w:sz w:val="20"/>
          <w:szCs w:val="20"/>
          <w:color w:val="auto"/>
        </w:rPr>
      </w:pPr>
      <w:r>
        <w:rPr>
          <w:rFonts w:ascii="Arial" w:cs="Arial" w:eastAsia="Arial" w:hAnsi="Arial"/>
          <w:sz w:val="13"/>
          <w:szCs w:val="13"/>
          <w:b w:val="1"/>
          <w:bCs w:val="1"/>
          <w:color w:val="auto"/>
        </w:rPr>
        <w:t>SIGNATURES</w:t>
      </w:r>
    </w:p>
    <w:p>
      <w:pPr>
        <w:spacing w:after="0" w:line="158" w:lineRule="exact"/>
        <w:rPr>
          <w:sz w:val="20"/>
          <w:szCs w:val="20"/>
          <w:color w:val="auto"/>
        </w:rPr>
      </w:pPr>
    </w:p>
    <w:p>
      <w:pPr>
        <w:ind w:left="1780" w:right="1179"/>
        <w:spacing w:after="0" w:line="261"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145" w:lineRule="exact"/>
        <w:rPr>
          <w:sz w:val="20"/>
          <w:szCs w:val="20"/>
          <w:color w:val="auto"/>
        </w:rPr>
      </w:pPr>
    </w:p>
    <w:p>
      <w:pPr>
        <w:ind w:left="5780"/>
        <w:spacing w:after="0"/>
        <w:rPr>
          <w:sz w:val="20"/>
          <w:szCs w:val="20"/>
          <w:color w:val="auto"/>
        </w:rPr>
      </w:pPr>
      <w:r>
        <w:rPr>
          <w:rFonts w:ascii="Arial" w:cs="Arial" w:eastAsia="Arial" w:hAnsi="Arial"/>
          <w:sz w:val="13"/>
          <w:szCs w:val="13"/>
          <w:b w:val="1"/>
          <w:bCs w:val="1"/>
          <w:color w:val="auto"/>
        </w:rPr>
        <w:t>IMMATICS N.V.</w:t>
      </w:r>
    </w:p>
    <w:p>
      <w:pPr>
        <w:spacing w:after="0" w:line="158" w:lineRule="exact"/>
        <w:rPr>
          <w:sz w:val="20"/>
          <w:szCs w:val="20"/>
          <w:color w:val="auto"/>
        </w:rPr>
      </w:pPr>
    </w:p>
    <w:p>
      <w:pPr>
        <w:ind w:left="1780"/>
        <w:spacing w:after="0"/>
        <w:tabs>
          <w:tab w:leader="none" w:pos="5760" w:val="left"/>
        </w:tabs>
        <w:rPr>
          <w:sz w:val="20"/>
          <w:szCs w:val="20"/>
          <w:color w:val="auto"/>
        </w:rPr>
      </w:pPr>
      <w:r>
        <w:rPr>
          <w:rFonts w:ascii="Arial" w:cs="Arial" w:eastAsia="Arial" w:hAnsi="Arial"/>
          <w:sz w:val="13"/>
          <w:szCs w:val="13"/>
          <w:color w:val="auto"/>
        </w:rPr>
        <w:t>Date: August 17, 2023</w:t>
      </w:r>
      <w:r>
        <w:rPr>
          <w:sz w:val="20"/>
          <w:szCs w:val="20"/>
          <w:color w:val="auto"/>
        </w:rPr>
        <w:tab/>
      </w:r>
      <w:r>
        <w:rPr>
          <w:rFonts w:ascii="Arial" w:cs="Arial" w:eastAsia="Arial" w:hAnsi="Arial"/>
          <w:sz w:val="11"/>
          <w:szCs w:val="11"/>
          <w:color w:val="auto"/>
        </w:rPr>
        <w:t>by:  /s/ Harpreet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6985</wp:posOffset>
            </wp:positionV>
            <wp:extent cx="220853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 w:lineRule="exact"/>
        <w:rPr>
          <w:sz w:val="20"/>
          <w:szCs w:val="20"/>
          <w:color w:val="auto"/>
        </w:rPr>
      </w:pPr>
    </w:p>
    <w:p>
      <w:pPr>
        <w:ind w:left="6040"/>
        <w:spacing w:after="0"/>
        <w:rPr>
          <w:sz w:val="20"/>
          <w:szCs w:val="20"/>
          <w:color w:val="auto"/>
        </w:rPr>
      </w:pPr>
      <w:r>
        <w:rPr>
          <w:rFonts w:ascii="Arial" w:cs="Arial" w:eastAsia="Arial" w:hAnsi="Arial"/>
          <w:sz w:val="13"/>
          <w:szCs w:val="13"/>
          <w:color w:val="auto"/>
        </w:rPr>
        <w:t>Harpreet Singh</w:t>
      </w:r>
    </w:p>
    <w:p>
      <w:pPr>
        <w:spacing w:after="0" w:line="11" w:lineRule="exact"/>
        <w:rPr>
          <w:sz w:val="20"/>
          <w:szCs w:val="20"/>
          <w:color w:val="auto"/>
        </w:rPr>
      </w:pPr>
    </w:p>
    <w:p>
      <w:pPr>
        <w:ind w:left="6040"/>
        <w:spacing w:after="0"/>
        <w:rPr>
          <w:sz w:val="20"/>
          <w:szCs w:val="20"/>
          <w:color w:val="auto"/>
        </w:rPr>
      </w:pPr>
      <w:r>
        <w:rPr>
          <w:rFonts w:ascii="Arial" w:cs="Arial" w:eastAsia="Arial" w:hAnsi="Arial"/>
          <w:sz w:val="13"/>
          <w:szCs w:val="13"/>
          <w:color w:val="auto"/>
        </w:rPr>
        <w:t>Chief Executive Officer</w:t>
      </w:r>
    </w:p>
    <w:p>
      <w:pPr>
        <w:spacing w:after="0" w:line="35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159"/>
          </w:cols>
          <w:pgMar w:left="300" w:top="383" w:right="1440" w:bottom="1440" w:gutter="0" w:footer="0" w:header="0"/>
        </w:sectPr>
      </w:pPr>
    </w:p>
    <w:bookmarkStart w:id="2" w:name="page3"/>
    <w:bookmarkEnd w:id="2"/>
    <w:p>
      <w:pPr>
        <w:jc w:val="right"/>
        <w:ind w:right="639"/>
        <w:spacing w:after="0"/>
        <w:rPr>
          <w:sz w:val="20"/>
          <w:szCs w:val="20"/>
          <w:color w:val="auto"/>
        </w:rPr>
      </w:pPr>
      <w:r>
        <w:rPr>
          <w:rFonts w:ascii="Arial" w:cs="Arial" w:eastAsia="Arial" w:hAnsi="Arial"/>
          <w:sz w:val="13"/>
          <w:szCs w:val="13"/>
          <w:b w:val="1"/>
          <w:bCs w:val="1"/>
          <w:color w:val="auto"/>
        </w:rPr>
        <w:t>Exhibit 99.1</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PRELIMINARY NOTE</w:t>
      </w:r>
    </w:p>
    <w:p>
      <w:pPr>
        <w:spacing w:after="0" w:line="158" w:lineRule="exact"/>
        <w:rPr>
          <w:sz w:val="20"/>
          <w:szCs w:val="20"/>
          <w:color w:val="auto"/>
        </w:rPr>
      </w:pPr>
    </w:p>
    <w:p>
      <w:pPr>
        <w:ind w:left="640" w:right="979"/>
        <w:spacing w:after="0" w:line="276" w:lineRule="auto"/>
        <w:rPr>
          <w:sz w:val="20"/>
          <w:szCs w:val="20"/>
          <w:color w:val="auto"/>
        </w:rPr>
      </w:pPr>
      <w:r>
        <w:rPr>
          <w:rFonts w:ascii="Arial" w:cs="Arial" w:eastAsia="Arial" w:hAnsi="Arial"/>
          <w:sz w:val="12"/>
          <w:szCs w:val="12"/>
          <w:i w:val="1"/>
          <w:iCs w:val="1"/>
          <w:color w:val="auto"/>
        </w:rPr>
        <w:t>The unaudited condensed Consolidated Financial Statements for the three and six-month periods ended June 30, 2023, included herein, have been prepared in accordance with International Accounting Standard 34 (“Interim Financial Reporting”), as issued by the International Accounting Standards Board (“IASB”). The Consolidated Financial Statements are presented in euros. All references in this interim report to “$,” and “U.S. dollars” mean U.S. dollars and all references to “€” and “euros” mean euros, unless otherwise noted.</w:t>
      </w:r>
    </w:p>
    <w:p>
      <w:pPr>
        <w:spacing w:after="0" w:line="123" w:lineRule="exact"/>
        <w:rPr>
          <w:sz w:val="20"/>
          <w:szCs w:val="20"/>
          <w:color w:val="auto"/>
        </w:rPr>
      </w:pPr>
    </w:p>
    <w:p>
      <w:pPr>
        <w:ind w:left="640" w:right="639"/>
        <w:spacing w:after="0" w:line="265" w:lineRule="auto"/>
        <w:rPr>
          <w:sz w:val="20"/>
          <w:szCs w:val="20"/>
          <w:color w:val="auto"/>
        </w:rPr>
      </w:pPr>
      <w:r>
        <w:rPr>
          <w:rFonts w:ascii="Arial" w:cs="Arial" w:eastAsia="Arial" w:hAnsi="Arial"/>
          <w:sz w:val="12"/>
          <w:szCs w:val="12"/>
          <w:i w:val="1"/>
          <w:iCs w:val="1"/>
          <w:color w:val="auto"/>
        </w:rPr>
        <w:t>This interim report, including “Management’s Discussion and Analysis of Financial Condition and Results of Operations,” contains statements that constitute forward-looking statements within the meaning of Section 21E of the Exchange Act and Section 27A of the Securities Act of 1933, as amended (the “Securities Act”). All statements other than statements of historical facts, including statements regarding our future results of operations and financial position, business and commercial strategy, potential market opportunities, products and product candidates, research pipeline, ongoing and planned preclinical studies and clinical trials, regulatory submissions and approvals, research and development costs, timing and likelihood of success, as well as plans and objectives of management for future operations are forward-looking statements. Many of the forward-looking statements contained in this interim report can be identified by the use of forward-looking words such as “anticipate,” “believe,” “could,” “expect,” “should,” “plan,” “intend,” “estimate,” “will” and “potential” among others. Forward-looking statements are based on our management’s beliefs and assumptions and on information available to our management at the time such statements are made. Such statements are subject to risks and uncertainties, and actual results may differ materially from those expressed or implied in the forward-looking statements due to various factors, including, but not limited to the macro-economic environment; inconclusive clinical trial results or clinical trials failing to achieve one or more endpoints, early data not being repeated in ongoing or future clinical trials, failures to secure required regulatory approvals, disruptions from failures by third-parties on whom we rely in connection with our clinical trials, delays or negative determinations by regulatory authorities, changes or increases in oversight and regulation; increased competition; manufacturing delays or problems, inability to achieve enrollment targets, disagreements with our collaboration partners or failures of collaboration partners to pursue product candidates, legal challenges, including product liability claims or intellectual property disputes, commercialization factors, including regulatory approval and pricing determinations, disruptions to access to raw materials or starting material, proliferation and continuous evolution of new technologies; disruptions to Immatics’ business; management changes; dislocations in the capital markets; and other important factors described under “Risk Factors” in our Annual Report on Form 20-F for the year ended December 31, 2022, filed with the Securities and Exchange Commission on March 22, 2023 and those described in our other filings with the Securities and Exchange Commission. Forward-looking statements speak only as of the date on which they were made. Because forward-looking statements are inherently subject to risks and uncertainties, some of which cannot be predicted or quantified and some of which are beyond our control, you should not rely on these forward-looking statements as predictions of future events.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whether as a result of any new information, future events, changed circumstances or otherwise.</w:t>
      </w:r>
    </w:p>
    <w:p>
      <w:pPr>
        <w:spacing w:after="0" w:line="132" w:lineRule="exact"/>
        <w:rPr>
          <w:sz w:val="20"/>
          <w:szCs w:val="20"/>
          <w:color w:val="auto"/>
        </w:rPr>
      </w:pPr>
    </w:p>
    <w:p>
      <w:pPr>
        <w:ind w:left="640" w:right="699"/>
        <w:spacing w:after="0" w:line="271" w:lineRule="auto"/>
        <w:rPr>
          <w:sz w:val="20"/>
          <w:szCs w:val="20"/>
          <w:color w:val="auto"/>
        </w:rPr>
      </w:pPr>
      <w:r>
        <w:rPr>
          <w:rFonts w:ascii="Arial" w:cs="Arial" w:eastAsia="Arial" w:hAnsi="Arial"/>
          <w:sz w:val="11"/>
          <w:szCs w:val="11"/>
          <w:i w:val="1"/>
          <w:iCs w:val="1"/>
          <w:color w:val="auto"/>
        </w:rPr>
        <w:t>We own various trademark registrations and applications, and unregistered trademarks, including Immatics</w:t>
      </w:r>
      <w:r>
        <w:rPr>
          <w:rFonts w:ascii="Arial" w:cs="Arial" w:eastAsia="Arial" w:hAnsi="Arial"/>
          <w:sz w:val="13"/>
          <w:szCs w:val="13"/>
          <w:i w:val="1"/>
          <w:iCs w:val="1"/>
          <w:color w:val="auto"/>
          <w:vertAlign w:val="superscript"/>
        </w:rPr>
        <w:t>®</w:t>
      </w:r>
      <w:r>
        <w:rPr>
          <w:rFonts w:ascii="Arial" w:cs="Arial" w:eastAsia="Arial" w:hAnsi="Arial"/>
          <w:sz w:val="11"/>
          <w:szCs w:val="11"/>
          <w:i w:val="1"/>
          <w:iCs w:val="1"/>
          <w:color w:val="auto"/>
        </w:rPr>
        <w:t>, XPRESIDENT</w:t>
      </w:r>
      <w:r>
        <w:rPr>
          <w:rFonts w:ascii="Arial" w:cs="Arial" w:eastAsia="Arial" w:hAnsi="Arial"/>
          <w:sz w:val="13"/>
          <w:szCs w:val="13"/>
          <w:i w:val="1"/>
          <w:iCs w:val="1"/>
          <w:color w:val="auto"/>
          <w:vertAlign w:val="superscript"/>
        </w:rPr>
        <w:t>®</w:t>
      </w:r>
      <w:r>
        <w:rPr>
          <w:rFonts w:ascii="Arial" w:cs="Arial" w:eastAsia="Arial" w:hAnsi="Arial"/>
          <w:sz w:val="11"/>
          <w:szCs w:val="11"/>
          <w:i w:val="1"/>
          <w:iCs w:val="1"/>
          <w:color w:val="auto"/>
        </w:rPr>
        <w:t>, ACTengine</w:t>
      </w:r>
      <w:r>
        <w:rPr>
          <w:rFonts w:ascii="Arial" w:cs="Arial" w:eastAsia="Arial" w:hAnsi="Arial"/>
          <w:sz w:val="13"/>
          <w:szCs w:val="13"/>
          <w:i w:val="1"/>
          <w:iCs w:val="1"/>
          <w:color w:val="auto"/>
          <w:vertAlign w:val="superscript"/>
        </w:rPr>
        <w:t>®</w:t>
      </w:r>
      <w:r>
        <w:rPr>
          <w:rFonts w:ascii="Arial" w:cs="Arial" w:eastAsia="Arial" w:hAnsi="Arial"/>
          <w:sz w:val="11"/>
          <w:szCs w:val="11"/>
          <w:i w:val="1"/>
          <w:iCs w:val="1"/>
          <w:color w:val="auto"/>
        </w:rPr>
        <w:t>, ACTallo</w:t>
      </w:r>
      <w:r>
        <w:rPr>
          <w:rFonts w:ascii="Arial" w:cs="Arial" w:eastAsia="Arial" w:hAnsi="Arial"/>
          <w:sz w:val="13"/>
          <w:szCs w:val="13"/>
          <w:i w:val="1"/>
          <w:iCs w:val="1"/>
          <w:color w:val="auto"/>
          <w:vertAlign w:val="superscript"/>
        </w:rPr>
        <w:t>®</w:t>
      </w:r>
      <w:r>
        <w:rPr>
          <w:rFonts w:ascii="Arial" w:cs="Arial" w:eastAsia="Arial" w:hAnsi="Arial"/>
          <w:sz w:val="11"/>
          <w:szCs w:val="11"/>
          <w:i w:val="1"/>
          <w:iCs w:val="1"/>
          <w:color w:val="auto"/>
        </w:rPr>
        <w:t>, ACTolog</w:t>
      </w:r>
      <w:r>
        <w:rPr>
          <w:rFonts w:ascii="Arial" w:cs="Arial" w:eastAsia="Arial" w:hAnsi="Arial"/>
          <w:sz w:val="13"/>
          <w:szCs w:val="13"/>
          <w:i w:val="1"/>
          <w:iCs w:val="1"/>
          <w:color w:val="auto"/>
          <w:vertAlign w:val="superscript"/>
        </w:rPr>
        <w:t>®</w:t>
      </w:r>
      <w:r>
        <w:rPr>
          <w:rFonts w:ascii="Arial" w:cs="Arial" w:eastAsia="Arial" w:hAnsi="Arial"/>
          <w:sz w:val="11"/>
          <w:szCs w:val="11"/>
          <w:i w:val="1"/>
          <w:iCs w:val="1"/>
          <w:color w:val="auto"/>
        </w:rPr>
        <w:t>, XCEPTOR</w:t>
      </w:r>
      <w:r>
        <w:rPr>
          <w:rFonts w:ascii="Arial" w:cs="Arial" w:eastAsia="Arial" w:hAnsi="Arial"/>
          <w:sz w:val="13"/>
          <w:szCs w:val="13"/>
          <w:i w:val="1"/>
          <w:iCs w:val="1"/>
          <w:color w:val="auto"/>
          <w:vertAlign w:val="superscript"/>
        </w:rPr>
        <w:t>®</w:t>
      </w:r>
      <w:r>
        <w:rPr>
          <w:rFonts w:ascii="Arial" w:cs="Arial" w:eastAsia="Arial" w:hAnsi="Arial"/>
          <w:sz w:val="11"/>
          <w:szCs w:val="11"/>
          <w:i w:val="1"/>
          <w:iCs w:val="1"/>
          <w:color w:val="auto"/>
        </w:rPr>
        <w:t>, TCER</w:t>
      </w:r>
      <w:r>
        <w:rPr>
          <w:rFonts w:ascii="Arial" w:cs="Arial" w:eastAsia="Arial" w:hAnsi="Arial"/>
          <w:sz w:val="13"/>
          <w:szCs w:val="13"/>
          <w:i w:val="1"/>
          <w:iCs w:val="1"/>
          <w:color w:val="auto"/>
          <w:vertAlign w:val="superscript"/>
        </w:rPr>
        <w:t>®</w:t>
      </w:r>
      <w:r>
        <w:rPr>
          <w:rFonts w:ascii="Arial" w:cs="Arial" w:eastAsia="Arial" w:hAnsi="Arial"/>
          <w:sz w:val="11"/>
          <w:szCs w:val="11"/>
          <w:i w:val="1"/>
          <w:iCs w:val="1"/>
          <w:color w:val="auto"/>
        </w:rPr>
        <w:t>, AbsQuant</w:t>
      </w:r>
      <w:r>
        <w:rPr>
          <w:rFonts w:ascii="Arial" w:cs="Arial" w:eastAsia="Arial" w:hAnsi="Arial"/>
          <w:sz w:val="13"/>
          <w:szCs w:val="13"/>
          <w:i w:val="1"/>
          <w:iCs w:val="1"/>
          <w:color w:val="auto"/>
          <w:vertAlign w:val="superscript"/>
        </w:rPr>
        <w:t>®</w:t>
      </w:r>
      <w:r>
        <w:rPr>
          <w:rFonts w:ascii="Arial" w:cs="Arial" w:eastAsia="Arial" w:hAnsi="Arial"/>
          <w:sz w:val="11"/>
          <w:szCs w:val="11"/>
          <w:i w:val="1"/>
          <w:iCs w:val="1"/>
          <w:color w:val="auto"/>
        </w:rPr>
        <w:t>, IMADetect</w:t>
      </w:r>
      <w:r>
        <w:rPr>
          <w:rFonts w:ascii="Arial" w:cs="Arial" w:eastAsia="Arial" w:hAnsi="Arial"/>
          <w:sz w:val="13"/>
          <w:szCs w:val="13"/>
          <w:i w:val="1"/>
          <w:iCs w:val="1"/>
          <w:color w:val="auto"/>
          <w:vertAlign w:val="superscript"/>
        </w:rPr>
        <w:t>®</w:t>
      </w:r>
      <w:r>
        <w:rPr>
          <w:rFonts w:ascii="Arial" w:cs="Arial" w:eastAsia="Arial" w:hAnsi="Arial"/>
          <w:sz w:val="11"/>
          <w:szCs w:val="11"/>
          <w:i w:val="1"/>
          <w:iCs w:val="1"/>
          <w:color w:val="auto"/>
        </w:rPr>
        <w:t xml:space="preserve"> and our corporate logo. All other trade names, trademarks and service marks of other companies appearing in this interim report are the property of their respective owners. Solely for convenience, the trademarks and trade names in this interim report may be referred to without the </w:t>
      </w:r>
      <w:r>
        <w:rPr>
          <w:rFonts w:ascii="Arial" w:cs="Arial" w:eastAsia="Arial" w:hAnsi="Arial"/>
          <w:sz w:val="13"/>
          <w:szCs w:val="13"/>
          <w:i w:val="1"/>
          <w:iCs w:val="1"/>
          <w:color w:val="auto"/>
          <w:vertAlign w:val="superscript"/>
        </w:rPr>
        <w:t>®</w:t>
      </w:r>
      <w:r>
        <w:rPr>
          <w:rFonts w:ascii="Arial" w:cs="Arial" w:eastAsia="Arial" w:hAnsi="Arial"/>
          <w:sz w:val="11"/>
          <w:szCs w:val="11"/>
          <w:i w:val="1"/>
          <w:iCs w:val="1"/>
          <w:color w:val="auto"/>
        </w:rPr>
        <w:t xml:space="preserve"> and </w:t>
      </w:r>
      <w:r>
        <w:rPr>
          <w:rFonts w:ascii="Arial" w:cs="Arial" w:eastAsia="Arial" w:hAnsi="Arial"/>
          <w:sz w:val="13"/>
          <w:szCs w:val="13"/>
          <w:i w:val="1"/>
          <w:iCs w:val="1"/>
          <w:color w:val="auto"/>
          <w:vertAlign w:val="superscript"/>
        </w:rPr>
        <w:t>™</w:t>
      </w:r>
      <w:r>
        <w:rPr>
          <w:rFonts w:ascii="Arial" w:cs="Arial" w:eastAsia="Arial" w:hAnsi="Arial"/>
          <w:sz w:val="11"/>
          <w:szCs w:val="11"/>
          <w:i w:val="1"/>
          <w:iCs w:val="1"/>
          <w:color w:val="auto"/>
        </w:rPr>
        <w:t xml:space="preserve">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127" w:lineRule="exact"/>
        <w:rPr>
          <w:sz w:val="20"/>
          <w:szCs w:val="20"/>
          <w:color w:val="auto"/>
        </w:rPr>
      </w:pPr>
    </w:p>
    <w:p>
      <w:pPr>
        <w:ind w:left="640" w:right="759"/>
        <w:spacing w:after="0" w:line="249" w:lineRule="auto"/>
        <w:rPr>
          <w:sz w:val="20"/>
          <w:szCs w:val="20"/>
          <w:color w:val="auto"/>
        </w:rPr>
      </w:pPr>
      <w:r>
        <w:rPr>
          <w:rFonts w:ascii="Arial" w:cs="Arial" w:eastAsia="Arial" w:hAnsi="Arial"/>
          <w:sz w:val="13"/>
          <w:szCs w:val="13"/>
          <w:i w:val="1"/>
          <w:iCs w:val="1"/>
          <w:color w:val="auto"/>
        </w:rPr>
        <w:t>As used in this interim report, the terms “Immatics,” “we,” “our,” “us,” “the Group” and “the Company” refer to Immatics N.V. and its subsidiaries, taken as a whole, unless the context otherwise requires. The unaudited condensed consolidated financial statements and Management’s Discussion &amp; Analysis of Financial Condition and Results of Operations in this interim report are related to Immatics N.V. and its German subsidiary Immatics Biotechnologies GmbH as well as its U.S. subsidiary Immatics US Inc.</w:t>
      </w:r>
    </w:p>
    <w:p>
      <w:pPr>
        <w:sectPr>
          <w:pgSz w:w="11900" w:h="16838" w:orient="portrait"/>
          <w:cols w:equalWidth="0" w:num="1">
            <w:col w:w="9019"/>
          </w:cols>
          <w:pgMar w:left="1440" w:top="127" w:right="1440" w:bottom="1440" w:gutter="0" w:footer="0" w:header="0"/>
        </w:sectPr>
      </w:pPr>
    </w:p>
    <w:bookmarkStart w:id="3" w:name="page4"/>
    <w:bookmarkEnd w:id="3"/>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Table of Contents</w:t>
      </w:r>
    </w:p>
    <w:p>
      <w:pPr>
        <w:spacing w:after="0" w:line="210" w:lineRule="exact"/>
        <w:rPr>
          <w:sz w:val="20"/>
          <w:szCs w:val="20"/>
          <w:color w:val="auto"/>
        </w:rPr>
      </w:pPr>
    </w:p>
    <w:p>
      <w:pPr>
        <w:ind w:left="1780"/>
        <w:spacing w:after="0"/>
        <w:rPr>
          <w:sz w:val="20"/>
          <w:szCs w:val="20"/>
          <w:color w:val="auto"/>
        </w:rPr>
      </w:pPr>
      <w:r>
        <w:rPr>
          <w:rFonts w:ascii="Arial" w:cs="Arial" w:eastAsia="Arial" w:hAnsi="Arial"/>
          <w:sz w:val="13"/>
          <w:szCs w:val="13"/>
          <w:b w:val="1"/>
          <w:bCs w:val="1"/>
          <w:color w:val="auto"/>
        </w:rPr>
        <w:t>Unaudited Condensed Consolidated Statement of Profit/(Loss) of Immatics N.V.</w:t>
      </w:r>
    </w:p>
    <w:p>
      <w:pPr>
        <w:spacing w:after="0" w:line="171" w:lineRule="exact"/>
        <w:rPr>
          <w:sz w:val="20"/>
          <w:szCs w:val="20"/>
          <w:color w:val="auto"/>
        </w:rPr>
      </w:pPr>
    </w:p>
    <w:tbl>
      <w:tblPr>
        <w:tblLayout w:type="fixed"/>
        <w:tblInd w:w="1780" w:type="dxa"/>
        <w:tblCellMar>
          <w:top w:w="0" w:type="dxa"/>
          <w:left w:w="0" w:type="dxa"/>
          <w:bottom w:w="0" w:type="dxa"/>
          <w:right w:w="0" w:type="dxa"/>
        </w:tblCellMar>
      </w:tblPr>
      <w:tr>
        <w:trPr>
          <w:trHeight w:val="119"/>
        </w:trPr>
        <w:tc>
          <w:tcPr>
            <w:tcW w:w="4360" w:type="dxa"/>
            <w:vAlign w:val="bottom"/>
          </w:tcPr>
          <w:p>
            <w:pPr>
              <w:spacing w:after="0"/>
              <w:rPr>
                <w:sz w:val="10"/>
                <w:szCs w:val="10"/>
                <w:color w:val="auto"/>
              </w:rPr>
            </w:pPr>
          </w:p>
        </w:tc>
        <w:tc>
          <w:tcPr>
            <w:tcW w:w="4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Notes</w:t>
            </w:r>
          </w:p>
        </w:tc>
        <w:tc>
          <w:tcPr>
            <w:tcW w:w="1560" w:type="dxa"/>
            <w:vAlign w:val="bottom"/>
            <w:gridSpan w:val="4"/>
          </w:tcPr>
          <w:p>
            <w:pPr>
              <w:jc w:val="center"/>
              <w:ind w:right="220"/>
              <w:spacing w:after="0"/>
              <w:rPr>
                <w:sz w:val="20"/>
                <w:szCs w:val="20"/>
                <w:color w:val="auto"/>
              </w:rPr>
            </w:pPr>
            <w:r>
              <w:rPr>
                <w:rFonts w:ascii="Arial" w:cs="Arial" w:eastAsia="Arial" w:hAnsi="Arial"/>
                <w:sz w:val="10"/>
                <w:szCs w:val="10"/>
                <w:b w:val="1"/>
                <w:bCs w:val="1"/>
                <w:color w:val="auto"/>
                <w:w w:val="89"/>
              </w:rPr>
              <w:t>Three months ended June 30,</w:t>
            </w:r>
          </w:p>
        </w:tc>
        <w:tc>
          <w:tcPr>
            <w:tcW w:w="138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88"/>
              </w:rPr>
              <w:t>Six months ended June 30,</w:t>
            </w:r>
          </w:p>
        </w:tc>
        <w:tc>
          <w:tcPr>
            <w:tcW w:w="0" w:type="dxa"/>
            <w:vAlign w:val="bottom"/>
          </w:tcPr>
          <w:p>
            <w:pPr>
              <w:spacing w:after="0"/>
              <w:rPr>
                <w:sz w:val="1"/>
                <w:szCs w:val="1"/>
                <w:color w:val="auto"/>
              </w:rPr>
            </w:pPr>
          </w:p>
        </w:tc>
      </w:tr>
      <w:tr>
        <w:trPr>
          <w:trHeight w:val="94"/>
        </w:trPr>
        <w:tc>
          <w:tcPr>
            <w:tcW w:w="436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540" w:type="dxa"/>
            <w:vAlign w:val="bottom"/>
            <w:tcBorders>
              <w:top w:val="single" w:sz="8" w:color="auto"/>
            </w:tcBorders>
          </w:tcPr>
          <w:p>
            <w:pPr>
              <w:jc w:val="right"/>
              <w:ind w:right="120"/>
              <w:spacing w:after="0" w:line="94" w:lineRule="exact"/>
              <w:rPr>
                <w:sz w:val="20"/>
                <w:szCs w:val="20"/>
                <w:color w:val="auto"/>
              </w:rPr>
            </w:pPr>
            <w:r>
              <w:rPr>
                <w:rFonts w:ascii="Arial" w:cs="Arial" w:eastAsia="Arial" w:hAnsi="Arial"/>
                <w:sz w:val="10"/>
                <w:szCs w:val="10"/>
                <w:b w:val="1"/>
                <w:bCs w:val="1"/>
                <w:color w:val="auto"/>
              </w:rPr>
              <w:t>2023</w:t>
            </w:r>
          </w:p>
        </w:tc>
        <w:tc>
          <w:tcPr>
            <w:tcW w:w="2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jc w:val="right"/>
              <w:ind w:right="138"/>
              <w:spacing w:after="0" w:line="94" w:lineRule="exact"/>
              <w:rPr>
                <w:sz w:val="20"/>
                <w:szCs w:val="20"/>
                <w:color w:val="auto"/>
              </w:rPr>
            </w:pPr>
            <w:r>
              <w:rPr>
                <w:rFonts w:ascii="Arial" w:cs="Arial" w:eastAsia="Arial" w:hAnsi="Arial"/>
                <w:sz w:val="10"/>
                <w:szCs w:val="10"/>
                <w:b w:val="1"/>
                <w:bCs w:val="1"/>
                <w:color w:val="auto"/>
              </w:rPr>
              <w:t>2022</w:t>
            </w:r>
          </w:p>
        </w:tc>
        <w:tc>
          <w:tcPr>
            <w:tcW w:w="200" w:type="dxa"/>
            <w:vAlign w:val="bottom"/>
          </w:tcPr>
          <w:p>
            <w:pPr>
              <w:spacing w:after="0"/>
              <w:rPr>
                <w:sz w:val="8"/>
                <w:szCs w:val="8"/>
                <w:color w:val="auto"/>
              </w:rPr>
            </w:pPr>
          </w:p>
        </w:tc>
        <w:tc>
          <w:tcPr>
            <w:tcW w:w="520" w:type="dxa"/>
            <w:vAlign w:val="bottom"/>
            <w:tcBorders>
              <w:top w:val="single" w:sz="8" w:color="auto"/>
            </w:tcBorders>
          </w:tcPr>
          <w:p>
            <w:pPr>
              <w:jc w:val="right"/>
              <w:ind w:right="100"/>
              <w:spacing w:after="0" w:line="94" w:lineRule="exact"/>
              <w:rPr>
                <w:sz w:val="20"/>
                <w:szCs w:val="20"/>
                <w:color w:val="auto"/>
              </w:rPr>
            </w:pPr>
            <w:r>
              <w:rPr>
                <w:rFonts w:ascii="Arial" w:cs="Arial" w:eastAsia="Arial" w:hAnsi="Arial"/>
                <w:sz w:val="10"/>
                <w:szCs w:val="10"/>
                <w:b w:val="1"/>
                <w:bCs w:val="1"/>
                <w:color w:val="auto"/>
              </w:rPr>
              <w:t>2023</w:t>
            </w:r>
          </w:p>
        </w:tc>
        <w:tc>
          <w:tcPr>
            <w:tcW w:w="2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jc w:val="right"/>
              <w:ind w:right="118"/>
              <w:spacing w:after="0" w:line="94" w:lineRule="exact"/>
              <w:rPr>
                <w:sz w:val="20"/>
                <w:szCs w:val="20"/>
                <w:color w:val="auto"/>
              </w:rPr>
            </w:pPr>
            <w:r>
              <w:rPr>
                <w:rFonts w:ascii="Arial" w:cs="Arial" w:eastAsia="Arial" w:hAnsi="Arial"/>
                <w:sz w:val="10"/>
                <w:szCs w:val="10"/>
                <w:b w:val="1"/>
                <w:bCs w:val="1"/>
                <w:color w:val="auto"/>
              </w:rPr>
              <w:t>2022</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4360" w:type="dxa"/>
            <w:vAlign w:val="bottom"/>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360" w:type="dxa"/>
            <w:vAlign w:val="bottom"/>
            <w:tcBorders>
              <w:top w:val="single" w:sz="8" w:color="auto"/>
            </w:tcBorders>
            <w:gridSpan w:val="3"/>
          </w:tcPr>
          <w:p>
            <w:pPr>
              <w:jc w:val="center"/>
              <w:spacing w:after="0" w:line="79" w:lineRule="exact"/>
              <w:rPr>
                <w:sz w:val="20"/>
                <w:szCs w:val="20"/>
                <w:color w:val="auto"/>
              </w:rPr>
            </w:pPr>
            <w:r>
              <w:rPr>
                <w:rFonts w:ascii="Arial" w:cs="Arial" w:eastAsia="Arial" w:hAnsi="Arial"/>
                <w:sz w:val="9"/>
                <w:szCs w:val="9"/>
                <w:b w:val="1"/>
                <w:bCs w:val="1"/>
                <w:color w:val="auto"/>
                <w:w w:val="97"/>
              </w:rPr>
              <w:t>(Euros in thousands, except</w:t>
            </w:r>
          </w:p>
        </w:tc>
        <w:tc>
          <w:tcPr>
            <w:tcW w:w="200" w:type="dxa"/>
            <w:vAlign w:val="bottom"/>
          </w:tcPr>
          <w:p>
            <w:pPr>
              <w:spacing w:after="0"/>
              <w:rPr>
                <w:sz w:val="6"/>
                <w:szCs w:val="6"/>
                <w:color w:val="auto"/>
              </w:rPr>
            </w:pPr>
          </w:p>
        </w:tc>
        <w:tc>
          <w:tcPr>
            <w:tcW w:w="1300" w:type="dxa"/>
            <w:vAlign w:val="bottom"/>
            <w:tcBorders>
              <w:top w:val="single" w:sz="8" w:color="auto"/>
            </w:tcBorders>
            <w:gridSpan w:val="3"/>
          </w:tcPr>
          <w:p>
            <w:pPr>
              <w:jc w:val="center"/>
              <w:spacing w:after="0" w:line="79" w:lineRule="exact"/>
              <w:rPr>
                <w:sz w:val="20"/>
                <w:szCs w:val="20"/>
                <w:color w:val="auto"/>
              </w:rPr>
            </w:pPr>
            <w:r>
              <w:rPr>
                <w:rFonts w:ascii="Arial" w:cs="Arial" w:eastAsia="Arial" w:hAnsi="Arial"/>
                <w:sz w:val="9"/>
                <w:szCs w:val="9"/>
                <w:b w:val="1"/>
                <w:bCs w:val="1"/>
                <w:color w:val="auto"/>
                <w:w w:val="97"/>
              </w:rPr>
              <w:t>(Euros in thousands, except</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4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gridSpan w:val="4"/>
          </w:tcPr>
          <w:p>
            <w:pPr>
              <w:jc w:val="center"/>
              <w:ind w:right="220"/>
              <w:spacing w:after="0"/>
              <w:rPr>
                <w:sz w:val="20"/>
                <w:szCs w:val="20"/>
                <w:color w:val="auto"/>
              </w:rPr>
            </w:pPr>
            <w:r>
              <w:rPr>
                <w:rFonts w:ascii="Arial" w:cs="Arial" w:eastAsia="Arial" w:hAnsi="Arial"/>
                <w:sz w:val="10"/>
                <w:szCs w:val="10"/>
                <w:b w:val="1"/>
                <w:bCs w:val="1"/>
                <w:color w:val="auto"/>
                <w:w w:val="91"/>
              </w:rPr>
              <w:t>per share data)</w:t>
            </w:r>
          </w:p>
        </w:tc>
        <w:tc>
          <w:tcPr>
            <w:tcW w:w="138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91"/>
              </w:rPr>
              <w:t>per share data)</w:t>
            </w:r>
          </w:p>
        </w:tc>
        <w:tc>
          <w:tcPr>
            <w:tcW w:w="0" w:type="dxa"/>
            <w:vAlign w:val="bottom"/>
          </w:tcPr>
          <w:p>
            <w:pPr>
              <w:spacing w:after="0"/>
              <w:rPr>
                <w:sz w:val="1"/>
                <w:szCs w:val="1"/>
                <w:color w:val="auto"/>
              </w:rPr>
            </w:pPr>
          </w:p>
        </w:tc>
      </w:tr>
      <w:tr>
        <w:trPr>
          <w:trHeight w:val="152"/>
        </w:trPr>
        <w:tc>
          <w:tcPr>
            <w:tcW w:w="4360" w:type="dxa"/>
            <w:vAlign w:val="bottom"/>
            <w:shd w:val="clear" w:color="auto" w:fill="CCEEFF"/>
          </w:tcPr>
          <w:p>
            <w:pPr>
              <w:spacing w:after="0"/>
              <w:rPr>
                <w:sz w:val="20"/>
                <w:szCs w:val="20"/>
                <w:color w:val="auto"/>
              </w:rPr>
            </w:pPr>
            <w:r>
              <w:rPr>
                <w:rFonts w:ascii="Arial" w:cs="Arial" w:eastAsia="Arial" w:hAnsi="Arial"/>
                <w:sz w:val="13"/>
                <w:szCs w:val="13"/>
                <w:color w:val="auto"/>
              </w:rPr>
              <w:t>Revenue from collaboration agreements</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22,354</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17,215</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32,150</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120,123</w:t>
            </w:r>
          </w:p>
        </w:tc>
        <w:tc>
          <w:tcPr>
            <w:tcW w:w="0" w:type="dxa"/>
            <w:vAlign w:val="bottom"/>
          </w:tcPr>
          <w:p>
            <w:pPr>
              <w:spacing w:after="0"/>
              <w:rPr>
                <w:sz w:val="1"/>
                <w:szCs w:val="1"/>
                <w:color w:val="auto"/>
              </w:rPr>
            </w:pPr>
          </w:p>
        </w:tc>
      </w:tr>
      <w:tr>
        <w:trPr>
          <w:trHeight w:val="152"/>
        </w:trPr>
        <w:tc>
          <w:tcPr>
            <w:tcW w:w="4360" w:type="dxa"/>
            <w:vAlign w:val="bottom"/>
          </w:tcPr>
          <w:p>
            <w:pPr>
              <w:spacing w:after="0"/>
              <w:rPr>
                <w:sz w:val="20"/>
                <w:szCs w:val="20"/>
                <w:color w:val="auto"/>
              </w:rPr>
            </w:pPr>
            <w:r>
              <w:rPr>
                <w:rFonts w:ascii="Arial" w:cs="Arial" w:eastAsia="Arial" w:hAnsi="Arial"/>
                <w:sz w:val="13"/>
                <w:szCs w:val="13"/>
                <w:color w:val="auto"/>
              </w:rPr>
              <w:t>Research and development expenses</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(27,317)</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(25,216)</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(54,898)</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(50,360)</w:t>
            </w:r>
          </w:p>
        </w:tc>
        <w:tc>
          <w:tcPr>
            <w:tcW w:w="0" w:type="dxa"/>
            <w:vAlign w:val="bottom"/>
          </w:tcPr>
          <w:p>
            <w:pPr>
              <w:spacing w:after="0"/>
              <w:rPr>
                <w:sz w:val="1"/>
                <w:szCs w:val="1"/>
                <w:color w:val="auto"/>
              </w:rPr>
            </w:pPr>
          </w:p>
        </w:tc>
      </w:tr>
      <w:tr>
        <w:trPr>
          <w:trHeight w:val="152"/>
        </w:trPr>
        <w:tc>
          <w:tcPr>
            <w:tcW w:w="4360" w:type="dxa"/>
            <w:vAlign w:val="bottom"/>
            <w:shd w:val="clear" w:color="auto" w:fill="CCEEFF"/>
          </w:tcPr>
          <w:p>
            <w:pPr>
              <w:spacing w:after="0"/>
              <w:rPr>
                <w:sz w:val="20"/>
                <w:szCs w:val="20"/>
                <w:color w:val="auto"/>
              </w:rPr>
            </w:pPr>
            <w:r>
              <w:rPr>
                <w:rFonts w:ascii="Arial" w:cs="Arial" w:eastAsia="Arial" w:hAnsi="Arial"/>
                <w:sz w:val="13"/>
                <w:szCs w:val="13"/>
                <w:color w:val="auto"/>
              </w:rPr>
              <w:t>General and administrative expenses</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(9,358)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(8,683)</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(18,944)</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(17,961)</w:t>
            </w:r>
          </w:p>
        </w:tc>
        <w:tc>
          <w:tcPr>
            <w:tcW w:w="0" w:type="dxa"/>
            <w:vAlign w:val="bottom"/>
          </w:tcPr>
          <w:p>
            <w:pPr>
              <w:spacing w:after="0"/>
              <w:rPr>
                <w:sz w:val="1"/>
                <w:szCs w:val="1"/>
                <w:color w:val="auto"/>
              </w:rPr>
            </w:pPr>
          </w:p>
        </w:tc>
      </w:tr>
      <w:tr>
        <w:trPr>
          <w:trHeight w:val="152"/>
        </w:trPr>
        <w:tc>
          <w:tcPr>
            <w:tcW w:w="4360" w:type="dxa"/>
            <w:vAlign w:val="bottom"/>
          </w:tcPr>
          <w:p>
            <w:pPr>
              <w:spacing w:after="0"/>
              <w:rPr>
                <w:sz w:val="20"/>
                <w:szCs w:val="20"/>
                <w:color w:val="auto"/>
              </w:rPr>
            </w:pPr>
            <w:r>
              <w:rPr>
                <w:rFonts w:ascii="Arial" w:cs="Arial" w:eastAsia="Arial" w:hAnsi="Arial"/>
                <w:sz w:val="13"/>
                <w:szCs w:val="13"/>
                <w:color w:val="auto"/>
              </w:rPr>
              <w:t>Other income</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6</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27</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948</w:t>
            </w: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3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Operating result</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(14,315)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(16,657)</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(40,744)</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51,834</w:t>
            </w:r>
          </w:p>
        </w:tc>
        <w:tc>
          <w:tcPr>
            <w:tcW w:w="0" w:type="dxa"/>
            <w:vAlign w:val="bottom"/>
          </w:tcPr>
          <w:p>
            <w:pPr>
              <w:spacing w:after="0"/>
              <w:rPr>
                <w:sz w:val="1"/>
                <w:szCs w:val="1"/>
                <w:color w:val="auto"/>
              </w:rPr>
            </w:pPr>
          </w:p>
        </w:tc>
      </w:tr>
      <w:tr>
        <w:trPr>
          <w:trHeight w:val="152"/>
        </w:trPr>
        <w:tc>
          <w:tcPr>
            <w:tcW w:w="4360" w:type="dxa"/>
            <w:vAlign w:val="bottom"/>
          </w:tcPr>
          <w:p>
            <w:pPr>
              <w:spacing w:after="0"/>
              <w:rPr>
                <w:sz w:val="20"/>
                <w:szCs w:val="20"/>
                <w:color w:val="auto"/>
              </w:rPr>
            </w:pPr>
            <w:r>
              <w:rPr>
                <w:rFonts w:ascii="Arial" w:cs="Arial" w:eastAsia="Arial" w:hAnsi="Arial"/>
                <w:sz w:val="13"/>
                <w:szCs w:val="13"/>
                <w:color w:val="auto"/>
              </w:rPr>
              <w:t>Change in fair value of liabilities for warrants</w:t>
            </w:r>
          </w:p>
        </w:tc>
        <w:tc>
          <w:tcPr>
            <w:tcW w:w="440" w:type="dxa"/>
            <w:vAlign w:val="bottom"/>
            <w:gridSpan w:val="2"/>
          </w:tcPr>
          <w:p>
            <w:pPr>
              <w:jc w:val="right"/>
              <w:ind w:right="180"/>
              <w:spacing w:after="0"/>
              <w:rPr>
                <w:sz w:val="20"/>
                <w:szCs w:val="20"/>
                <w:color w:val="auto"/>
              </w:rPr>
            </w:pPr>
            <w:r>
              <w:rPr>
                <w:rFonts w:ascii="Arial" w:cs="Arial" w:eastAsia="Arial" w:hAnsi="Arial"/>
                <w:sz w:val="13"/>
                <w:szCs w:val="13"/>
                <w:color w:val="auto"/>
              </w:rPr>
              <w:t>6</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(13,105)</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(2,786)</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(5,708)</w:t>
            </w: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13,743</w:t>
            </w:r>
          </w:p>
        </w:tc>
        <w:tc>
          <w:tcPr>
            <w:tcW w:w="0" w:type="dxa"/>
            <w:vAlign w:val="bottom"/>
          </w:tcPr>
          <w:p>
            <w:pPr>
              <w:spacing w:after="0"/>
              <w:rPr>
                <w:sz w:val="1"/>
                <w:szCs w:val="1"/>
                <w:color w:val="auto"/>
              </w:rPr>
            </w:pPr>
          </w:p>
        </w:tc>
      </w:tr>
      <w:tr>
        <w:trPr>
          <w:trHeight w:val="152"/>
        </w:trPr>
        <w:tc>
          <w:tcPr>
            <w:tcW w:w="4360" w:type="dxa"/>
            <w:vAlign w:val="bottom"/>
            <w:shd w:val="clear" w:color="auto" w:fill="CCEEFF"/>
          </w:tcPr>
          <w:p>
            <w:pPr>
              <w:spacing w:after="0"/>
              <w:rPr>
                <w:sz w:val="20"/>
                <w:szCs w:val="20"/>
                <w:color w:val="auto"/>
              </w:rPr>
            </w:pPr>
            <w:r>
              <w:rPr>
                <w:rFonts w:ascii="Arial" w:cs="Arial" w:eastAsia="Arial" w:hAnsi="Arial"/>
                <w:sz w:val="13"/>
                <w:szCs w:val="13"/>
                <w:color w:val="auto"/>
              </w:rPr>
              <w:t>Other financial income</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3,954</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7,015</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6,748</w:t>
            </w:r>
          </w:p>
        </w:tc>
        <w:tc>
          <w:tcPr>
            <w:tcW w:w="2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8,774</w:t>
            </w:r>
          </w:p>
        </w:tc>
        <w:tc>
          <w:tcPr>
            <w:tcW w:w="0" w:type="dxa"/>
            <w:vAlign w:val="bottom"/>
          </w:tcPr>
          <w:p>
            <w:pPr>
              <w:spacing w:after="0"/>
              <w:rPr>
                <w:sz w:val="1"/>
                <w:szCs w:val="1"/>
                <w:color w:val="auto"/>
              </w:rPr>
            </w:pPr>
          </w:p>
        </w:tc>
      </w:tr>
      <w:tr>
        <w:trPr>
          <w:trHeight w:val="152"/>
        </w:trPr>
        <w:tc>
          <w:tcPr>
            <w:tcW w:w="4360" w:type="dxa"/>
            <w:vAlign w:val="bottom"/>
          </w:tcPr>
          <w:p>
            <w:pPr>
              <w:spacing w:after="0"/>
              <w:rPr>
                <w:sz w:val="20"/>
                <w:szCs w:val="20"/>
                <w:color w:val="auto"/>
              </w:rPr>
            </w:pPr>
            <w:r>
              <w:rPr>
                <w:rFonts w:ascii="Arial" w:cs="Arial" w:eastAsia="Arial" w:hAnsi="Arial"/>
                <w:sz w:val="13"/>
                <w:szCs w:val="13"/>
                <w:color w:val="auto"/>
              </w:rPr>
              <w:t>Other financial expenses</w:t>
            </w:r>
          </w:p>
        </w:tc>
        <w:tc>
          <w:tcPr>
            <w:tcW w:w="440" w:type="dxa"/>
            <w:vAlign w:val="bottom"/>
            <w:gridSpan w:val="2"/>
          </w:tcPr>
          <w:p>
            <w:pPr>
              <w:jc w:val="right"/>
              <w:ind w:right="180"/>
              <w:spacing w:after="0"/>
              <w:rPr>
                <w:sz w:val="20"/>
                <w:szCs w:val="20"/>
                <w:color w:val="auto"/>
              </w:rPr>
            </w:pPr>
            <w:r>
              <w:rPr>
                <w:rFonts w:ascii="Arial" w:cs="Arial" w:eastAsia="Arial" w:hAnsi="Arial"/>
                <w:sz w:val="13"/>
                <w:szCs w:val="13"/>
                <w:color w:val="auto"/>
              </w:rPr>
              <w:t>6</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(1,144)</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(407)</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(4,653)</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(1,524)</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3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Financial result</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(10,295)</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3,822</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(3,613)</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20,993</w:t>
            </w:r>
          </w:p>
        </w:tc>
        <w:tc>
          <w:tcPr>
            <w:tcW w:w="0" w:type="dxa"/>
            <w:vAlign w:val="bottom"/>
          </w:tcPr>
          <w:p>
            <w:pPr>
              <w:spacing w:after="0"/>
              <w:rPr>
                <w:sz w:val="1"/>
                <w:szCs w:val="1"/>
                <w:color w:val="auto"/>
              </w:rPr>
            </w:pPr>
          </w:p>
        </w:tc>
      </w:tr>
      <w:tr>
        <w:trPr>
          <w:trHeight w:val="151"/>
        </w:trPr>
        <w:tc>
          <w:tcPr>
            <w:tcW w:w="4360" w:type="dxa"/>
            <w:vAlign w:val="bottom"/>
          </w:tcPr>
          <w:p>
            <w:pPr>
              <w:spacing w:after="0"/>
              <w:rPr>
                <w:sz w:val="20"/>
                <w:szCs w:val="20"/>
                <w:color w:val="auto"/>
              </w:rPr>
            </w:pPr>
            <w:r>
              <w:rPr>
                <w:rFonts w:ascii="Arial" w:cs="Arial" w:eastAsia="Arial" w:hAnsi="Arial"/>
                <w:sz w:val="13"/>
                <w:szCs w:val="13"/>
                <w:b w:val="1"/>
                <w:bCs w:val="1"/>
                <w:color w:val="auto"/>
              </w:rPr>
              <w:t>Profit/(loss) before taxes</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(24,610)</w:t>
            </w:r>
          </w:p>
        </w:tc>
        <w:tc>
          <w:tcPr>
            <w:tcW w:w="220" w:type="dxa"/>
            <w:vAlign w:val="bottom"/>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(12,835)</w:t>
            </w:r>
          </w:p>
        </w:tc>
        <w:tc>
          <w:tcPr>
            <w:tcW w:w="20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(44,357)</w:t>
            </w:r>
          </w:p>
        </w:tc>
        <w:tc>
          <w:tcPr>
            <w:tcW w:w="220" w:type="dxa"/>
            <w:vAlign w:val="bottom"/>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72,827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360" w:type="dxa"/>
            <w:vAlign w:val="bottom"/>
            <w:shd w:val="clear" w:color="auto" w:fill="CCEEFF"/>
          </w:tcPr>
          <w:p>
            <w:pPr>
              <w:spacing w:after="0"/>
              <w:rPr>
                <w:sz w:val="20"/>
                <w:szCs w:val="20"/>
                <w:color w:val="auto"/>
              </w:rPr>
            </w:pPr>
            <w:r>
              <w:rPr>
                <w:rFonts w:ascii="Arial" w:cs="Arial" w:eastAsia="Arial" w:hAnsi="Arial"/>
                <w:sz w:val="13"/>
                <w:szCs w:val="13"/>
                <w:color w:val="auto"/>
              </w:rPr>
              <w:t>Taxes on income</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(1,145)</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(1,145)</w:t>
            </w:r>
          </w:p>
        </w:tc>
        <w:tc>
          <w:tcPr>
            <w:tcW w:w="0" w:type="dxa"/>
            <w:vAlign w:val="bottom"/>
          </w:tcPr>
          <w:p>
            <w:pPr>
              <w:spacing w:after="0"/>
              <w:rPr>
                <w:sz w:val="1"/>
                <w:szCs w:val="1"/>
                <w:color w:val="auto"/>
              </w:rPr>
            </w:pPr>
          </w:p>
        </w:tc>
      </w:tr>
      <w:tr>
        <w:trPr>
          <w:trHeight w:val="160"/>
        </w:trPr>
        <w:tc>
          <w:tcPr>
            <w:tcW w:w="4360" w:type="dxa"/>
            <w:vAlign w:val="bottom"/>
          </w:tcPr>
          <w:p>
            <w:pPr>
              <w:spacing w:after="0"/>
              <w:rPr>
                <w:sz w:val="20"/>
                <w:szCs w:val="20"/>
                <w:color w:val="auto"/>
              </w:rPr>
            </w:pPr>
            <w:r>
              <w:rPr>
                <w:rFonts w:ascii="Arial" w:cs="Arial" w:eastAsia="Arial" w:hAnsi="Arial"/>
                <w:sz w:val="13"/>
                <w:szCs w:val="13"/>
                <w:b w:val="1"/>
                <w:bCs w:val="1"/>
                <w:color w:val="auto"/>
              </w:rPr>
              <w:t>Net profit/(loss)</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(24,610)</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(13,980)</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(44,357)</w:t>
            </w:r>
          </w:p>
        </w:tc>
        <w:tc>
          <w:tcPr>
            <w:tcW w:w="6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71,682</w:t>
            </w:r>
          </w:p>
        </w:tc>
        <w:tc>
          <w:tcPr>
            <w:tcW w:w="0" w:type="dxa"/>
            <w:vAlign w:val="bottom"/>
          </w:tcPr>
          <w:p>
            <w:pPr>
              <w:spacing w:after="0"/>
              <w:rPr>
                <w:sz w:val="1"/>
                <w:szCs w:val="1"/>
                <w:color w:val="auto"/>
              </w:rPr>
            </w:pPr>
          </w:p>
        </w:tc>
      </w:tr>
      <w:tr>
        <w:trPr>
          <w:trHeight w:val="161"/>
        </w:trPr>
        <w:tc>
          <w:tcPr>
            <w:tcW w:w="43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profit/(loss) per share:</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80" w:type="dxa"/>
            <w:vAlign w:val="bottom"/>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360" w:type="dxa"/>
            <w:vAlign w:val="bottom"/>
          </w:tcPr>
          <w:p>
            <w:pPr>
              <w:spacing w:after="0"/>
              <w:rPr>
                <w:sz w:val="20"/>
                <w:szCs w:val="20"/>
                <w:color w:val="auto"/>
              </w:rPr>
            </w:pPr>
            <w:r>
              <w:rPr>
                <w:rFonts w:ascii="Arial" w:cs="Arial" w:eastAsia="Arial" w:hAnsi="Arial"/>
                <w:sz w:val="13"/>
                <w:szCs w:val="13"/>
                <w:color w:val="auto"/>
              </w:rPr>
              <w:t>Basic</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(0.32)</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(0.22)</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(0.58)</w:t>
            </w: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152"/>
        </w:trPr>
        <w:tc>
          <w:tcPr>
            <w:tcW w:w="4360" w:type="dxa"/>
            <w:vAlign w:val="bottom"/>
            <w:shd w:val="clear" w:color="auto" w:fill="CCEEFF"/>
          </w:tcPr>
          <w:p>
            <w:pPr>
              <w:spacing w:after="0"/>
              <w:rPr>
                <w:sz w:val="20"/>
                <w:szCs w:val="20"/>
                <w:color w:val="auto"/>
              </w:rPr>
            </w:pPr>
            <w:r>
              <w:rPr>
                <w:rFonts w:ascii="Arial" w:cs="Arial" w:eastAsia="Arial" w:hAnsi="Arial"/>
                <w:sz w:val="13"/>
                <w:szCs w:val="13"/>
                <w:color w:val="auto"/>
              </w:rPr>
              <w:t>Diluted</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(0.32)</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(0.22)</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(0.58)</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3160"/>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ectPr>
          <w:pgSz w:w="11900" w:h="16838" w:orient="portrait"/>
          <w:cols w:equalWidth="0" w:num="1">
            <w:col w:w="10159"/>
          </w:cols>
          <w:pgMar w:left="300" w:top="383" w:right="1440" w:bottom="1440" w:gutter="0" w:footer="0" w:header="0"/>
        </w:sectPr>
      </w:pPr>
    </w:p>
    <w:bookmarkStart w:id="4" w:name="page5"/>
    <w:bookmarkEnd w:id="4"/>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42545"/>
                    </a:xfrm>
                    <a:prstGeom prst="rect">
                      <a:avLst/>
                    </a:prstGeom>
                    <a:noFill/>
                  </pic:spPr>
                </pic:pic>
              </a:graphicData>
            </a:graphic>
          </wp:anchor>
        </w:drawing>
        <w:t>Table of Contents</w:t>
      </w:r>
    </w:p>
    <w:p>
      <w:pPr>
        <w:spacing w:after="0" w:line="210" w:lineRule="exact"/>
        <w:rPr>
          <w:sz w:val="20"/>
          <w:szCs w:val="20"/>
          <w:color w:val="auto"/>
        </w:rPr>
      </w:pPr>
    </w:p>
    <w:p>
      <w:pPr>
        <w:ind w:left="1780"/>
        <w:spacing w:after="0"/>
        <w:rPr>
          <w:sz w:val="20"/>
          <w:szCs w:val="20"/>
          <w:color w:val="auto"/>
        </w:rPr>
      </w:pPr>
      <w:r>
        <w:rPr>
          <w:rFonts w:ascii="Arial" w:cs="Arial" w:eastAsia="Arial" w:hAnsi="Arial"/>
          <w:sz w:val="13"/>
          <w:szCs w:val="13"/>
          <w:b w:val="1"/>
          <w:bCs w:val="1"/>
          <w:color w:val="auto"/>
        </w:rPr>
        <w:t>Unaudited Condensed Consolidated Statement of Comprehensive Income/(Loss) of Immatics N.V.</w:t>
      </w:r>
    </w:p>
    <w:p>
      <w:pPr>
        <w:spacing w:after="0" w:line="171" w:lineRule="exact"/>
        <w:rPr>
          <w:sz w:val="20"/>
          <w:szCs w:val="20"/>
          <w:color w:val="auto"/>
        </w:rPr>
      </w:pPr>
    </w:p>
    <w:tbl>
      <w:tblPr>
        <w:tblLayout w:type="fixed"/>
        <w:tblInd w:w="1780" w:type="dxa"/>
        <w:tblCellMar>
          <w:top w:w="0" w:type="dxa"/>
          <w:left w:w="0" w:type="dxa"/>
          <w:bottom w:w="0" w:type="dxa"/>
          <w:right w:w="0" w:type="dxa"/>
        </w:tblCellMar>
      </w:tblPr>
      <w:tr>
        <w:trPr>
          <w:trHeight w:val="119"/>
        </w:trPr>
        <w:tc>
          <w:tcPr>
            <w:tcW w:w="4700" w:type="dxa"/>
            <w:vAlign w:val="bottom"/>
          </w:tcPr>
          <w:p>
            <w:pPr>
              <w:spacing w:after="0"/>
              <w:rPr>
                <w:sz w:val="10"/>
                <w:szCs w:val="10"/>
                <w:color w:val="auto"/>
              </w:rPr>
            </w:pPr>
          </w:p>
        </w:tc>
        <w:tc>
          <w:tcPr>
            <w:tcW w:w="360" w:type="dxa"/>
            <w:vAlign w:val="bottom"/>
            <w:gridSpan w:val="2"/>
            <w:vMerge w:val="restart"/>
          </w:tcPr>
          <w:p>
            <w:pPr>
              <w:jc w:val="right"/>
              <w:ind w:right="120"/>
              <w:spacing w:after="0"/>
              <w:rPr>
                <w:sz w:val="20"/>
                <w:szCs w:val="20"/>
                <w:color w:val="auto"/>
              </w:rPr>
            </w:pPr>
            <w:r>
              <w:rPr>
                <w:rFonts w:ascii="Arial" w:cs="Arial" w:eastAsia="Arial" w:hAnsi="Arial"/>
                <w:sz w:val="10"/>
                <w:szCs w:val="10"/>
                <w:b w:val="1"/>
                <w:bCs w:val="1"/>
                <w:color w:val="auto"/>
                <w:w w:val="79"/>
              </w:rPr>
              <w:t>Notes</w:t>
            </w:r>
          </w:p>
        </w:tc>
        <w:tc>
          <w:tcPr>
            <w:tcW w:w="1440" w:type="dxa"/>
            <w:vAlign w:val="bottom"/>
            <w:gridSpan w:val="4"/>
          </w:tcPr>
          <w:p>
            <w:pPr>
              <w:jc w:val="center"/>
              <w:ind w:right="140"/>
              <w:spacing w:after="0"/>
              <w:rPr>
                <w:sz w:val="20"/>
                <w:szCs w:val="20"/>
                <w:color w:val="auto"/>
              </w:rPr>
            </w:pPr>
            <w:r>
              <w:rPr>
                <w:rFonts w:ascii="Arial" w:cs="Arial" w:eastAsia="Arial" w:hAnsi="Arial"/>
                <w:sz w:val="10"/>
                <w:szCs w:val="10"/>
                <w:b w:val="1"/>
                <w:bCs w:val="1"/>
                <w:color w:val="auto"/>
                <w:w w:val="89"/>
              </w:rPr>
              <w:t>Three months ended June 30,</w:t>
            </w:r>
          </w:p>
        </w:tc>
        <w:tc>
          <w:tcPr>
            <w:tcW w:w="1240" w:type="dxa"/>
            <w:vAlign w:val="bottom"/>
            <w:gridSpan w:val="4"/>
          </w:tcPr>
          <w:p>
            <w:pPr>
              <w:ind w:left="20"/>
              <w:spacing w:after="0"/>
              <w:rPr>
                <w:sz w:val="20"/>
                <w:szCs w:val="20"/>
                <w:color w:val="auto"/>
              </w:rPr>
            </w:pPr>
            <w:r>
              <w:rPr>
                <w:rFonts w:ascii="Arial" w:cs="Arial" w:eastAsia="Arial" w:hAnsi="Arial"/>
                <w:sz w:val="10"/>
                <w:szCs w:val="10"/>
                <w:b w:val="1"/>
                <w:bCs w:val="1"/>
                <w:color w:val="auto"/>
                <w:w w:val="93"/>
              </w:rPr>
              <w:t>Six months ended June 30,</w:t>
            </w:r>
          </w:p>
        </w:tc>
        <w:tc>
          <w:tcPr>
            <w:tcW w:w="0" w:type="dxa"/>
            <w:vAlign w:val="bottom"/>
          </w:tcPr>
          <w:p>
            <w:pPr>
              <w:spacing w:after="0"/>
              <w:rPr>
                <w:sz w:val="1"/>
                <w:szCs w:val="1"/>
                <w:color w:val="auto"/>
              </w:rPr>
            </w:pPr>
          </w:p>
        </w:tc>
      </w:tr>
      <w:tr>
        <w:trPr>
          <w:trHeight w:val="94"/>
        </w:trPr>
        <w:tc>
          <w:tcPr>
            <w:tcW w:w="470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560" w:type="dxa"/>
            <w:vAlign w:val="bottom"/>
            <w:tcBorders>
              <w:top w:val="single" w:sz="8" w:color="auto"/>
            </w:tcBorders>
          </w:tcPr>
          <w:p>
            <w:pPr>
              <w:jc w:val="right"/>
              <w:ind w:right="123"/>
              <w:spacing w:after="0" w:line="94" w:lineRule="exact"/>
              <w:rPr>
                <w:sz w:val="20"/>
                <w:szCs w:val="20"/>
                <w:color w:val="auto"/>
              </w:rPr>
            </w:pPr>
            <w:r>
              <w:rPr>
                <w:rFonts w:ascii="Arial" w:cs="Arial" w:eastAsia="Arial" w:hAnsi="Arial"/>
                <w:sz w:val="10"/>
                <w:szCs w:val="10"/>
                <w:b w:val="1"/>
                <w:bCs w:val="1"/>
                <w:color w:val="auto"/>
              </w:rPr>
              <w:t>2023</w:t>
            </w:r>
          </w:p>
        </w:tc>
        <w:tc>
          <w:tcPr>
            <w:tcW w:w="1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ind w:left="200"/>
              <w:spacing w:after="0" w:line="94" w:lineRule="exact"/>
              <w:rPr>
                <w:sz w:val="20"/>
                <w:szCs w:val="20"/>
                <w:color w:val="auto"/>
              </w:rPr>
            </w:pPr>
            <w:r>
              <w:rPr>
                <w:rFonts w:ascii="Arial" w:cs="Arial" w:eastAsia="Arial" w:hAnsi="Arial"/>
                <w:sz w:val="10"/>
                <w:szCs w:val="10"/>
                <w:b w:val="1"/>
                <w:bCs w:val="1"/>
                <w:color w:val="auto"/>
              </w:rPr>
              <w:t>2022</w:t>
            </w:r>
          </w:p>
        </w:tc>
        <w:tc>
          <w:tcPr>
            <w:tcW w:w="140" w:type="dxa"/>
            <w:vAlign w:val="bottom"/>
          </w:tcPr>
          <w:p>
            <w:pPr>
              <w:spacing w:after="0"/>
              <w:rPr>
                <w:sz w:val="8"/>
                <w:szCs w:val="8"/>
                <w:color w:val="auto"/>
              </w:rPr>
            </w:pPr>
          </w:p>
        </w:tc>
        <w:tc>
          <w:tcPr>
            <w:tcW w:w="540" w:type="dxa"/>
            <w:vAlign w:val="bottom"/>
            <w:tcBorders>
              <w:top w:val="single" w:sz="8" w:color="auto"/>
            </w:tcBorders>
          </w:tcPr>
          <w:p>
            <w:pPr>
              <w:jc w:val="right"/>
              <w:ind w:right="103"/>
              <w:spacing w:after="0" w:line="94" w:lineRule="exact"/>
              <w:rPr>
                <w:sz w:val="20"/>
                <w:szCs w:val="20"/>
                <w:color w:val="auto"/>
              </w:rPr>
            </w:pPr>
            <w:r>
              <w:rPr>
                <w:rFonts w:ascii="Arial" w:cs="Arial" w:eastAsia="Arial" w:hAnsi="Arial"/>
                <w:sz w:val="10"/>
                <w:szCs w:val="10"/>
                <w:b w:val="1"/>
                <w:bCs w:val="1"/>
                <w:color w:val="auto"/>
              </w:rPr>
              <w:t>2023</w:t>
            </w:r>
          </w:p>
        </w:tc>
        <w:tc>
          <w:tcPr>
            <w:tcW w:w="16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jc w:val="right"/>
              <w:ind w:right="100"/>
              <w:spacing w:after="0" w:line="94" w:lineRule="exact"/>
              <w:rPr>
                <w:sz w:val="20"/>
                <w:szCs w:val="20"/>
                <w:color w:val="auto"/>
              </w:rPr>
            </w:pPr>
            <w:r>
              <w:rPr>
                <w:rFonts w:ascii="Arial" w:cs="Arial" w:eastAsia="Arial" w:hAnsi="Arial"/>
                <w:sz w:val="10"/>
                <w:szCs w:val="10"/>
                <w:b w:val="1"/>
                <w:bCs w:val="1"/>
                <w:color w:val="auto"/>
              </w:rPr>
              <w:t>2022</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7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tcBorders>
              <w:top w:val="single" w:sz="8" w:color="auto"/>
            </w:tcBorders>
            <w:gridSpan w:val="3"/>
          </w:tcPr>
          <w:p>
            <w:pPr>
              <w:jc w:val="center"/>
              <w:spacing w:after="0" w:line="94" w:lineRule="exact"/>
              <w:rPr>
                <w:sz w:val="20"/>
                <w:szCs w:val="20"/>
                <w:color w:val="auto"/>
              </w:rPr>
            </w:pPr>
            <w:r>
              <w:rPr>
                <w:rFonts w:ascii="Arial" w:cs="Arial" w:eastAsia="Arial" w:hAnsi="Arial"/>
                <w:sz w:val="10"/>
                <w:szCs w:val="10"/>
                <w:b w:val="1"/>
                <w:bCs w:val="1"/>
                <w:color w:val="auto"/>
                <w:w w:val="89"/>
              </w:rPr>
              <w:t>(Euros in thousands)</w:t>
            </w:r>
          </w:p>
        </w:tc>
        <w:tc>
          <w:tcPr>
            <w:tcW w:w="140" w:type="dxa"/>
            <w:vAlign w:val="bottom"/>
          </w:tcPr>
          <w:p>
            <w:pPr>
              <w:spacing w:after="0"/>
              <w:rPr>
                <w:sz w:val="8"/>
                <w:szCs w:val="8"/>
                <w:color w:val="auto"/>
              </w:rPr>
            </w:pPr>
          </w:p>
        </w:tc>
        <w:tc>
          <w:tcPr>
            <w:tcW w:w="1200" w:type="dxa"/>
            <w:vAlign w:val="bottom"/>
            <w:tcBorders>
              <w:top w:val="single" w:sz="8" w:color="auto"/>
            </w:tcBorders>
            <w:gridSpan w:val="3"/>
          </w:tcPr>
          <w:p>
            <w:pPr>
              <w:jc w:val="right"/>
              <w:ind w:right="100"/>
              <w:spacing w:after="0" w:line="94" w:lineRule="exact"/>
              <w:rPr>
                <w:sz w:val="20"/>
                <w:szCs w:val="20"/>
                <w:color w:val="auto"/>
              </w:rPr>
            </w:pPr>
            <w:r>
              <w:rPr>
                <w:rFonts w:ascii="Arial" w:cs="Arial" w:eastAsia="Arial" w:hAnsi="Arial"/>
                <w:sz w:val="10"/>
                <w:szCs w:val="10"/>
                <w:b w:val="1"/>
                <w:bCs w:val="1"/>
                <w:color w:val="auto"/>
              </w:rPr>
              <w:t>(Euros in thousands)</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profit/(loss)</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(24,610)</w:t>
            </w: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3"/>
                <w:szCs w:val="13"/>
                <w:b w:val="1"/>
                <w:bCs w:val="1"/>
                <w:color w:val="auto"/>
              </w:rPr>
              <w:t>(13,980)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(44,357)</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71,682</w:t>
            </w:r>
          </w:p>
        </w:tc>
        <w:tc>
          <w:tcPr>
            <w:tcW w:w="0" w:type="dxa"/>
            <w:vAlign w:val="bottom"/>
          </w:tcPr>
          <w:p>
            <w:pPr>
              <w:spacing w:after="0"/>
              <w:rPr>
                <w:sz w:val="1"/>
                <w:szCs w:val="1"/>
                <w:color w:val="auto"/>
              </w:rPr>
            </w:pPr>
          </w:p>
        </w:tc>
      </w:tr>
      <w:tr>
        <w:trPr>
          <w:trHeight w:val="152"/>
        </w:trPr>
        <w:tc>
          <w:tcPr>
            <w:tcW w:w="4700" w:type="dxa"/>
            <w:vAlign w:val="bottom"/>
          </w:tcPr>
          <w:p>
            <w:pPr>
              <w:spacing w:after="0"/>
              <w:rPr>
                <w:sz w:val="20"/>
                <w:szCs w:val="20"/>
                <w:color w:val="auto"/>
              </w:rPr>
            </w:pPr>
            <w:r>
              <w:rPr>
                <w:rFonts w:ascii="Arial" w:cs="Arial" w:eastAsia="Arial" w:hAnsi="Arial"/>
                <w:sz w:val="13"/>
                <w:szCs w:val="13"/>
                <w:b w:val="1"/>
                <w:bCs w:val="1"/>
                <w:color w:val="auto"/>
              </w:rPr>
              <w:t>Other comprehensive income/(loss)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Items that may be reclassified subsequently to profit or loss</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20"/>
                <w:szCs w:val="20"/>
                <w:color w:val="auto"/>
              </w:rPr>
            </w:pPr>
            <w:r>
              <w:rPr>
                <w:rFonts w:ascii="Arial" w:cs="Arial" w:eastAsia="Arial" w:hAnsi="Arial"/>
                <w:sz w:val="13"/>
                <w:szCs w:val="13"/>
                <w:color w:val="auto"/>
              </w:rPr>
              <w:t>Currency translation differences from foreign operations</w:t>
            </w: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14</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(224)</w:t>
            </w:r>
          </w:p>
        </w:tc>
        <w:tc>
          <w:tcPr>
            <w:tcW w:w="580" w:type="dxa"/>
            <w:vAlign w:val="bottom"/>
          </w:tcPr>
          <w:p>
            <w:pPr>
              <w:jc w:val="right"/>
              <w:spacing w:after="0"/>
              <w:rPr>
                <w:sz w:val="20"/>
                <w:szCs w:val="20"/>
                <w:color w:val="auto"/>
              </w:rPr>
            </w:pPr>
            <w:r>
              <w:rPr>
                <w:rFonts w:ascii="Arial" w:cs="Arial" w:eastAsia="Arial" w:hAnsi="Arial"/>
                <w:sz w:val="13"/>
                <w:szCs w:val="13"/>
                <w:color w:val="auto"/>
              </w:rPr>
              <w:t>778</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340</w:t>
            </w:r>
          </w:p>
        </w:tc>
        <w:tc>
          <w:tcPr>
            <w:tcW w:w="500" w:type="dxa"/>
            <w:vAlign w:val="bottom"/>
          </w:tcPr>
          <w:p>
            <w:pPr>
              <w:jc w:val="right"/>
              <w:spacing w:after="0"/>
              <w:rPr>
                <w:sz w:val="20"/>
                <w:szCs w:val="20"/>
                <w:color w:val="auto"/>
              </w:rPr>
            </w:pPr>
            <w:r>
              <w:rPr>
                <w:rFonts w:ascii="Arial" w:cs="Arial" w:eastAsia="Arial" w:hAnsi="Arial"/>
                <w:sz w:val="13"/>
                <w:szCs w:val="13"/>
                <w:color w:val="auto"/>
              </w:rPr>
              <w:t>1,338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comprehensive income/(loss) for the year</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(24,834)</w:t>
            </w: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3"/>
                <w:szCs w:val="13"/>
                <w:b w:val="1"/>
                <w:bCs w:val="1"/>
                <w:color w:val="auto"/>
              </w:rPr>
              <w:t>(13,202)</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(44,017)</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73,020</w:t>
            </w:r>
          </w:p>
        </w:tc>
        <w:tc>
          <w:tcPr>
            <w:tcW w:w="0" w:type="dxa"/>
            <w:vAlign w:val="bottom"/>
          </w:tcPr>
          <w:p>
            <w:pPr>
              <w:spacing w:after="0"/>
              <w:rPr>
                <w:sz w:val="1"/>
                <w:szCs w:val="1"/>
                <w:color w:val="auto"/>
              </w:rPr>
            </w:pPr>
          </w:p>
        </w:tc>
      </w:tr>
      <w:tr>
        <w:trPr>
          <w:trHeight w:val="28"/>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3160"/>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ectPr>
          <w:pgSz w:w="11900" w:h="16838" w:orient="portrait"/>
          <w:cols w:equalWidth="0" w:num="1">
            <w:col w:w="10159"/>
          </w:cols>
          <w:pgMar w:left="300" w:top="383" w:right="1440" w:bottom="1440" w:gutter="0" w:footer="0" w:header="0"/>
        </w:sectPr>
      </w:pPr>
    </w:p>
    <w:bookmarkStart w:id="5" w:name="page6"/>
    <w:bookmarkEnd w:id="5"/>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42545"/>
                    </a:xfrm>
                    <a:prstGeom prst="rect">
                      <a:avLst/>
                    </a:prstGeom>
                    <a:noFill/>
                  </pic:spPr>
                </pic:pic>
              </a:graphicData>
            </a:graphic>
          </wp:anchor>
        </w:drawing>
        <w:t>Table of Contents</w:t>
      </w:r>
    </w:p>
    <w:p>
      <w:pPr>
        <w:spacing w:after="0" w:line="210" w:lineRule="exact"/>
        <w:rPr>
          <w:sz w:val="20"/>
          <w:szCs w:val="20"/>
          <w:color w:val="auto"/>
        </w:rPr>
      </w:pPr>
    </w:p>
    <w:p>
      <w:pPr>
        <w:ind w:left="1780"/>
        <w:spacing w:after="0"/>
        <w:rPr>
          <w:sz w:val="20"/>
          <w:szCs w:val="20"/>
          <w:color w:val="auto"/>
        </w:rPr>
      </w:pPr>
      <w:r>
        <w:rPr>
          <w:rFonts w:ascii="Arial" w:cs="Arial" w:eastAsia="Arial" w:hAnsi="Arial"/>
          <w:sz w:val="13"/>
          <w:szCs w:val="13"/>
          <w:b w:val="1"/>
          <w:bCs w:val="1"/>
          <w:color w:val="auto"/>
        </w:rPr>
        <w:t>Unaudited Condensed Consolidated Statement of Financial Position of Immatics N.V.</w:t>
      </w:r>
    </w:p>
    <w:p>
      <w:pPr>
        <w:spacing w:after="0" w:line="171" w:lineRule="exact"/>
        <w:rPr>
          <w:sz w:val="20"/>
          <w:szCs w:val="20"/>
          <w:color w:val="auto"/>
        </w:rPr>
      </w:pPr>
    </w:p>
    <w:tbl>
      <w:tblPr>
        <w:tblLayout w:type="fixed"/>
        <w:tblInd w:w="1780" w:type="dxa"/>
        <w:tblCellMar>
          <w:top w:w="0" w:type="dxa"/>
          <w:left w:w="0" w:type="dxa"/>
          <w:bottom w:w="0" w:type="dxa"/>
          <w:right w:w="0" w:type="dxa"/>
        </w:tblCellMar>
      </w:tblPr>
      <w:tr>
        <w:trPr>
          <w:trHeight w:val="119"/>
        </w:trPr>
        <w:tc>
          <w:tcPr>
            <w:tcW w:w="6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gridSpan w:val="3"/>
          </w:tcPr>
          <w:p>
            <w:pPr>
              <w:jc w:val="right"/>
              <w:ind w:right="600"/>
              <w:spacing w:after="0"/>
              <w:rPr>
                <w:sz w:val="20"/>
                <w:szCs w:val="20"/>
                <w:color w:val="auto"/>
              </w:rPr>
            </w:pPr>
            <w:r>
              <w:rPr>
                <w:rFonts w:ascii="Arial" w:cs="Arial" w:eastAsia="Arial" w:hAnsi="Arial"/>
                <w:sz w:val="10"/>
                <w:szCs w:val="10"/>
                <w:b w:val="1"/>
                <w:bCs w:val="1"/>
                <w:color w:val="auto"/>
                <w:w w:val="87"/>
              </w:rPr>
              <w:t>As of</w:t>
            </w:r>
          </w:p>
        </w:tc>
      </w:tr>
      <w:tr>
        <w:trPr>
          <w:trHeight w:val="79"/>
        </w:trPr>
        <w:tc>
          <w:tcPr>
            <w:tcW w:w="6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top w:val="single" w:sz="8" w:color="auto"/>
            </w:tcBorders>
            <w:gridSpan w:val="2"/>
          </w:tcPr>
          <w:p>
            <w:pPr>
              <w:jc w:val="right"/>
              <w:ind w:right="169"/>
              <w:spacing w:after="0" w:line="79" w:lineRule="exact"/>
              <w:rPr>
                <w:sz w:val="20"/>
                <w:szCs w:val="20"/>
                <w:color w:val="auto"/>
              </w:rPr>
            </w:pPr>
            <w:r>
              <w:rPr>
                <w:rFonts w:ascii="Arial" w:cs="Arial" w:eastAsia="Arial" w:hAnsi="Arial"/>
                <w:sz w:val="9"/>
                <w:szCs w:val="9"/>
                <w:b w:val="1"/>
                <w:bCs w:val="1"/>
                <w:color w:val="auto"/>
              </w:rPr>
              <w:t>June 30,</w:t>
            </w:r>
          </w:p>
        </w:tc>
        <w:tc>
          <w:tcPr>
            <w:tcW w:w="600" w:type="dxa"/>
            <w:vAlign w:val="bottom"/>
            <w:tcBorders>
              <w:top w:val="single" w:sz="8" w:color="auto"/>
            </w:tcBorders>
          </w:tcPr>
          <w:p>
            <w:pPr>
              <w:jc w:val="right"/>
              <w:spacing w:after="0" w:line="79" w:lineRule="exact"/>
              <w:rPr>
                <w:sz w:val="20"/>
                <w:szCs w:val="20"/>
                <w:color w:val="auto"/>
              </w:rPr>
            </w:pPr>
            <w:r>
              <w:rPr>
                <w:rFonts w:ascii="Arial" w:cs="Arial" w:eastAsia="Arial" w:hAnsi="Arial"/>
                <w:sz w:val="9"/>
                <w:szCs w:val="9"/>
                <w:b w:val="1"/>
                <w:bCs w:val="1"/>
                <w:color w:val="auto"/>
                <w:w w:val="99"/>
              </w:rPr>
              <w:t>December 31,</w:t>
            </w:r>
          </w:p>
        </w:tc>
        <w:tc>
          <w:tcPr>
            <w:tcW w:w="80" w:type="dxa"/>
            <w:vAlign w:val="bottom"/>
          </w:tcPr>
          <w:p>
            <w:pPr>
              <w:spacing w:after="0"/>
              <w:rPr>
                <w:sz w:val="6"/>
                <w:szCs w:val="6"/>
                <w:color w:val="auto"/>
              </w:rPr>
            </w:pPr>
          </w:p>
        </w:tc>
      </w:tr>
      <w:tr>
        <w:trPr>
          <w:trHeight w:val="119"/>
        </w:trPr>
        <w:tc>
          <w:tcPr>
            <w:tcW w:w="6060" w:type="dxa"/>
            <w:vAlign w:val="bottom"/>
          </w:tcPr>
          <w:p>
            <w:pPr>
              <w:spacing w:after="0"/>
              <w:rPr>
                <w:sz w:val="10"/>
                <w:szCs w:val="10"/>
                <w:color w:val="auto"/>
              </w:rPr>
            </w:pPr>
          </w:p>
        </w:tc>
        <w:tc>
          <w:tcPr>
            <w:tcW w:w="360" w:type="dxa"/>
            <w:vAlign w:val="bottom"/>
            <w:gridSpan w:val="2"/>
          </w:tcPr>
          <w:p>
            <w:pPr>
              <w:spacing w:after="0"/>
              <w:rPr>
                <w:sz w:val="20"/>
                <w:szCs w:val="20"/>
                <w:color w:val="auto"/>
              </w:rPr>
            </w:pPr>
            <w:r>
              <w:rPr>
                <w:rFonts w:ascii="Arial" w:cs="Arial" w:eastAsia="Arial" w:hAnsi="Arial"/>
                <w:sz w:val="10"/>
                <w:szCs w:val="10"/>
                <w:b w:val="1"/>
                <w:bCs w:val="1"/>
                <w:color w:val="auto"/>
              </w:rPr>
              <w:t>Notes</w:t>
            </w:r>
          </w:p>
        </w:tc>
        <w:tc>
          <w:tcPr>
            <w:tcW w:w="480" w:type="dxa"/>
            <w:vAlign w:val="bottom"/>
          </w:tcPr>
          <w:p>
            <w:pPr>
              <w:jc w:val="right"/>
              <w:ind w:right="78"/>
              <w:spacing w:after="0"/>
              <w:rPr>
                <w:sz w:val="20"/>
                <w:szCs w:val="20"/>
                <w:color w:val="auto"/>
              </w:rPr>
            </w:pPr>
            <w:r>
              <w:rPr>
                <w:rFonts w:ascii="Arial" w:cs="Arial" w:eastAsia="Arial" w:hAnsi="Arial"/>
                <w:sz w:val="10"/>
                <w:szCs w:val="10"/>
                <w:b w:val="1"/>
                <w:bCs w:val="1"/>
                <w:color w:val="auto"/>
              </w:rPr>
              <w:t>2023</w:t>
            </w:r>
          </w:p>
        </w:tc>
        <w:tc>
          <w:tcPr>
            <w:tcW w:w="160" w:type="dxa"/>
            <w:vAlign w:val="bottom"/>
          </w:tcPr>
          <w:p>
            <w:pPr>
              <w:spacing w:after="0"/>
              <w:rPr>
                <w:sz w:val="10"/>
                <w:szCs w:val="10"/>
                <w:color w:val="auto"/>
              </w:rPr>
            </w:pPr>
          </w:p>
        </w:tc>
        <w:tc>
          <w:tcPr>
            <w:tcW w:w="600" w:type="dxa"/>
            <w:vAlign w:val="bottom"/>
          </w:tcPr>
          <w:p>
            <w:pPr>
              <w:jc w:val="right"/>
              <w:ind w:right="138"/>
              <w:spacing w:after="0"/>
              <w:rPr>
                <w:sz w:val="20"/>
                <w:szCs w:val="20"/>
                <w:color w:val="auto"/>
              </w:rPr>
            </w:pPr>
            <w:r>
              <w:rPr>
                <w:rFonts w:ascii="Arial" w:cs="Arial" w:eastAsia="Arial" w:hAnsi="Arial"/>
                <w:sz w:val="10"/>
                <w:szCs w:val="10"/>
                <w:b w:val="1"/>
                <w:bCs w:val="1"/>
                <w:color w:val="auto"/>
              </w:rPr>
              <w:t>2022</w:t>
            </w:r>
          </w:p>
        </w:tc>
        <w:tc>
          <w:tcPr>
            <w:tcW w:w="80" w:type="dxa"/>
            <w:vAlign w:val="bottom"/>
          </w:tcPr>
          <w:p>
            <w:pPr>
              <w:spacing w:after="0"/>
              <w:rPr>
                <w:sz w:val="10"/>
                <w:szCs w:val="10"/>
                <w:color w:val="auto"/>
              </w:rPr>
            </w:pPr>
          </w:p>
        </w:tc>
      </w:tr>
      <w:tr>
        <w:trPr>
          <w:trHeight w:val="94"/>
        </w:trPr>
        <w:tc>
          <w:tcPr>
            <w:tcW w:w="606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Borders>
              <w:top w:val="single" w:sz="8" w:color="auto"/>
            </w:tcBorders>
            <w:gridSpan w:val="3"/>
          </w:tcPr>
          <w:p>
            <w:pPr>
              <w:jc w:val="right"/>
              <w:ind w:right="118"/>
              <w:spacing w:after="0" w:line="94" w:lineRule="exact"/>
              <w:rPr>
                <w:sz w:val="20"/>
                <w:szCs w:val="20"/>
                <w:color w:val="auto"/>
              </w:rPr>
            </w:pPr>
            <w:r>
              <w:rPr>
                <w:rFonts w:ascii="Arial" w:cs="Arial" w:eastAsia="Arial" w:hAnsi="Arial"/>
                <w:sz w:val="10"/>
                <w:szCs w:val="10"/>
                <w:b w:val="1"/>
                <w:bCs w:val="1"/>
                <w:color w:val="auto"/>
              </w:rPr>
              <w:t>(Euros in thousands)</w:t>
            </w:r>
          </w:p>
        </w:tc>
        <w:tc>
          <w:tcPr>
            <w:tcW w:w="80" w:type="dxa"/>
            <w:vAlign w:val="bottom"/>
          </w:tcPr>
          <w:p>
            <w:pPr>
              <w:spacing w:after="0"/>
              <w:rPr>
                <w:sz w:val="8"/>
                <w:szCs w:val="8"/>
                <w:color w:val="auto"/>
              </w:rPr>
            </w:pPr>
          </w:p>
        </w:tc>
      </w:tr>
      <w:tr>
        <w:trPr>
          <w:trHeight w:val="152"/>
        </w:trPr>
        <w:tc>
          <w:tcPr>
            <w:tcW w:w="60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6060" w:type="dxa"/>
            <w:vAlign w:val="bottom"/>
          </w:tcPr>
          <w:p>
            <w:pPr>
              <w:spacing w:after="0"/>
              <w:rPr>
                <w:sz w:val="20"/>
                <w:szCs w:val="20"/>
                <w:color w:val="auto"/>
              </w:rPr>
            </w:pPr>
            <w:r>
              <w:rPr>
                <w:rFonts w:ascii="Arial" w:cs="Arial" w:eastAsia="Arial" w:hAnsi="Arial"/>
                <w:sz w:val="13"/>
                <w:szCs w:val="13"/>
                <w:b w:val="1"/>
                <w:bCs w:val="1"/>
                <w:color w:val="auto"/>
              </w:rPr>
              <w:t>Current assets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60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Cash and cash equivalents</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w:t>
            </w:r>
          </w:p>
        </w:tc>
        <w:tc>
          <w:tcPr>
            <w:tcW w:w="640" w:type="dxa"/>
            <w:vAlign w:val="bottom"/>
            <w:gridSpan w:val="2"/>
            <w:shd w:val="clear" w:color="auto" w:fill="CCEEFF"/>
          </w:tcPr>
          <w:p>
            <w:pPr>
              <w:jc w:val="right"/>
              <w:ind w:right="109"/>
              <w:spacing w:after="0"/>
              <w:rPr>
                <w:sz w:val="20"/>
                <w:szCs w:val="20"/>
                <w:color w:val="auto"/>
              </w:rPr>
            </w:pPr>
            <w:r>
              <w:rPr>
                <w:rFonts w:ascii="Arial" w:cs="Arial" w:eastAsia="Arial" w:hAnsi="Arial"/>
                <w:sz w:val="13"/>
                <w:szCs w:val="13"/>
                <w:color w:val="auto"/>
                <w:w w:val="97"/>
              </w:rPr>
              <w:t>130,405</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148,519</w:t>
            </w:r>
          </w:p>
        </w:tc>
      </w:tr>
      <w:tr>
        <w:trPr>
          <w:trHeight w:val="152"/>
        </w:trPr>
        <w:tc>
          <w:tcPr>
            <w:tcW w:w="6060" w:type="dxa"/>
            <w:vAlign w:val="bottom"/>
          </w:tcPr>
          <w:p>
            <w:pPr>
              <w:ind w:left="260"/>
              <w:spacing w:after="0"/>
              <w:rPr>
                <w:sz w:val="20"/>
                <w:szCs w:val="20"/>
                <w:color w:val="auto"/>
              </w:rPr>
            </w:pPr>
            <w:r>
              <w:rPr>
                <w:rFonts w:ascii="Arial" w:cs="Arial" w:eastAsia="Arial" w:hAnsi="Arial"/>
                <w:sz w:val="13"/>
                <w:szCs w:val="13"/>
                <w:color w:val="auto"/>
              </w:rPr>
              <w:t>Other financial assets</w:t>
            </w: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16</w:t>
            </w:r>
          </w:p>
        </w:tc>
        <w:tc>
          <w:tcPr>
            <w:tcW w:w="640" w:type="dxa"/>
            <w:vAlign w:val="bottom"/>
            <w:gridSpan w:val="2"/>
          </w:tcPr>
          <w:p>
            <w:pPr>
              <w:jc w:val="right"/>
              <w:ind w:right="109"/>
              <w:spacing w:after="0"/>
              <w:rPr>
                <w:sz w:val="20"/>
                <w:szCs w:val="20"/>
                <w:color w:val="auto"/>
              </w:rPr>
            </w:pPr>
            <w:r>
              <w:rPr>
                <w:rFonts w:ascii="Arial" w:cs="Arial" w:eastAsia="Arial" w:hAnsi="Arial"/>
                <w:sz w:val="13"/>
                <w:szCs w:val="13"/>
                <w:color w:val="auto"/>
                <w:w w:val="97"/>
              </w:rPr>
              <w:t>217,222</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213,686</w:t>
            </w:r>
          </w:p>
        </w:tc>
      </w:tr>
      <w:tr>
        <w:trPr>
          <w:trHeight w:val="152"/>
        </w:trPr>
        <w:tc>
          <w:tcPr>
            <w:tcW w:w="60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Accounts receivables</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w:t>
            </w:r>
          </w:p>
        </w:tc>
        <w:tc>
          <w:tcPr>
            <w:tcW w:w="640" w:type="dxa"/>
            <w:vAlign w:val="bottom"/>
            <w:gridSpan w:val="2"/>
            <w:shd w:val="clear" w:color="auto" w:fill="CCEEFF"/>
          </w:tcPr>
          <w:p>
            <w:pPr>
              <w:jc w:val="right"/>
              <w:ind w:right="109"/>
              <w:spacing w:after="0"/>
              <w:rPr>
                <w:sz w:val="20"/>
                <w:szCs w:val="20"/>
                <w:color w:val="auto"/>
              </w:rPr>
            </w:pPr>
            <w:r>
              <w:rPr>
                <w:rFonts w:ascii="Arial" w:cs="Arial" w:eastAsia="Arial" w:hAnsi="Arial"/>
                <w:sz w:val="13"/>
                <w:szCs w:val="13"/>
                <w:color w:val="auto"/>
              </w:rPr>
              <w:t>330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1,111</w:t>
            </w:r>
          </w:p>
        </w:tc>
      </w:tr>
      <w:tr>
        <w:trPr>
          <w:trHeight w:val="152"/>
        </w:trPr>
        <w:tc>
          <w:tcPr>
            <w:tcW w:w="6060" w:type="dxa"/>
            <w:vAlign w:val="bottom"/>
          </w:tcPr>
          <w:p>
            <w:pPr>
              <w:ind w:left="260"/>
              <w:spacing w:after="0"/>
              <w:rPr>
                <w:sz w:val="20"/>
                <w:szCs w:val="20"/>
                <w:color w:val="auto"/>
              </w:rPr>
            </w:pPr>
            <w:r>
              <w:rPr>
                <w:rFonts w:ascii="Arial" w:cs="Arial" w:eastAsia="Arial" w:hAnsi="Arial"/>
                <w:sz w:val="13"/>
                <w:szCs w:val="13"/>
                <w:color w:val="auto"/>
              </w:rPr>
              <w:t>Other current assets</w:t>
            </w: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9</w:t>
            </w:r>
          </w:p>
        </w:tc>
        <w:tc>
          <w:tcPr>
            <w:tcW w:w="640" w:type="dxa"/>
            <w:vAlign w:val="bottom"/>
            <w:gridSpan w:val="2"/>
          </w:tcPr>
          <w:p>
            <w:pPr>
              <w:jc w:val="right"/>
              <w:ind w:right="109"/>
              <w:spacing w:after="0"/>
              <w:rPr>
                <w:sz w:val="20"/>
                <w:szCs w:val="20"/>
                <w:color w:val="auto"/>
              </w:rPr>
            </w:pPr>
            <w:r>
              <w:rPr>
                <w:rFonts w:ascii="Arial" w:cs="Arial" w:eastAsia="Arial" w:hAnsi="Arial"/>
                <w:sz w:val="13"/>
                <w:szCs w:val="13"/>
                <w:color w:val="auto"/>
              </w:rPr>
              <w:t>16,668</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13,838</w:t>
            </w:r>
          </w:p>
        </w:tc>
      </w:tr>
      <w:tr>
        <w:trPr>
          <w:trHeight w:val="20"/>
        </w:trPr>
        <w:tc>
          <w:tcPr>
            <w:tcW w:w="6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60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current assets</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9"/>
              <w:spacing w:after="0"/>
              <w:rPr>
                <w:sz w:val="20"/>
                <w:szCs w:val="20"/>
                <w:color w:val="auto"/>
              </w:rPr>
            </w:pPr>
            <w:r>
              <w:rPr>
                <w:rFonts w:ascii="Arial" w:cs="Arial" w:eastAsia="Arial" w:hAnsi="Arial"/>
                <w:sz w:val="13"/>
                <w:szCs w:val="13"/>
                <w:b w:val="1"/>
                <w:bCs w:val="1"/>
                <w:color w:val="auto"/>
                <w:w w:val="97"/>
              </w:rPr>
              <w:t>364,625</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377,154</w:t>
            </w:r>
          </w:p>
        </w:tc>
      </w:tr>
      <w:tr>
        <w:trPr>
          <w:trHeight w:val="152"/>
        </w:trPr>
        <w:tc>
          <w:tcPr>
            <w:tcW w:w="6060" w:type="dxa"/>
            <w:vAlign w:val="bottom"/>
          </w:tcPr>
          <w:p>
            <w:pPr>
              <w:spacing w:after="0"/>
              <w:rPr>
                <w:sz w:val="20"/>
                <w:szCs w:val="20"/>
                <w:color w:val="auto"/>
              </w:rPr>
            </w:pPr>
            <w:r>
              <w:rPr>
                <w:rFonts w:ascii="Arial" w:cs="Arial" w:eastAsia="Arial" w:hAnsi="Arial"/>
                <w:sz w:val="13"/>
                <w:szCs w:val="13"/>
                <w:b w:val="1"/>
                <w:bCs w:val="1"/>
                <w:color w:val="auto"/>
              </w:rPr>
              <w:t>Non-current assets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60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Property, plant and equipment</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w:t>
            </w:r>
          </w:p>
        </w:tc>
        <w:tc>
          <w:tcPr>
            <w:tcW w:w="640" w:type="dxa"/>
            <w:vAlign w:val="bottom"/>
            <w:gridSpan w:val="2"/>
            <w:shd w:val="clear" w:color="auto" w:fill="CCEEFF"/>
          </w:tcPr>
          <w:p>
            <w:pPr>
              <w:jc w:val="right"/>
              <w:ind w:right="109"/>
              <w:spacing w:after="0"/>
              <w:rPr>
                <w:sz w:val="20"/>
                <w:szCs w:val="20"/>
                <w:color w:val="auto"/>
              </w:rPr>
            </w:pPr>
            <w:r>
              <w:rPr>
                <w:rFonts w:ascii="Arial" w:cs="Arial" w:eastAsia="Arial" w:hAnsi="Arial"/>
                <w:sz w:val="13"/>
                <w:szCs w:val="13"/>
                <w:color w:val="auto"/>
              </w:rPr>
              <w:t>27,188</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13,456</w:t>
            </w:r>
          </w:p>
        </w:tc>
      </w:tr>
      <w:tr>
        <w:trPr>
          <w:trHeight w:val="152"/>
        </w:trPr>
        <w:tc>
          <w:tcPr>
            <w:tcW w:w="6060" w:type="dxa"/>
            <w:vAlign w:val="bottom"/>
          </w:tcPr>
          <w:p>
            <w:pPr>
              <w:ind w:left="260"/>
              <w:spacing w:after="0"/>
              <w:rPr>
                <w:sz w:val="20"/>
                <w:szCs w:val="20"/>
                <w:color w:val="auto"/>
              </w:rPr>
            </w:pPr>
            <w:r>
              <w:rPr>
                <w:rFonts w:ascii="Arial" w:cs="Arial" w:eastAsia="Arial" w:hAnsi="Arial"/>
                <w:sz w:val="13"/>
                <w:szCs w:val="13"/>
                <w:color w:val="auto"/>
              </w:rPr>
              <w:t>Intangible assets</w:t>
            </w: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10</w:t>
            </w:r>
          </w:p>
        </w:tc>
        <w:tc>
          <w:tcPr>
            <w:tcW w:w="640" w:type="dxa"/>
            <w:vAlign w:val="bottom"/>
            <w:gridSpan w:val="2"/>
          </w:tcPr>
          <w:p>
            <w:pPr>
              <w:jc w:val="right"/>
              <w:ind w:right="109"/>
              <w:spacing w:after="0"/>
              <w:rPr>
                <w:sz w:val="20"/>
                <w:szCs w:val="20"/>
                <w:color w:val="auto"/>
              </w:rPr>
            </w:pPr>
            <w:r>
              <w:rPr>
                <w:rFonts w:ascii="Arial" w:cs="Arial" w:eastAsia="Arial" w:hAnsi="Arial"/>
                <w:sz w:val="13"/>
                <w:szCs w:val="13"/>
                <w:color w:val="auto"/>
              </w:rPr>
              <w:t>1,655</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1,632</w:t>
            </w:r>
          </w:p>
        </w:tc>
      </w:tr>
      <w:tr>
        <w:trPr>
          <w:trHeight w:val="152"/>
        </w:trPr>
        <w:tc>
          <w:tcPr>
            <w:tcW w:w="60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Right-of-use assets</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w:t>
            </w:r>
          </w:p>
        </w:tc>
        <w:tc>
          <w:tcPr>
            <w:tcW w:w="640" w:type="dxa"/>
            <w:vAlign w:val="bottom"/>
            <w:gridSpan w:val="2"/>
            <w:shd w:val="clear" w:color="auto" w:fill="CCEEFF"/>
          </w:tcPr>
          <w:p>
            <w:pPr>
              <w:jc w:val="right"/>
              <w:ind w:right="109"/>
              <w:spacing w:after="0"/>
              <w:rPr>
                <w:sz w:val="20"/>
                <w:szCs w:val="20"/>
                <w:color w:val="auto"/>
              </w:rPr>
            </w:pPr>
            <w:r>
              <w:rPr>
                <w:rFonts w:ascii="Arial" w:cs="Arial" w:eastAsia="Arial" w:hAnsi="Arial"/>
                <w:sz w:val="13"/>
                <w:szCs w:val="13"/>
                <w:color w:val="auto"/>
              </w:rPr>
              <w:t>14,749</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13,033</w:t>
            </w:r>
          </w:p>
        </w:tc>
      </w:tr>
      <w:tr>
        <w:trPr>
          <w:trHeight w:val="152"/>
        </w:trPr>
        <w:tc>
          <w:tcPr>
            <w:tcW w:w="6060" w:type="dxa"/>
            <w:vAlign w:val="bottom"/>
          </w:tcPr>
          <w:p>
            <w:pPr>
              <w:ind w:left="260"/>
              <w:spacing w:after="0"/>
              <w:rPr>
                <w:sz w:val="20"/>
                <w:szCs w:val="20"/>
                <w:color w:val="auto"/>
              </w:rPr>
            </w:pPr>
            <w:r>
              <w:rPr>
                <w:rFonts w:ascii="Arial" w:cs="Arial" w:eastAsia="Arial" w:hAnsi="Arial"/>
                <w:sz w:val="13"/>
                <w:szCs w:val="13"/>
                <w:color w:val="auto"/>
              </w:rPr>
              <w:t>Other non-current assets</w:t>
            </w: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9</w:t>
            </w:r>
          </w:p>
        </w:tc>
        <w:tc>
          <w:tcPr>
            <w:tcW w:w="640" w:type="dxa"/>
            <w:vAlign w:val="bottom"/>
            <w:gridSpan w:val="2"/>
          </w:tcPr>
          <w:p>
            <w:pPr>
              <w:jc w:val="right"/>
              <w:ind w:right="109"/>
              <w:spacing w:after="0"/>
              <w:rPr>
                <w:sz w:val="20"/>
                <w:szCs w:val="20"/>
                <w:color w:val="auto"/>
              </w:rPr>
            </w:pPr>
            <w:r>
              <w:rPr>
                <w:rFonts w:ascii="Arial" w:cs="Arial" w:eastAsia="Arial" w:hAnsi="Arial"/>
                <w:sz w:val="13"/>
                <w:szCs w:val="13"/>
                <w:color w:val="auto"/>
              </w:rPr>
              <w:t>1,972</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2,545</w:t>
            </w:r>
          </w:p>
        </w:tc>
      </w:tr>
      <w:tr>
        <w:trPr>
          <w:trHeight w:val="20"/>
        </w:trPr>
        <w:tc>
          <w:tcPr>
            <w:tcW w:w="6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60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non-current assets</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9"/>
              <w:spacing w:after="0"/>
              <w:rPr>
                <w:sz w:val="20"/>
                <w:szCs w:val="20"/>
                <w:color w:val="auto"/>
              </w:rPr>
            </w:pPr>
            <w:r>
              <w:rPr>
                <w:rFonts w:ascii="Arial" w:cs="Arial" w:eastAsia="Arial" w:hAnsi="Arial"/>
                <w:sz w:val="13"/>
                <w:szCs w:val="13"/>
                <w:b w:val="1"/>
                <w:bCs w:val="1"/>
                <w:color w:val="auto"/>
              </w:rPr>
              <w:t>45,564</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30,666</w:t>
            </w:r>
          </w:p>
        </w:tc>
      </w:tr>
      <w:tr>
        <w:trPr>
          <w:trHeight w:val="159"/>
        </w:trPr>
        <w:tc>
          <w:tcPr>
            <w:tcW w:w="6060" w:type="dxa"/>
            <w:vAlign w:val="bottom"/>
          </w:tcPr>
          <w:p>
            <w:pPr>
              <w:spacing w:after="0"/>
              <w:rPr>
                <w:sz w:val="20"/>
                <w:szCs w:val="20"/>
                <w:color w:val="auto"/>
              </w:rPr>
            </w:pPr>
            <w:r>
              <w:rPr>
                <w:rFonts w:ascii="Arial" w:cs="Arial" w:eastAsia="Arial" w:hAnsi="Arial"/>
                <w:sz w:val="13"/>
                <w:szCs w:val="13"/>
                <w:b w:val="1"/>
                <w:bCs w:val="1"/>
                <w:color w:val="auto"/>
              </w:rPr>
              <w:t>Total assets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410,189</w:t>
            </w:r>
          </w:p>
        </w:tc>
        <w:tc>
          <w:tcPr>
            <w:tcW w:w="16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407,820</w:t>
            </w:r>
          </w:p>
        </w:tc>
        <w:tc>
          <w:tcPr>
            <w:tcW w:w="80" w:type="dxa"/>
            <w:vAlign w:val="bottom"/>
          </w:tcPr>
          <w:p>
            <w:pPr>
              <w:spacing w:after="0"/>
              <w:rPr>
                <w:sz w:val="13"/>
                <w:szCs w:val="13"/>
                <w:color w:val="auto"/>
              </w:rPr>
            </w:pPr>
          </w:p>
        </w:tc>
      </w:tr>
      <w:tr>
        <w:trPr>
          <w:trHeight w:val="161"/>
        </w:trPr>
        <w:tc>
          <w:tcPr>
            <w:tcW w:w="60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Liabilities and shareholders’ equity</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52"/>
        </w:trPr>
        <w:tc>
          <w:tcPr>
            <w:tcW w:w="6060" w:type="dxa"/>
            <w:vAlign w:val="bottom"/>
          </w:tcPr>
          <w:p>
            <w:pPr>
              <w:spacing w:after="0"/>
              <w:rPr>
                <w:sz w:val="20"/>
                <w:szCs w:val="20"/>
                <w:color w:val="auto"/>
              </w:rPr>
            </w:pPr>
            <w:r>
              <w:rPr>
                <w:rFonts w:ascii="Arial" w:cs="Arial" w:eastAsia="Arial" w:hAnsi="Arial"/>
                <w:sz w:val="13"/>
                <w:szCs w:val="13"/>
                <w:b w:val="1"/>
                <w:bCs w:val="1"/>
                <w:color w:val="auto"/>
              </w:rPr>
              <w:t>Current liabilities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60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Provisions</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w:t>
            </w:r>
          </w:p>
        </w:tc>
        <w:tc>
          <w:tcPr>
            <w:tcW w:w="640" w:type="dxa"/>
            <w:vAlign w:val="bottom"/>
            <w:gridSpan w:val="2"/>
            <w:shd w:val="clear" w:color="auto" w:fill="CCEEFF"/>
          </w:tcPr>
          <w:p>
            <w:pPr>
              <w:jc w:val="right"/>
              <w:ind w:right="109"/>
              <w:spacing w:after="0"/>
              <w:rPr>
                <w:sz w:val="20"/>
                <w:szCs w:val="20"/>
                <w:color w:val="auto"/>
              </w:rPr>
            </w:pPr>
            <w:r>
              <w:rPr>
                <w:rFonts w:ascii="Arial" w:cs="Arial" w:eastAsia="Arial" w:hAnsi="Arial"/>
                <w:sz w:val="13"/>
                <w:szCs w:val="13"/>
                <w:color w:val="auto"/>
              </w:rPr>
              <w:t>3,117</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152"/>
        </w:trPr>
        <w:tc>
          <w:tcPr>
            <w:tcW w:w="6060" w:type="dxa"/>
            <w:vAlign w:val="bottom"/>
          </w:tcPr>
          <w:p>
            <w:pPr>
              <w:ind w:left="260"/>
              <w:spacing w:after="0"/>
              <w:rPr>
                <w:sz w:val="20"/>
                <w:szCs w:val="20"/>
                <w:color w:val="auto"/>
              </w:rPr>
            </w:pPr>
            <w:r>
              <w:rPr>
                <w:rFonts w:ascii="Arial" w:cs="Arial" w:eastAsia="Arial" w:hAnsi="Arial"/>
                <w:sz w:val="13"/>
                <w:szCs w:val="13"/>
                <w:color w:val="auto"/>
              </w:rPr>
              <w:t>Accounts payables</w:t>
            </w: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12</w:t>
            </w:r>
          </w:p>
        </w:tc>
        <w:tc>
          <w:tcPr>
            <w:tcW w:w="640" w:type="dxa"/>
            <w:vAlign w:val="bottom"/>
            <w:gridSpan w:val="2"/>
          </w:tcPr>
          <w:p>
            <w:pPr>
              <w:jc w:val="right"/>
              <w:ind w:right="109"/>
              <w:spacing w:after="0"/>
              <w:rPr>
                <w:sz w:val="20"/>
                <w:szCs w:val="20"/>
                <w:color w:val="auto"/>
              </w:rPr>
            </w:pPr>
            <w:r>
              <w:rPr>
                <w:rFonts w:ascii="Arial" w:cs="Arial" w:eastAsia="Arial" w:hAnsi="Arial"/>
                <w:sz w:val="13"/>
                <w:szCs w:val="13"/>
                <w:color w:val="auto"/>
              </w:rPr>
              <w:t>19,904</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13,056</w:t>
            </w:r>
          </w:p>
        </w:tc>
      </w:tr>
      <w:tr>
        <w:trPr>
          <w:trHeight w:val="152"/>
        </w:trPr>
        <w:tc>
          <w:tcPr>
            <w:tcW w:w="60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Deferred revenue</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w:t>
            </w:r>
          </w:p>
        </w:tc>
        <w:tc>
          <w:tcPr>
            <w:tcW w:w="640" w:type="dxa"/>
            <w:vAlign w:val="bottom"/>
            <w:gridSpan w:val="2"/>
            <w:shd w:val="clear" w:color="auto" w:fill="CCEEFF"/>
          </w:tcPr>
          <w:p>
            <w:pPr>
              <w:jc w:val="right"/>
              <w:ind w:right="109"/>
              <w:spacing w:after="0"/>
              <w:rPr>
                <w:sz w:val="20"/>
                <w:szCs w:val="20"/>
                <w:color w:val="auto"/>
              </w:rPr>
            </w:pPr>
            <w:r>
              <w:rPr>
                <w:rFonts w:ascii="Arial" w:cs="Arial" w:eastAsia="Arial" w:hAnsi="Arial"/>
                <w:sz w:val="13"/>
                <w:szCs w:val="13"/>
                <w:color w:val="auto"/>
              </w:rPr>
              <w:t>67,997</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64,957</w:t>
            </w:r>
          </w:p>
        </w:tc>
      </w:tr>
      <w:tr>
        <w:trPr>
          <w:trHeight w:val="152"/>
        </w:trPr>
        <w:tc>
          <w:tcPr>
            <w:tcW w:w="6060" w:type="dxa"/>
            <w:vAlign w:val="bottom"/>
          </w:tcPr>
          <w:p>
            <w:pPr>
              <w:ind w:left="260"/>
              <w:spacing w:after="0"/>
              <w:rPr>
                <w:sz w:val="20"/>
                <w:szCs w:val="20"/>
                <w:color w:val="auto"/>
              </w:rPr>
            </w:pPr>
            <w:r>
              <w:rPr>
                <w:rFonts w:ascii="Arial" w:cs="Arial" w:eastAsia="Arial" w:hAnsi="Arial"/>
                <w:sz w:val="13"/>
                <w:szCs w:val="13"/>
                <w:color w:val="auto"/>
              </w:rPr>
              <w:t>Liabilities for warrants</w:t>
            </w: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16</w:t>
            </w:r>
          </w:p>
        </w:tc>
        <w:tc>
          <w:tcPr>
            <w:tcW w:w="640" w:type="dxa"/>
            <w:vAlign w:val="bottom"/>
            <w:gridSpan w:val="2"/>
          </w:tcPr>
          <w:p>
            <w:pPr>
              <w:jc w:val="right"/>
              <w:ind w:right="109"/>
              <w:spacing w:after="0"/>
              <w:rPr>
                <w:sz w:val="20"/>
                <w:szCs w:val="20"/>
                <w:color w:val="auto"/>
              </w:rPr>
            </w:pPr>
            <w:r>
              <w:rPr>
                <w:rFonts w:ascii="Arial" w:cs="Arial" w:eastAsia="Arial" w:hAnsi="Arial"/>
                <w:sz w:val="13"/>
                <w:szCs w:val="13"/>
                <w:color w:val="auto"/>
              </w:rPr>
              <w:t>22,622</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16,914</w:t>
            </w:r>
          </w:p>
        </w:tc>
      </w:tr>
      <w:tr>
        <w:trPr>
          <w:trHeight w:val="152"/>
        </w:trPr>
        <w:tc>
          <w:tcPr>
            <w:tcW w:w="60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Lease liabilities</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w:t>
            </w:r>
          </w:p>
        </w:tc>
        <w:tc>
          <w:tcPr>
            <w:tcW w:w="640" w:type="dxa"/>
            <w:vAlign w:val="bottom"/>
            <w:gridSpan w:val="2"/>
            <w:shd w:val="clear" w:color="auto" w:fill="CCEEFF"/>
          </w:tcPr>
          <w:p>
            <w:pPr>
              <w:jc w:val="right"/>
              <w:ind w:right="109"/>
              <w:spacing w:after="0"/>
              <w:rPr>
                <w:sz w:val="20"/>
                <w:szCs w:val="20"/>
                <w:color w:val="auto"/>
              </w:rPr>
            </w:pPr>
            <w:r>
              <w:rPr>
                <w:rFonts w:ascii="Arial" w:cs="Arial" w:eastAsia="Arial" w:hAnsi="Arial"/>
                <w:sz w:val="13"/>
                <w:szCs w:val="13"/>
                <w:color w:val="auto"/>
              </w:rPr>
              <w:t>2,737</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2,159</w:t>
            </w:r>
          </w:p>
        </w:tc>
      </w:tr>
      <w:tr>
        <w:trPr>
          <w:trHeight w:val="152"/>
        </w:trPr>
        <w:tc>
          <w:tcPr>
            <w:tcW w:w="6060" w:type="dxa"/>
            <w:vAlign w:val="bottom"/>
          </w:tcPr>
          <w:p>
            <w:pPr>
              <w:ind w:left="260"/>
              <w:spacing w:after="0"/>
              <w:rPr>
                <w:sz w:val="20"/>
                <w:szCs w:val="20"/>
                <w:color w:val="auto"/>
              </w:rPr>
            </w:pPr>
            <w:r>
              <w:rPr>
                <w:rFonts w:ascii="Arial" w:cs="Arial" w:eastAsia="Arial" w:hAnsi="Arial"/>
                <w:sz w:val="13"/>
                <w:szCs w:val="13"/>
                <w:color w:val="auto"/>
              </w:rPr>
              <w:t>Other current liabilities</w:t>
            </w: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13</w:t>
            </w:r>
          </w:p>
        </w:tc>
        <w:tc>
          <w:tcPr>
            <w:tcW w:w="640" w:type="dxa"/>
            <w:vAlign w:val="bottom"/>
            <w:gridSpan w:val="2"/>
          </w:tcPr>
          <w:p>
            <w:pPr>
              <w:jc w:val="right"/>
              <w:ind w:right="109"/>
              <w:spacing w:after="0"/>
              <w:rPr>
                <w:sz w:val="20"/>
                <w:szCs w:val="20"/>
                <w:color w:val="auto"/>
              </w:rPr>
            </w:pPr>
            <w:r>
              <w:rPr>
                <w:rFonts w:ascii="Arial" w:cs="Arial" w:eastAsia="Arial" w:hAnsi="Arial"/>
                <w:sz w:val="13"/>
                <w:szCs w:val="13"/>
                <w:color w:val="auto"/>
              </w:rPr>
              <w:t>7,929</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9,366</w:t>
            </w:r>
          </w:p>
        </w:tc>
      </w:tr>
      <w:tr>
        <w:trPr>
          <w:trHeight w:val="20"/>
        </w:trPr>
        <w:tc>
          <w:tcPr>
            <w:tcW w:w="6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60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current liabilities</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9"/>
              <w:spacing w:after="0"/>
              <w:rPr>
                <w:sz w:val="20"/>
                <w:szCs w:val="20"/>
                <w:color w:val="auto"/>
              </w:rPr>
            </w:pPr>
            <w:r>
              <w:rPr>
                <w:rFonts w:ascii="Arial" w:cs="Arial" w:eastAsia="Arial" w:hAnsi="Arial"/>
                <w:sz w:val="13"/>
                <w:szCs w:val="13"/>
                <w:b w:val="1"/>
                <w:bCs w:val="1"/>
                <w:color w:val="auto"/>
                <w:w w:val="97"/>
              </w:rPr>
              <w:t>124,306</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106,452</w:t>
            </w:r>
          </w:p>
        </w:tc>
      </w:tr>
      <w:tr>
        <w:trPr>
          <w:trHeight w:val="152"/>
        </w:trPr>
        <w:tc>
          <w:tcPr>
            <w:tcW w:w="6060" w:type="dxa"/>
            <w:vAlign w:val="bottom"/>
          </w:tcPr>
          <w:p>
            <w:pPr>
              <w:spacing w:after="0"/>
              <w:rPr>
                <w:sz w:val="20"/>
                <w:szCs w:val="20"/>
                <w:color w:val="auto"/>
              </w:rPr>
            </w:pPr>
            <w:r>
              <w:rPr>
                <w:rFonts w:ascii="Arial" w:cs="Arial" w:eastAsia="Arial" w:hAnsi="Arial"/>
                <w:sz w:val="13"/>
                <w:szCs w:val="13"/>
                <w:b w:val="1"/>
                <w:bCs w:val="1"/>
                <w:color w:val="auto"/>
              </w:rPr>
              <w:t>Non-current liabilities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60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Deferred revenue</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w:t>
            </w:r>
          </w:p>
        </w:tc>
        <w:tc>
          <w:tcPr>
            <w:tcW w:w="640" w:type="dxa"/>
            <w:vAlign w:val="bottom"/>
            <w:gridSpan w:val="2"/>
            <w:shd w:val="clear" w:color="auto" w:fill="CCEEFF"/>
          </w:tcPr>
          <w:p>
            <w:pPr>
              <w:jc w:val="right"/>
              <w:ind w:right="109"/>
              <w:spacing w:after="0"/>
              <w:rPr>
                <w:sz w:val="20"/>
                <w:szCs w:val="20"/>
                <w:color w:val="auto"/>
              </w:rPr>
            </w:pPr>
            <w:r>
              <w:rPr>
                <w:rFonts w:ascii="Arial" w:cs="Arial" w:eastAsia="Arial" w:hAnsi="Arial"/>
                <w:sz w:val="13"/>
                <w:szCs w:val="13"/>
                <w:color w:val="auto"/>
              </w:rPr>
              <w:t>53,559</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75,759</w:t>
            </w:r>
          </w:p>
        </w:tc>
      </w:tr>
      <w:tr>
        <w:trPr>
          <w:trHeight w:val="152"/>
        </w:trPr>
        <w:tc>
          <w:tcPr>
            <w:tcW w:w="6060" w:type="dxa"/>
            <w:vAlign w:val="bottom"/>
          </w:tcPr>
          <w:p>
            <w:pPr>
              <w:ind w:left="260"/>
              <w:spacing w:after="0"/>
              <w:rPr>
                <w:sz w:val="20"/>
                <w:szCs w:val="20"/>
                <w:color w:val="auto"/>
              </w:rPr>
            </w:pPr>
            <w:r>
              <w:rPr>
                <w:rFonts w:ascii="Arial" w:cs="Arial" w:eastAsia="Arial" w:hAnsi="Arial"/>
                <w:sz w:val="13"/>
                <w:szCs w:val="13"/>
                <w:color w:val="auto"/>
              </w:rPr>
              <w:t>Lease liabilities</w:t>
            </w: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16</w:t>
            </w:r>
          </w:p>
        </w:tc>
        <w:tc>
          <w:tcPr>
            <w:tcW w:w="640" w:type="dxa"/>
            <w:vAlign w:val="bottom"/>
            <w:gridSpan w:val="2"/>
          </w:tcPr>
          <w:p>
            <w:pPr>
              <w:jc w:val="right"/>
              <w:ind w:right="109"/>
              <w:spacing w:after="0"/>
              <w:rPr>
                <w:sz w:val="20"/>
                <w:szCs w:val="20"/>
                <w:color w:val="auto"/>
              </w:rPr>
            </w:pPr>
            <w:r>
              <w:rPr>
                <w:rFonts w:ascii="Arial" w:cs="Arial" w:eastAsia="Arial" w:hAnsi="Arial"/>
                <w:sz w:val="13"/>
                <w:szCs w:val="13"/>
                <w:color w:val="auto"/>
              </w:rPr>
              <w:t>14,085</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12,403</w:t>
            </w:r>
          </w:p>
        </w:tc>
      </w:tr>
      <w:tr>
        <w:trPr>
          <w:trHeight w:val="152"/>
        </w:trPr>
        <w:tc>
          <w:tcPr>
            <w:tcW w:w="60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Other non-current liabilities</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42</w:t>
            </w:r>
          </w:p>
        </w:tc>
      </w:tr>
      <w:tr>
        <w:trPr>
          <w:trHeight w:val="151"/>
        </w:trPr>
        <w:tc>
          <w:tcPr>
            <w:tcW w:w="6060" w:type="dxa"/>
            <w:vAlign w:val="bottom"/>
          </w:tcPr>
          <w:p>
            <w:pPr>
              <w:spacing w:after="0"/>
              <w:rPr>
                <w:sz w:val="20"/>
                <w:szCs w:val="20"/>
                <w:color w:val="auto"/>
              </w:rPr>
            </w:pPr>
            <w:r>
              <w:rPr>
                <w:rFonts w:ascii="Arial" w:cs="Arial" w:eastAsia="Arial" w:hAnsi="Arial"/>
                <w:sz w:val="13"/>
                <w:szCs w:val="13"/>
                <w:b w:val="1"/>
                <w:bCs w:val="1"/>
                <w:color w:val="auto"/>
              </w:rPr>
              <w:t>Total non-current liabilities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67,670</w:t>
            </w:r>
          </w:p>
        </w:tc>
        <w:tc>
          <w:tcPr>
            <w:tcW w:w="160" w:type="dxa"/>
            <w:vAlign w:val="bottom"/>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88,204</w:t>
            </w:r>
          </w:p>
        </w:tc>
        <w:tc>
          <w:tcPr>
            <w:tcW w:w="80" w:type="dxa"/>
            <w:vAlign w:val="bottom"/>
          </w:tcPr>
          <w:p>
            <w:pPr>
              <w:spacing w:after="0"/>
              <w:rPr>
                <w:sz w:val="13"/>
                <w:szCs w:val="13"/>
                <w:color w:val="auto"/>
              </w:rPr>
            </w:pPr>
          </w:p>
        </w:tc>
      </w:tr>
      <w:tr>
        <w:trPr>
          <w:trHeight w:val="152"/>
        </w:trPr>
        <w:tc>
          <w:tcPr>
            <w:tcW w:w="60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Shareholders’ equity</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6060" w:type="dxa"/>
            <w:vAlign w:val="bottom"/>
          </w:tcPr>
          <w:p>
            <w:pPr>
              <w:ind w:left="260"/>
              <w:spacing w:after="0"/>
              <w:rPr>
                <w:sz w:val="20"/>
                <w:szCs w:val="20"/>
                <w:color w:val="auto"/>
              </w:rPr>
            </w:pPr>
            <w:r>
              <w:rPr>
                <w:rFonts w:ascii="Arial" w:cs="Arial" w:eastAsia="Arial" w:hAnsi="Arial"/>
                <w:sz w:val="13"/>
                <w:szCs w:val="13"/>
                <w:color w:val="auto"/>
              </w:rPr>
              <w:t>Share capital</w:t>
            </w: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14</w:t>
            </w:r>
          </w:p>
        </w:tc>
        <w:tc>
          <w:tcPr>
            <w:tcW w:w="640" w:type="dxa"/>
            <w:vAlign w:val="bottom"/>
            <w:gridSpan w:val="2"/>
          </w:tcPr>
          <w:p>
            <w:pPr>
              <w:jc w:val="right"/>
              <w:ind w:right="109"/>
              <w:spacing w:after="0"/>
              <w:rPr>
                <w:sz w:val="20"/>
                <w:szCs w:val="20"/>
                <w:color w:val="auto"/>
              </w:rPr>
            </w:pPr>
            <w:r>
              <w:rPr>
                <w:rFonts w:ascii="Arial" w:cs="Arial" w:eastAsia="Arial" w:hAnsi="Arial"/>
                <w:sz w:val="13"/>
                <w:szCs w:val="13"/>
                <w:color w:val="auto"/>
              </w:rPr>
              <w:t>804</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767</w:t>
            </w:r>
          </w:p>
        </w:tc>
      </w:tr>
      <w:tr>
        <w:trPr>
          <w:trHeight w:val="152"/>
        </w:trPr>
        <w:tc>
          <w:tcPr>
            <w:tcW w:w="60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Share premium</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w:t>
            </w:r>
          </w:p>
        </w:tc>
        <w:tc>
          <w:tcPr>
            <w:tcW w:w="640" w:type="dxa"/>
            <w:vAlign w:val="bottom"/>
            <w:gridSpan w:val="2"/>
            <w:shd w:val="clear" w:color="auto" w:fill="CCEEFF"/>
          </w:tcPr>
          <w:p>
            <w:pPr>
              <w:jc w:val="right"/>
              <w:ind w:right="109"/>
              <w:spacing w:after="0"/>
              <w:rPr>
                <w:sz w:val="20"/>
                <w:szCs w:val="20"/>
                <w:color w:val="auto"/>
              </w:rPr>
            </w:pPr>
            <w:r>
              <w:rPr>
                <w:rFonts w:ascii="Arial" w:cs="Arial" w:eastAsia="Arial" w:hAnsi="Arial"/>
                <w:sz w:val="13"/>
                <w:szCs w:val="13"/>
                <w:color w:val="auto"/>
                <w:w w:val="97"/>
              </w:rPr>
              <w:t>763,206</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714,177</w:t>
            </w:r>
          </w:p>
        </w:tc>
      </w:tr>
      <w:tr>
        <w:trPr>
          <w:trHeight w:val="152"/>
        </w:trPr>
        <w:tc>
          <w:tcPr>
            <w:tcW w:w="6060" w:type="dxa"/>
            <w:vAlign w:val="bottom"/>
          </w:tcPr>
          <w:p>
            <w:pPr>
              <w:ind w:left="260"/>
              <w:spacing w:after="0"/>
              <w:rPr>
                <w:sz w:val="20"/>
                <w:szCs w:val="20"/>
                <w:color w:val="auto"/>
              </w:rPr>
            </w:pPr>
            <w:r>
              <w:rPr>
                <w:rFonts w:ascii="Arial" w:cs="Arial" w:eastAsia="Arial" w:hAnsi="Arial"/>
                <w:sz w:val="13"/>
                <w:szCs w:val="13"/>
                <w:color w:val="auto"/>
              </w:rPr>
              <w:t>Accumulated deficit</w:t>
            </w: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14</w:t>
            </w:r>
          </w:p>
        </w:tc>
        <w:tc>
          <w:tcPr>
            <w:tcW w:w="640" w:type="dxa"/>
            <w:vAlign w:val="bottom"/>
            <w:gridSpan w:val="2"/>
          </w:tcPr>
          <w:p>
            <w:pPr>
              <w:jc w:val="right"/>
              <w:ind w:right="69"/>
              <w:spacing w:after="0"/>
              <w:rPr>
                <w:sz w:val="20"/>
                <w:szCs w:val="20"/>
                <w:color w:val="auto"/>
              </w:rPr>
            </w:pPr>
            <w:r>
              <w:rPr>
                <w:rFonts w:ascii="Arial" w:cs="Arial" w:eastAsia="Arial" w:hAnsi="Arial"/>
                <w:sz w:val="13"/>
                <w:szCs w:val="13"/>
                <w:color w:val="auto"/>
                <w:w w:val="89"/>
              </w:rPr>
              <w:t>(544,656)</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(500,299)</w:t>
            </w:r>
          </w:p>
        </w:tc>
      </w:tr>
      <w:tr>
        <w:trPr>
          <w:trHeight w:val="152"/>
        </w:trPr>
        <w:tc>
          <w:tcPr>
            <w:tcW w:w="60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Other reserves</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w:t>
            </w:r>
          </w:p>
        </w:tc>
        <w:tc>
          <w:tcPr>
            <w:tcW w:w="640" w:type="dxa"/>
            <w:vAlign w:val="bottom"/>
            <w:gridSpan w:val="2"/>
            <w:shd w:val="clear" w:color="auto" w:fill="CCEEFF"/>
          </w:tcPr>
          <w:p>
            <w:pPr>
              <w:jc w:val="right"/>
              <w:ind w:right="69"/>
              <w:spacing w:after="0"/>
              <w:rPr>
                <w:sz w:val="20"/>
                <w:szCs w:val="20"/>
                <w:color w:val="auto"/>
              </w:rPr>
            </w:pPr>
            <w:r>
              <w:rPr>
                <w:rFonts w:ascii="Arial" w:cs="Arial" w:eastAsia="Arial" w:hAnsi="Arial"/>
                <w:sz w:val="13"/>
                <w:szCs w:val="13"/>
                <w:color w:val="auto"/>
              </w:rPr>
              <w:t>(1,141)</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(1,481)</w:t>
            </w:r>
          </w:p>
        </w:tc>
      </w:tr>
      <w:tr>
        <w:trPr>
          <w:trHeight w:val="151"/>
        </w:trPr>
        <w:tc>
          <w:tcPr>
            <w:tcW w:w="6060" w:type="dxa"/>
            <w:vAlign w:val="bottom"/>
          </w:tcPr>
          <w:p>
            <w:pPr>
              <w:spacing w:after="0"/>
              <w:rPr>
                <w:sz w:val="20"/>
                <w:szCs w:val="20"/>
                <w:color w:val="auto"/>
              </w:rPr>
            </w:pPr>
            <w:r>
              <w:rPr>
                <w:rFonts w:ascii="Arial" w:cs="Arial" w:eastAsia="Arial" w:hAnsi="Arial"/>
                <w:sz w:val="13"/>
                <w:szCs w:val="13"/>
                <w:b w:val="1"/>
                <w:bCs w:val="1"/>
                <w:color w:val="auto"/>
              </w:rPr>
              <w:t>Total shareholders’ equity</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218,213</w:t>
            </w:r>
          </w:p>
        </w:tc>
        <w:tc>
          <w:tcPr>
            <w:tcW w:w="16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213,164</w:t>
            </w:r>
          </w:p>
        </w:tc>
        <w:tc>
          <w:tcPr>
            <w:tcW w:w="80" w:type="dxa"/>
            <w:vAlign w:val="bottom"/>
          </w:tcPr>
          <w:p>
            <w:pPr>
              <w:spacing w:after="0"/>
              <w:rPr>
                <w:sz w:val="13"/>
                <w:szCs w:val="13"/>
                <w:color w:val="auto"/>
              </w:rPr>
            </w:pPr>
          </w:p>
        </w:tc>
      </w:tr>
      <w:tr>
        <w:trPr>
          <w:trHeight w:val="151"/>
        </w:trPr>
        <w:tc>
          <w:tcPr>
            <w:tcW w:w="60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liabilities and shareholders’ equity</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9"/>
              <w:spacing w:after="0"/>
              <w:rPr>
                <w:sz w:val="20"/>
                <w:szCs w:val="20"/>
                <w:color w:val="auto"/>
              </w:rPr>
            </w:pPr>
            <w:r>
              <w:rPr>
                <w:rFonts w:ascii="Arial" w:cs="Arial" w:eastAsia="Arial" w:hAnsi="Arial"/>
                <w:sz w:val="13"/>
                <w:szCs w:val="13"/>
                <w:b w:val="1"/>
                <w:bCs w:val="1"/>
                <w:color w:val="auto"/>
                <w:w w:val="97"/>
              </w:rPr>
              <w:t>410,189</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407,820</w:t>
            </w:r>
          </w:p>
        </w:tc>
      </w:tr>
      <w:tr>
        <w:trPr>
          <w:trHeight w:val="28"/>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52" w:lineRule="exact"/>
        <w:rPr>
          <w:sz w:val="20"/>
          <w:szCs w:val="20"/>
          <w:color w:val="auto"/>
        </w:rPr>
      </w:pPr>
    </w:p>
    <w:p>
      <w:pPr>
        <w:ind w:left="3160"/>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ectPr>
          <w:pgSz w:w="11900" w:h="16838" w:orient="portrait"/>
          <w:cols w:equalWidth="0" w:num="1">
            <w:col w:w="10159"/>
          </w:cols>
          <w:pgMar w:left="300" w:top="383" w:right="1440" w:bottom="1440" w:gutter="0" w:footer="0" w:header="0"/>
        </w:sectPr>
      </w:pPr>
    </w:p>
    <w:bookmarkStart w:id="6" w:name="page7"/>
    <w:bookmarkEnd w:id="6"/>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42545"/>
                    </a:xfrm>
                    <a:prstGeom prst="rect">
                      <a:avLst/>
                    </a:prstGeom>
                    <a:noFill/>
                  </pic:spPr>
                </pic:pic>
              </a:graphicData>
            </a:graphic>
          </wp:anchor>
        </w:drawing>
        <w:t>Table of Contents</w:t>
      </w:r>
    </w:p>
    <w:p>
      <w:pPr>
        <w:spacing w:after="0" w:line="210" w:lineRule="exact"/>
        <w:rPr>
          <w:sz w:val="20"/>
          <w:szCs w:val="20"/>
          <w:color w:val="auto"/>
        </w:rPr>
      </w:pPr>
    </w:p>
    <w:p>
      <w:pPr>
        <w:ind w:left="1780"/>
        <w:spacing w:after="0"/>
        <w:rPr>
          <w:sz w:val="20"/>
          <w:szCs w:val="20"/>
          <w:color w:val="auto"/>
        </w:rPr>
      </w:pPr>
      <w:r>
        <w:rPr>
          <w:rFonts w:ascii="Arial" w:cs="Arial" w:eastAsia="Arial" w:hAnsi="Arial"/>
          <w:sz w:val="13"/>
          <w:szCs w:val="13"/>
          <w:b w:val="1"/>
          <w:bCs w:val="1"/>
          <w:color w:val="auto"/>
        </w:rPr>
        <w:t>Unaudited Condensed Consolidated Statement of Cash Flows of Immatics N.V.</w:t>
      </w:r>
    </w:p>
    <w:p>
      <w:pPr>
        <w:spacing w:after="0" w:line="171" w:lineRule="exact"/>
        <w:rPr>
          <w:sz w:val="20"/>
          <w:szCs w:val="20"/>
          <w:color w:val="auto"/>
        </w:rPr>
      </w:pPr>
    </w:p>
    <w:tbl>
      <w:tblPr>
        <w:tblLayout w:type="fixed"/>
        <w:tblInd w:w="1780" w:type="dxa"/>
        <w:tblCellMar>
          <w:top w:w="0" w:type="dxa"/>
          <w:left w:w="0" w:type="dxa"/>
          <w:bottom w:w="0" w:type="dxa"/>
          <w:right w:w="0" w:type="dxa"/>
        </w:tblCellMar>
      </w:tblPr>
      <w:tr>
        <w:trPr>
          <w:trHeight w:val="119"/>
        </w:trPr>
        <w:tc>
          <w:tcPr>
            <w:tcW w:w="6460" w:type="dxa"/>
            <w:vAlign w:val="bottom"/>
          </w:tcPr>
          <w:p>
            <w:pPr>
              <w:spacing w:after="0"/>
              <w:rPr>
                <w:sz w:val="10"/>
                <w:szCs w:val="10"/>
                <w:color w:val="auto"/>
              </w:rPr>
            </w:pPr>
          </w:p>
        </w:tc>
        <w:tc>
          <w:tcPr>
            <w:tcW w:w="1280" w:type="dxa"/>
            <w:vAlign w:val="bottom"/>
            <w:gridSpan w:val="4"/>
          </w:tcPr>
          <w:p>
            <w:pPr>
              <w:jc w:val="right"/>
              <w:ind w:right="100"/>
              <w:spacing w:after="0"/>
              <w:rPr>
                <w:sz w:val="20"/>
                <w:szCs w:val="20"/>
                <w:color w:val="auto"/>
              </w:rPr>
            </w:pPr>
            <w:r>
              <w:rPr>
                <w:rFonts w:ascii="Arial" w:cs="Arial" w:eastAsia="Arial" w:hAnsi="Arial"/>
                <w:sz w:val="10"/>
                <w:szCs w:val="10"/>
                <w:b w:val="1"/>
                <w:bCs w:val="1"/>
                <w:color w:val="auto"/>
                <w:w w:val="89"/>
              </w:rPr>
              <w:t>Six months ended June 30,</w:t>
            </w:r>
          </w:p>
        </w:tc>
      </w:tr>
      <w:tr>
        <w:trPr>
          <w:trHeight w:val="94"/>
        </w:trPr>
        <w:tc>
          <w:tcPr>
            <w:tcW w:w="6460" w:type="dxa"/>
            <w:vAlign w:val="bottom"/>
          </w:tcPr>
          <w:p>
            <w:pPr>
              <w:spacing w:after="0"/>
              <w:rPr>
                <w:sz w:val="8"/>
                <w:szCs w:val="8"/>
                <w:color w:val="auto"/>
              </w:rPr>
            </w:pPr>
          </w:p>
        </w:tc>
        <w:tc>
          <w:tcPr>
            <w:tcW w:w="540" w:type="dxa"/>
            <w:vAlign w:val="bottom"/>
            <w:tcBorders>
              <w:top w:val="single" w:sz="8" w:color="auto"/>
              <w:bottom w:val="single" w:sz="8" w:color="auto"/>
            </w:tcBorders>
          </w:tcPr>
          <w:p>
            <w:pPr>
              <w:jc w:val="right"/>
              <w:ind w:right="118"/>
              <w:spacing w:after="0" w:line="94" w:lineRule="exact"/>
              <w:rPr>
                <w:sz w:val="20"/>
                <w:szCs w:val="20"/>
                <w:color w:val="auto"/>
              </w:rPr>
            </w:pPr>
            <w:r>
              <w:rPr>
                <w:rFonts w:ascii="Arial" w:cs="Arial" w:eastAsia="Arial" w:hAnsi="Arial"/>
                <w:sz w:val="10"/>
                <w:szCs w:val="10"/>
                <w:b w:val="1"/>
                <w:bCs w:val="1"/>
                <w:color w:val="auto"/>
              </w:rPr>
              <w:t>2023</w:t>
            </w:r>
          </w:p>
        </w:tc>
        <w:tc>
          <w:tcPr>
            <w:tcW w:w="14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97"/>
              <w:spacing w:after="0" w:line="94" w:lineRule="exact"/>
              <w:rPr>
                <w:sz w:val="20"/>
                <w:szCs w:val="20"/>
                <w:color w:val="auto"/>
              </w:rPr>
            </w:pPr>
            <w:r>
              <w:rPr>
                <w:rFonts w:ascii="Arial" w:cs="Arial" w:eastAsia="Arial" w:hAnsi="Arial"/>
                <w:sz w:val="10"/>
                <w:szCs w:val="10"/>
                <w:b w:val="1"/>
                <w:bCs w:val="1"/>
                <w:color w:val="auto"/>
              </w:rPr>
              <w:t>2022</w:t>
            </w:r>
          </w:p>
        </w:tc>
        <w:tc>
          <w:tcPr>
            <w:tcW w:w="80" w:type="dxa"/>
            <w:vAlign w:val="bottom"/>
          </w:tcPr>
          <w:p>
            <w:pPr>
              <w:spacing w:after="0"/>
              <w:rPr>
                <w:sz w:val="8"/>
                <w:szCs w:val="8"/>
                <w:color w:val="auto"/>
              </w:rPr>
            </w:pPr>
          </w:p>
        </w:tc>
      </w:tr>
      <w:tr>
        <w:trPr>
          <w:trHeight w:val="94"/>
        </w:trPr>
        <w:tc>
          <w:tcPr>
            <w:tcW w:w="6460" w:type="dxa"/>
            <w:vAlign w:val="bottom"/>
          </w:tcPr>
          <w:p>
            <w:pPr>
              <w:spacing w:after="0"/>
              <w:rPr>
                <w:sz w:val="8"/>
                <w:szCs w:val="8"/>
                <w:color w:val="auto"/>
              </w:rPr>
            </w:pPr>
          </w:p>
        </w:tc>
        <w:tc>
          <w:tcPr>
            <w:tcW w:w="1200" w:type="dxa"/>
            <w:vAlign w:val="bottom"/>
            <w:gridSpan w:val="3"/>
          </w:tcPr>
          <w:p>
            <w:pPr>
              <w:jc w:val="right"/>
              <w:ind w:right="97"/>
              <w:spacing w:after="0" w:line="94" w:lineRule="exact"/>
              <w:rPr>
                <w:sz w:val="20"/>
                <w:szCs w:val="20"/>
                <w:color w:val="auto"/>
              </w:rPr>
            </w:pPr>
            <w:r>
              <w:rPr>
                <w:rFonts w:ascii="Arial" w:cs="Arial" w:eastAsia="Arial" w:hAnsi="Arial"/>
                <w:sz w:val="10"/>
                <w:szCs w:val="10"/>
                <w:b w:val="1"/>
                <w:bCs w:val="1"/>
                <w:color w:val="auto"/>
              </w:rPr>
              <w:t>(Euros in thousands)</w:t>
            </w:r>
          </w:p>
        </w:tc>
        <w:tc>
          <w:tcPr>
            <w:tcW w:w="80" w:type="dxa"/>
            <w:vAlign w:val="bottom"/>
          </w:tcPr>
          <w:p>
            <w:pPr>
              <w:spacing w:after="0"/>
              <w:rPr>
                <w:sz w:val="8"/>
                <w:szCs w:val="8"/>
                <w:color w:val="auto"/>
              </w:rPr>
            </w:pPr>
          </w:p>
        </w:tc>
      </w:tr>
      <w:tr>
        <w:trPr>
          <w:trHeight w:val="152"/>
        </w:trPr>
        <w:tc>
          <w:tcPr>
            <w:tcW w:w="6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6460" w:type="dxa"/>
            <w:vAlign w:val="bottom"/>
          </w:tcPr>
          <w:p>
            <w:pPr>
              <w:spacing w:after="0"/>
              <w:rPr>
                <w:sz w:val="20"/>
                <w:szCs w:val="20"/>
                <w:color w:val="auto"/>
              </w:rPr>
            </w:pPr>
            <w:r>
              <w:rPr>
                <w:rFonts w:ascii="Arial" w:cs="Arial" w:eastAsia="Arial" w:hAnsi="Arial"/>
                <w:sz w:val="13"/>
                <w:szCs w:val="13"/>
                <w:color w:val="auto"/>
              </w:rPr>
              <w:t>Net profit/(loss)</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(44,357)</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71,682</w:t>
            </w:r>
          </w:p>
        </w:tc>
      </w:tr>
      <w:tr>
        <w:trPr>
          <w:trHeight w:val="152"/>
        </w:trPr>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Taxes on income</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1,145</w:t>
            </w:r>
          </w:p>
        </w:tc>
      </w:tr>
      <w:tr>
        <w:trPr>
          <w:trHeight w:val="152"/>
        </w:trPr>
        <w:tc>
          <w:tcPr>
            <w:tcW w:w="6460" w:type="dxa"/>
            <w:vAlign w:val="bottom"/>
          </w:tcPr>
          <w:p>
            <w:pPr>
              <w:spacing w:after="0"/>
              <w:rPr>
                <w:sz w:val="20"/>
                <w:szCs w:val="20"/>
                <w:color w:val="auto"/>
              </w:rPr>
            </w:pPr>
            <w:r>
              <w:rPr>
                <w:rFonts w:ascii="Arial" w:cs="Arial" w:eastAsia="Arial" w:hAnsi="Arial"/>
                <w:sz w:val="13"/>
                <w:szCs w:val="13"/>
                <w:b w:val="1"/>
                <w:bCs w:val="1"/>
                <w:color w:val="auto"/>
              </w:rPr>
              <w:t>Profit/(loss) before tax</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(44,357)</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72,827</w:t>
            </w:r>
          </w:p>
        </w:tc>
      </w:tr>
      <w:tr>
        <w:trPr>
          <w:trHeight w:val="152"/>
        </w:trPr>
        <w:tc>
          <w:tcPr>
            <w:tcW w:w="6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Adjustments for:</w:t>
            </w: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6460" w:type="dxa"/>
            <w:vAlign w:val="bottom"/>
          </w:tcPr>
          <w:p>
            <w:pPr>
              <w:spacing w:after="0"/>
              <w:rPr>
                <w:sz w:val="20"/>
                <w:szCs w:val="20"/>
                <w:color w:val="auto"/>
              </w:rPr>
            </w:pPr>
            <w:r>
              <w:rPr>
                <w:rFonts w:ascii="Arial" w:cs="Arial" w:eastAsia="Arial" w:hAnsi="Arial"/>
                <w:sz w:val="13"/>
                <w:szCs w:val="13"/>
                <w:color w:val="auto"/>
              </w:rPr>
              <w:t>Interest income</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(4,999)</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(23)</w:t>
            </w:r>
          </w:p>
        </w:tc>
      </w:tr>
      <w:tr>
        <w:trPr>
          <w:trHeight w:val="152"/>
        </w:trPr>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Depreciation and amortization</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3,666</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3,407</w:t>
            </w:r>
          </w:p>
        </w:tc>
      </w:tr>
      <w:tr>
        <w:trPr>
          <w:trHeight w:val="152"/>
        </w:trPr>
        <w:tc>
          <w:tcPr>
            <w:tcW w:w="6460" w:type="dxa"/>
            <w:vAlign w:val="bottom"/>
          </w:tcPr>
          <w:p>
            <w:pPr>
              <w:spacing w:after="0"/>
              <w:rPr>
                <w:sz w:val="20"/>
                <w:szCs w:val="20"/>
                <w:color w:val="auto"/>
              </w:rPr>
            </w:pPr>
            <w:r>
              <w:rPr>
                <w:rFonts w:ascii="Arial" w:cs="Arial" w:eastAsia="Arial" w:hAnsi="Arial"/>
                <w:sz w:val="13"/>
                <w:szCs w:val="13"/>
                <w:color w:val="auto"/>
              </w:rPr>
              <w:t>Interest expenses</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401</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538</w:t>
            </w:r>
          </w:p>
        </w:tc>
      </w:tr>
      <w:tr>
        <w:trPr>
          <w:trHeight w:val="152"/>
        </w:trPr>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Equity settled share-based payment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11,615</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11,262</w:t>
            </w:r>
          </w:p>
        </w:tc>
      </w:tr>
      <w:tr>
        <w:trPr>
          <w:trHeight w:val="152"/>
        </w:trPr>
        <w:tc>
          <w:tcPr>
            <w:tcW w:w="6460" w:type="dxa"/>
            <w:vAlign w:val="bottom"/>
          </w:tcPr>
          <w:p>
            <w:pPr>
              <w:spacing w:after="0"/>
              <w:rPr>
                <w:sz w:val="20"/>
                <w:szCs w:val="20"/>
                <w:color w:val="auto"/>
              </w:rPr>
            </w:pPr>
            <w:r>
              <w:rPr>
                <w:rFonts w:ascii="Arial" w:cs="Arial" w:eastAsia="Arial" w:hAnsi="Arial"/>
                <w:sz w:val="13"/>
                <w:szCs w:val="13"/>
                <w:color w:val="auto"/>
              </w:rPr>
              <w:t>Net foreign exchange differences and expected credit losses</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4,081</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(7,834)</w:t>
            </w:r>
          </w:p>
        </w:tc>
      </w:tr>
      <w:tr>
        <w:trPr>
          <w:trHeight w:val="152"/>
        </w:trPr>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Change in fair value of liabilities for warrants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5,708</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(13,743)</w:t>
            </w:r>
          </w:p>
        </w:tc>
      </w:tr>
      <w:tr>
        <w:trPr>
          <w:trHeight w:val="152"/>
        </w:trPr>
        <w:tc>
          <w:tcPr>
            <w:tcW w:w="6460" w:type="dxa"/>
            <w:vAlign w:val="bottom"/>
          </w:tcPr>
          <w:p>
            <w:pPr>
              <w:spacing w:after="0"/>
              <w:rPr>
                <w:sz w:val="20"/>
                <w:szCs w:val="20"/>
                <w:color w:val="auto"/>
              </w:rPr>
            </w:pPr>
            <w:r>
              <w:rPr>
                <w:rFonts w:ascii="Arial" w:cs="Arial" w:eastAsia="Arial" w:hAnsi="Arial"/>
                <w:sz w:val="13"/>
                <w:szCs w:val="13"/>
                <w:b w:val="1"/>
                <w:bCs w:val="1"/>
                <w:color w:val="auto"/>
              </w:rPr>
              <w:t>Changes in:</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Decrease/(increase) in accounts receivables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781</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(280)</w:t>
            </w:r>
          </w:p>
        </w:tc>
      </w:tr>
      <w:tr>
        <w:trPr>
          <w:trHeight w:val="152"/>
        </w:trPr>
        <w:tc>
          <w:tcPr>
            <w:tcW w:w="6460" w:type="dxa"/>
            <w:vAlign w:val="bottom"/>
          </w:tcPr>
          <w:p>
            <w:pPr>
              <w:spacing w:after="0"/>
              <w:rPr>
                <w:sz w:val="20"/>
                <w:szCs w:val="20"/>
                <w:color w:val="auto"/>
              </w:rPr>
            </w:pPr>
            <w:r>
              <w:rPr>
                <w:rFonts w:ascii="Arial" w:cs="Arial" w:eastAsia="Arial" w:hAnsi="Arial"/>
                <w:sz w:val="13"/>
                <w:szCs w:val="13"/>
                <w:color w:val="auto"/>
              </w:rPr>
              <w:t>Decrease/(increase) in other assets</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765</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(6,903)</w:t>
            </w:r>
          </w:p>
        </w:tc>
      </w:tr>
      <w:tr>
        <w:trPr>
          <w:trHeight w:val="152"/>
        </w:trPr>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(Decrease)/increase in deferred revenue, accounts payables and other liabilities</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(9,889)</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96,933</w:t>
            </w:r>
          </w:p>
        </w:tc>
      </w:tr>
      <w:tr>
        <w:trPr>
          <w:trHeight w:val="152"/>
        </w:trPr>
        <w:tc>
          <w:tcPr>
            <w:tcW w:w="6460" w:type="dxa"/>
            <w:vAlign w:val="bottom"/>
          </w:tcPr>
          <w:p>
            <w:pPr>
              <w:spacing w:after="0"/>
              <w:rPr>
                <w:sz w:val="20"/>
                <w:szCs w:val="20"/>
                <w:color w:val="auto"/>
              </w:rPr>
            </w:pPr>
            <w:r>
              <w:rPr>
                <w:rFonts w:ascii="Arial" w:cs="Arial" w:eastAsia="Arial" w:hAnsi="Arial"/>
                <w:sz w:val="13"/>
                <w:szCs w:val="13"/>
                <w:color w:val="auto"/>
              </w:rPr>
              <w:t>Interest received</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2,051</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23</w:t>
            </w:r>
          </w:p>
        </w:tc>
      </w:tr>
      <w:tr>
        <w:trPr>
          <w:trHeight w:val="152"/>
        </w:trPr>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Interest paid</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(146)</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(434)</w:t>
            </w:r>
          </w:p>
        </w:tc>
      </w:tr>
      <w:tr>
        <w:trPr>
          <w:trHeight w:val="152"/>
        </w:trPr>
        <w:tc>
          <w:tcPr>
            <w:tcW w:w="6460" w:type="dxa"/>
            <w:vAlign w:val="bottom"/>
          </w:tcPr>
          <w:p>
            <w:pPr>
              <w:spacing w:after="0"/>
              <w:rPr>
                <w:sz w:val="20"/>
                <w:szCs w:val="20"/>
                <w:color w:val="auto"/>
              </w:rPr>
            </w:pPr>
            <w:r>
              <w:rPr>
                <w:rFonts w:ascii="Arial" w:cs="Arial" w:eastAsia="Arial" w:hAnsi="Arial"/>
                <w:sz w:val="13"/>
                <w:szCs w:val="13"/>
                <w:color w:val="auto"/>
              </w:rPr>
              <w:t>Income tax paid</w:t>
            </w:r>
          </w:p>
        </w:tc>
        <w:tc>
          <w:tcPr>
            <w:tcW w:w="54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r>
      <w:tr>
        <w:trPr>
          <w:trHeight w:val="151"/>
        </w:trPr>
        <w:tc>
          <w:tcPr>
            <w:tcW w:w="6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cash (used in)/provided by operating activities</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(30,323)</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155,773</w:t>
            </w:r>
          </w:p>
        </w:tc>
      </w:tr>
      <w:tr>
        <w:trPr>
          <w:trHeight w:val="151"/>
        </w:trPr>
        <w:tc>
          <w:tcPr>
            <w:tcW w:w="6460" w:type="dxa"/>
            <w:vAlign w:val="bottom"/>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5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Payments for property, plant and equipment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(15,004)</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(1,965)</w:t>
            </w:r>
          </w:p>
        </w:tc>
      </w:tr>
      <w:tr>
        <w:trPr>
          <w:trHeight w:val="152"/>
        </w:trPr>
        <w:tc>
          <w:tcPr>
            <w:tcW w:w="6460" w:type="dxa"/>
            <w:vAlign w:val="bottom"/>
          </w:tcPr>
          <w:p>
            <w:pPr>
              <w:spacing w:after="0"/>
              <w:rPr>
                <w:sz w:val="20"/>
                <w:szCs w:val="20"/>
                <w:color w:val="auto"/>
              </w:rPr>
            </w:pPr>
            <w:r>
              <w:rPr>
                <w:rFonts w:ascii="Arial" w:cs="Arial" w:eastAsia="Arial" w:hAnsi="Arial"/>
                <w:sz w:val="13"/>
                <w:szCs w:val="13"/>
                <w:color w:val="auto"/>
              </w:rPr>
              <w:t>Payments for intangible assets</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(154)</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(6)</w:t>
            </w:r>
          </w:p>
        </w:tc>
      </w:tr>
      <w:tr>
        <w:trPr>
          <w:trHeight w:val="152"/>
        </w:trPr>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Proceeds from disposal of property, plant and equipment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w:t>
            </w:r>
          </w:p>
        </w:tc>
      </w:tr>
      <w:tr>
        <w:trPr>
          <w:trHeight w:val="152"/>
        </w:trPr>
        <w:tc>
          <w:tcPr>
            <w:tcW w:w="6460" w:type="dxa"/>
            <w:vAlign w:val="bottom"/>
          </w:tcPr>
          <w:p>
            <w:pPr>
              <w:spacing w:after="0"/>
              <w:rPr>
                <w:sz w:val="20"/>
                <w:szCs w:val="20"/>
                <w:color w:val="auto"/>
              </w:rPr>
            </w:pPr>
            <w:r>
              <w:rPr>
                <w:rFonts w:ascii="Arial" w:cs="Arial" w:eastAsia="Arial" w:hAnsi="Arial"/>
                <w:sz w:val="13"/>
                <w:szCs w:val="13"/>
                <w:color w:val="auto"/>
              </w:rPr>
              <w:t>Payments for investments classified in Other financial assets</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(170,326)</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(59,253)</w:t>
            </w:r>
          </w:p>
        </w:tc>
      </w:tr>
      <w:tr>
        <w:trPr>
          <w:trHeight w:val="152"/>
        </w:trPr>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Proceeds from maturity of investments classified in Other financial assets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164,929</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12,695</w:t>
            </w:r>
          </w:p>
        </w:tc>
      </w:tr>
      <w:tr>
        <w:trPr>
          <w:trHeight w:val="151"/>
        </w:trPr>
        <w:tc>
          <w:tcPr>
            <w:tcW w:w="6460" w:type="dxa"/>
            <w:vAlign w:val="bottom"/>
          </w:tcPr>
          <w:p>
            <w:pPr>
              <w:spacing w:after="0"/>
              <w:rPr>
                <w:sz w:val="20"/>
                <w:szCs w:val="20"/>
                <w:color w:val="auto"/>
              </w:rPr>
            </w:pPr>
            <w:r>
              <w:rPr>
                <w:rFonts w:ascii="Arial" w:cs="Arial" w:eastAsia="Arial" w:hAnsi="Arial"/>
                <w:sz w:val="13"/>
                <w:szCs w:val="13"/>
                <w:b w:val="1"/>
                <w:bCs w:val="1"/>
                <w:color w:val="auto"/>
              </w:rPr>
              <w:t>Net cash (used in)/provided by investing activities</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(20,555)</w:t>
            </w:r>
          </w:p>
        </w:tc>
        <w:tc>
          <w:tcPr>
            <w:tcW w:w="14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(48,528)</w:t>
            </w:r>
          </w:p>
        </w:tc>
        <w:tc>
          <w:tcPr>
            <w:tcW w:w="80" w:type="dxa"/>
            <w:vAlign w:val="bottom"/>
          </w:tcPr>
          <w:p>
            <w:pPr>
              <w:spacing w:after="0"/>
              <w:rPr>
                <w:sz w:val="13"/>
                <w:szCs w:val="13"/>
                <w:color w:val="auto"/>
              </w:rPr>
            </w:pPr>
          </w:p>
        </w:tc>
      </w:tr>
      <w:tr>
        <w:trPr>
          <w:trHeight w:val="151"/>
        </w:trPr>
        <w:tc>
          <w:tcPr>
            <w:tcW w:w="6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6460" w:type="dxa"/>
            <w:vAlign w:val="bottom"/>
          </w:tcPr>
          <w:p>
            <w:pPr>
              <w:spacing w:after="0"/>
              <w:rPr>
                <w:sz w:val="20"/>
                <w:szCs w:val="20"/>
                <w:color w:val="auto"/>
              </w:rPr>
            </w:pPr>
            <w:r>
              <w:rPr>
                <w:rFonts w:ascii="Arial" w:cs="Arial" w:eastAsia="Arial" w:hAnsi="Arial"/>
                <w:sz w:val="13"/>
                <w:szCs w:val="13"/>
                <w:color w:val="auto"/>
              </w:rPr>
              <w:t>Proceeds from issuance of shares to equity holders</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38,608</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17,112</w:t>
            </w:r>
          </w:p>
        </w:tc>
      </w:tr>
      <w:tr>
        <w:trPr>
          <w:trHeight w:val="152"/>
        </w:trPr>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Transaction costs deducted from equity</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(1,157)</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(515)</w:t>
            </w:r>
          </w:p>
        </w:tc>
      </w:tr>
      <w:tr>
        <w:trPr>
          <w:trHeight w:val="152"/>
        </w:trPr>
        <w:tc>
          <w:tcPr>
            <w:tcW w:w="6460" w:type="dxa"/>
            <w:vAlign w:val="bottom"/>
          </w:tcPr>
          <w:p>
            <w:pPr>
              <w:spacing w:after="0"/>
              <w:rPr>
                <w:sz w:val="20"/>
                <w:szCs w:val="20"/>
                <w:color w:val="auto"/>
              </w:rPr>
            </w:pPr>
            <w:r>
              <w:rPr>
                <w:rFonts w:ascii="Arial" w:cs="Arial" w:eastAsia="Arial" w:hAnsi="Arial"/>
                <w:sz w:val="13"/>
                <w:szCs w:val="13"/>
                <w:color w:val="auto"/>
              </w:rPr>
              <w:t>Repayment of lease liabilities</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(1,866)</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(1,394)</w:t>
            </w:r>
          </w:p>
        </w:tc>
      </w:tr>
      <w:tr>
        <w:trPr>
          <w:trHeight w:val="151"/>
        </w:trPr>
        <w:tc>
          <w:tcPr>
            <w:tcW w:w="6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cash provided by/(used in) financing activities</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35,585</w:t>
            </w:r>
          </w:p>
        </w:tc>
        <w:tc>
          <w:tcPr>
            <w:tcW w:w="140" w:type="dxa"/>
            <w:vAlign w:val="bottom"/>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15,203</w:t>
            </w:r>
          </w:p>
        </w:tc>
        <w:tc>
          <w:tcPr>
            <w:tcW w:w="80" w:type="dxa"/>
            <w:vAlign w:val="bottom"/>
            <w:shd w:val="clear" w:color="auto" w:fill="CCEEFF"/>
          </w:tcPr>
          <w:p>
            <w:pPr>
              <w:spacing w:after="0"/>
              <w:rPr>
                <w:sz w:val="13"/>
                <w:szCs w:val="13"/>
                <w:color w:val="auto"/>
              </w:rPr>
            </w:pPr>
          </w:p>
        </w:tc>
      </w:tr>
      <w:tr>
        <w:trPr>
          <w:trHeight w:val="159"/>
        </w:trPr>
        <w:tc>
          <w:tcPr>
            <w:tcW w:w="6460" w:type="dxa"/>
            <w:vAlign w:val="bottom"/>
          </w:tcPr>
          <w:p>
            <w:pPr>
              <w:spacing w:after="0"/>
              <w:rPr>
                <w:sz w:val="20"/>
                <w:szCs w:val="20"/>
                <w:color w:val="auto"/>
              </w:rPr>
            </w:pPr>
            <w:r>
              <w:rPr>
                <w:rFonts w:ascii="Arial" w:cs="Arial" w:eastAsia="Arial" w:hAnsi="Arial"/>
                <w:sz w:val="13"/>
                <w:szCs w:val="13"/>
                <w:b w:val="1"/>
                <w:bCs w:val="1"/>
                <w:color w:val="auto"/>
              </w:rPr>
              <w:t>Net (decrease)/increase in cash and cash equivalents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(15,293)</w:t>
            </w:r>
          </w:p>
        </w:tc>
        <w:tc>
          <w:tcPr>
            <w:tcW w:w="140" w:type="dxa"/>
            <w:vAlign w:val="bottom"/>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122,448</w:t>
            </w:r>
          </w:p>
        </w:tc>
        <w:tc>
          <w:tcPr>
            <w:tcW w:w="80" w:type="dxa"/>
            <w:vAlign w:val="bottom"/>
          </w:tcPr>
          <w:p>
            <w:pPr>
              <w:spacing w:after="0"/>
              <w:rPr>
                <w:sz w:val="13"/>
                <w:szCs w:val="13"/>
                <w:color w:val="auto"/>
              </w:rPr>
            </w:pPr>
          </w:p>
        </w:tc>
      </w:tr>
      <w:tr>
        <w:trPr>
          <w:trHeight w:val="170"/>
        </w:trPr>
        <w:tc>
          <w:tcPr>
            <w:tcW w:w="6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and cash equivalents at beginning of the year</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148,519</w:t>
            </w:r>
          </w:p>
        </w:tc>
        <w:tc>
          <w:tcPr>
            <w:tcW w:w="14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132,994</w:t>
            </w:r>
          </w:p>
        </w:tc>
        <w:tc>
          <w:tcPr>
            <w:tcW w:w="80" w:type="dxa"/>
            <w:vAlign w:val="bottom"/>
            <w:shd w:val="clear" w:color="auto" w:fill="CCEEFF"/>
          </w:tcPr>
          <w:p>
            <w:pPr>
              <w:spacing w:after="0"/>
              <w:rPr>
                <w:sz w:val="14"/>
                <w:szCs w:val="14"/>
                <w:color w:val="auto"/>
              </w:rPr>
            </w:pPr>
          </w:p>
        </w:tc>
      </w:tr>
      <w:tr>
        <w:trPr>
          <w:trHeight w:val="161"/>
        </w:trPr>
        <w:tc>
          <w:tcPr>
            <w:tcW w:w="6460" w:type="dxa"/>
            <w:vAlign w:val="bottom"/>
          </w:tcPr>
          <w:p>
            <w:pPr>
              <w:spacing w:after="0"/>
              <w:rPr>
                <w:sz w:val="20"/>
                <w:szCs w:val="20"/>
                <w:color w:val="auto"/>
              </w:rPr>
            </w:pPr>
            <w:r>
              <w:rPr>
                <w:rFonts w:ascii="Arial" w:cs="Arial" w:eastAsia="Arial" w:hAnsi="Arial"/>
                <w:sz w:val="13"/>
                <w:szCs w:val="13"/>
                <w:color w:val="auto"/>
              </w:rPr>
              <w:t>Effects of exchange rate changes and expected credit losses on cash and cash equivalents</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(2,821)</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9,683</w:t>
            </w:r>
          </w:p>
        </w:tc>
      </w:tr>
      <w:tr>
        <w:trPr>
          <w:trHeight w:val="159"/>
        </w:trPr>
        <w:tc>
          <w:tcPr>
            <w:tcW w:w="6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and cash equivalents at end of the year</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130,405</w:t>
            </w:r>
          </w:p>
        </w:tc>
        <w:tc>
          <w:tcPr>
            <w:tcW w:w="140" w:type="dxa"/>
            <w:vAlign w:val="bottom"/>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265,125</w:t>
            </w:r>
          </w:p>
        </w:tc>
        <w:tc>
          <w:tcPr>
            <w:tcW w:w="80" w:type="dxa"/>
            <w:vAlign w:val="bottom"/>
            <w:shd w:val="clear" w:color="auto" w:fill="CCEEFF"/>
          </w:tcPr>
          <w:p>
            <w:pPr>
              <w:spacing w:after="0"/>
              <w:rPr>
                <w:sz w:val="13"/>
                <w:szCs w:val="13"/>
                <w:color w:val="auto"/>
              </w:rPr>
            </w:pPr>
          </w:p>
        </w:tc>
      </w:tr>
    </w:tbl>
    <w:p>
      <w:pPr>
        <w:spacing w:after="0" w:line="152" w:lineRule="exact"/>
        <w:rPr>
          <w:sz w:val="20"/>
          <w:szCs w:val="20"/>
          <w:color w:val="auto"/>
        </w:rPr>
      </w:pPr>
    </w:p>
    <w:p>
      <w:pPr>
        <w:ind w:left="3160"/>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ectPr>
          <w:pgSz w:w="11900" w:h="16838" w:orient="portrait"/>
          <w:cols w:equalWidth="0" w:num="1">
            <w:col w:w="10159"/>
          </w:cols>
          <w:pgMar w:left="300" w:top="383" w:right="1440"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42545"/>
                    </a:xfrm>
                    <a:prstGeom prst="rect">
                      <a:avLst/>
                    </a:prstGeom>
                    <a:noFill/>
                  </pic:spPr>
                </pic:pic>
              </a:graphicData>
            </a:graphic>
          </wp:anchor>
        </w:drawing>
        <w:t>Table of Contents</w:t>
      </w:r>
    </w:p>
    <w:p>
      <w:pPr>
        <w:spacing w:after="0" w:line="210" w:lineRule="exact"/>
        <w:rPr>
          <w:sz w:val="20"/>
          <w:szCs w:val="20"/>
          <w:color w:val="auto"/>
        </w:rPr>
      </w:pPr>
    </w:p>
    <w:p>
      <w:pPr>
        <w:ind w:left="1780"/>
        <w:spacing w:after="0"/>
        <w:rPr>
          <w:sz w:val="20"/>
          <w:szCs w:val="20"/>
          <w:color w:val="auto"/>
        </w:rPr>
      </w:pPr>
      <w:r>
        <w:rPr>
          <w:rFonts w:ascii="Arial" w:cs="Arial" w:eastAsia="Arial" w:hAnsi="Arial"/>
          <w:sz w:val="13"/>
          <w:szCs w:val="13"/>
          <w:b w:val="1"/>
          <w:bCs w:val="1"/>
          <w:color w:val="auto"/>
        </w:rPr>
        <w:t>Unaudited Condensed Consolidated Statement of Changes in Shareholders’ equity of Immatics N.V.</w:t>
      </w:r>
    </w:p>
    <w:p>
      <w:pPr>
        <w:spacing w:after="0" w:line="160" w:lineRule="exact"/>
        <w:rPr>
          <w:sz w:val="20"/>
          <w:szCs w:val="20"/>
          <w:color w:val="auto"/>
        </w:rPr>
      </w:pPr>
    </w:p>
    <w:tbl>
      <w:tblPr>
        <w:tblLayout w:type="fixed"/>
        <w:tblInd w:w="1780" w:type="dxa"/>
        <w:tblCellMar>
          <w:top w:w="0" w:type="dxa"/>
          <w:left w:w="0" w:type="dxa"/>
          <w:bottom w:w="0" w:type="dxa"/>
          <w:right w:w="0" w:type="dxa"/>
        </w:tblCellMar>
      </w:tblPr>
      <w:tr>
        <w:trPr>
          <w:trHeight w:val="115"/>
        </w:trPr>
        <w:tc>
          <w:tcPr>
            <w:tcW w:w="90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04"/>
        </w:trPr>
        <w:tc>
          <w:tcPr>
            <w:tcW w:w="900" w:type="dxa"/>
            <w:vAlign w:val="bottom"/>
          </w:tcPr>
          <w:p>
            <w:pPr>
              <w:spacing w:after="0"/>
              <w:rPr>
                <w:sz w:val="9"/>
                <w:szCs w:val="9"/>
                <w:color w:val="auto"/>
              </w:rPr>
            </w:pPr>
          </w:p>
        </w:tc>
        <w:tc>
          <w:tcPr>
            <w:tcW w:w="3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gridSpan w:val="2"/>
          </w:tcPr>
          <w:p>
            <w:pPr>
              <w:jc w:val="center"/>
              <w:ind w:right="80"/>
              <w:spacing w:after="0" w:line="104" w:lineRule="exact"/>
              <w:rPr>
                <w:sz w:val="20"/>
                <w:szCs w:val="20"/>
                <w:color w:val="auto"/>
              </w:rPr>
            </w:pPr>
            <w:r>
              <w:rPr>
                <w:rFonts w:ascii="Arial" w:cs="Arial" w:eastAsia="Arial" w:hAnsi="Arial"/>
                <w:sz w:val="10"/>
                <w:szCs w:val="10"/>
                <w:b w:val="1"/>
                <w:bCs w:val="1"/>
                <w:color w:val="auto"/>
                <w:w w:val="86"/>
              </w:rPr>
              <w:t>share-</w:t>
            </w:r>
          </w:p>
        </w:tc>
        <w:tc>
          <w:tcPr>
            <w:tcW w:w="0" w:type="dxa"/>
            <w:vAlign w:val="bottom"/>
          </w:tcPr>
          <w:p>
            <w:pPr>
              <w:spacing w:after="0"/>
              <w:rPr>
                <w:sz w:val="1"/>
                <w:szCs w:val="1"/>
                <w:color w:val="auto"/>
              </w:rPr>
            </w:pPr>
          </w:p>
        </w:tc>
      </w:tr>
      <w:tr>
        <w:trPr>
          <w:trHeight w:val="104"/>
        </w:trPr>
        <w:tc>
          <w:tcPr>
            <w:tcW w:w="900" w:type="dxa"/>
            <w:vAlign w:val="bottom"/>
            <w:vMerge w:val="restart"/>
          </w:tcPr>
          <w:p>
            <w:pPr>
              <w:spacing w:after="0"/>
              <w:rPr>
                <w:sz w:val="20"/>
                <w:szCs w:val="20"/>
                <w:color w:val="auto"/>
              </w:rPr>
            </w:pPr>
            <w:r>
              <w:rPr>
                <w:rFonts w:ascii="Arial" w:cs="Arial" w:eastAsia="Arial" w:hAnsi="Arial"/>
                <w:sz w:val="10"/>
                <w:szCs w:val="10"/>
                <w:b w:val="1"/>
                <w:bCs w:val="1"/>
                <w:color w:val="auto"/>
                <w:w w:val="87"/>
              </w:rPr>
              <w:t>(Euros in thousands)</w:t>
            </w:r>
          </w:p>
        </w:tc>
        <w:tc>
          <w:tcPr>
            <w:tcW w:w="3720" w:type="dxa"/>
            <w:vAlign w:val="bottom"/>
            <w:vMerge w:val="restart"/>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gridSpan w:val="3"/>
          </w:tcPr>
          <w:p>
            <w:pPr>
              <w:ind w:left="20"/>
              <w:spacing w:after="0" w:line="104" w:lineRule="exact"/>
              <w:rPr>
                <w:sz w:val="20"/>
                <w:szCs w:val="20"/>
                <w:color w:val="auto"/>
              </w:rPr>
            </w:pPr>
            <w:r>
              <w:rPr>
                <w:rFonts w:ascii="Arial" w:cs="Arial" w:eastAsia="Arial" w:hAnsi="Arial"/>
                <w:sz w:val="10"/>
                <w:szCs w:val="10"/>
                <w:b w:val="1"/>
                <w:bCs w:val="1"/>
                <w:color w:val="auto"/>
              </w:rPr>
              <w:t>Share</w:t>
            </w:r>
          </w:p>
        </w:tc>
        <w:tc>
          <w:tcPr>
            <w:tcW w:w="560" w:type="dxa"/>
            <w:vAlign w:val="bottom"/>
            <w:gridSpan w:val="2"/>
          </w:tcPr>
          <w:p>
            <w:pPr>
              <w:ind w:left="100"/>
              <w:spacing w:after="0" w:line="104" w:lineRule="exact"/>
              <w:rPr>
                <w:sz w:val="20"/>
                <w:szCs w:val="20"/>
                <w:color w:val="auto"/>
              </w:rPr>
            </w:pPr>
            <w:r>
              <w:rPr>
                <w:rFonts w:ascii="Arial" w:cs="Arial" w:eastAsia="Arial" w:hAnsi="Arial"/>
                <w:sz w:val="10"/>
                <w:szCs w:val="10"/>
                <w:b w:val="1"/>
                <w:bCs w:val="1"/>
                <w:color w:val="auto"/>
              </w:rPr>
              <w:t>Share</w:t>
            </w:r>
          </w:p>
        </w:tc>
        <w:tc>
          <w:tcPr>
            <w:tcW w:w="740" w:type="dxa"/>
            <w:vAlign w:val="bottom"/>
            <w:gridSpan w:val="2"/>
          </w:tcPr>
          <w:p>
            <w:pPr>
              <w:jc w:val="right"/>
              <w:ind w:right="160"/>
              <w:spacing w:after="0" w:line="104" w:lineRule="exact"/>
              <w:rPr>
                <w:sz w:val="20"/>
                <w:szCs w:val="20"/>
                <w:color w:val="auto"/>
              </w:rPr>
            </w:pPr>
            <w:r>
              <w:rPr>
                <w:rFonts w:ascii="Arial" w:cs="Arial" w:eastAsia="Arial" w:hAnsi="Arial"/>
                <w:sz w:val="10"/>
                <w:szCs w:val="10"/>
                <w:b w:val="1"/>
                <w:bCs w:val="1"/>
                <w:color w:val="auto"/>
                <w:w w:val="89"/>
              </w:rPr>
              <w:t>Accumulated</w:t>
            </w:r>
          </w:p>
        </w:tc>
        <w:tc>
          <w:tcPr>
            <w:tcW w:w="520" w:type="dxa"/>
            <w:vAlign w:val="bottom"/>
            <w:gridSpan w:val="2"/>
          </w:tcPr>
          <w:p>
            <w:pPr>
              <w:ind w:left="60"/>
              <w:spacing w:after="0" w:line="104" w:lineRule="exact"/>
              <w:rPr>
                <w:sz w:val="20"/>
                <w:szCs w:val="20"/>
                <w:color w:val="auto"/>
              </w:rPr>
            </w:pPr>
            <w:r>
              <w:rPr>
                <w:rFonts w:ascii="Arial" w:cs="Arial" w:eastAsia="Arial" w:hAnsi="Arial"/>
                <w:sz w:val="10"/>
                <w:szCs w:val="10"/>
                <w:b w:val="1"/>
                <w:bCs w:val="1"/>
                <w:color w:val="auto"/>
              </w:rPr>
              <w:t>Other</w:t>
            </w:r>
          </w:p>
        </w:tc>
        <w:tc>
          <w:tcPr>
            <w:tcW w:w="540" w:type="dxa"/>
            <w:vAlign w:val="bottom"/>
            <w:gridSpan w:val="2"/>
          </w:tcPr>
          <w:p>
            <w:pPr>
              <w:jc w:val="center"/>
              <w:ind w:right="80"/>
              <w:spacing w:after="0" w:line="104" w:lineRule="exact"/>
              <w:rPr>
                <w:sz w:val="20"/>
                <w:szCs w:val="20"/>
                <w:color w:val="auto"/>
              </w:rPr>
            </w:pPr>
            <w:r>
              <w:rPr>
                <w:rFonts w:ascii="Arial" w:cs="Arial" w:eastAsia="Arial" w:hAnsi="Arial"/>
                <w:sz w:val="10"/>
                <w:szCs w:val="10"/>
                <w:b w:val="1"/>
                <w:bCs w:val="1"/>
                <w:color w:val="auto"/>
                <w:w w:val="87"/>
              </w:rPr>
              <w:t>holders’</w:t>
            </w:r>
          </w:p>
        </w:tc>
        <w:tc>
          <w:tcPr>
            <w:tcW w:w="0" w:type="dxa"/>
            <w:vAlign w:val="bottom"/>
          </w:tcPr>
          <w:p>
            <w:pPr>
              <w:spacing w:after="0"/>
              <w:rPr>
                <w:sz w:val="1"/>
                <w:szCs w:val="1"/>
                <w:color w:val="auto"/>
              </w:rPr>
            </w:pPr>
          </w:p>
        </w:tc>
      </w:tr>
      <w:tr>
        <w:trPr>
          <w:trHeight w:val="129"/>
        </w:trPr>
        <w:tc>
          <w:tcPr>
            <w:tcW w:w="900" w:type="dxa"/>
            <w:vAlign w:val="bottom"/>
            <w:tcBorders>
              <w:bottom w:val="single" w:sz="8" w:color="auto"/>
            </w:tcBorders>
            <w:vMerge w:val="continue"/>
          </w:tcPr>
          <w:p>
            <w:pPr>
              <w:spacing w:after="0"/>
              <w:rPr>
                <w:sz w:val="11"/>
                <w:szCs w:val="11"/>
                <w:color w:val="auto"/>
              </w:rPr>
            </w:pPr>
          </w:p>
        </w:tc>
        <w:tc>
          <w:tcPr>
            <w:tcW w:w="3720" w:type="dxa"/>
            <w:vAlign w:val="bottom"/>
            <w:vMerge w:val="continue"/>
          </w:tcPr>
          <w:p>
            <w:pPr>
              <w:spacing w:after="0"/>
              <w:rPr>
                <w:sz w:val="11"/>
                <w:szCs w:val="11"/>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0"/>
                <w:szCs w:val="10"/>
                <w:b w:val="1"/>
                <w:bCs w:val="1"/>
                <w:color w:val="auto"/>
              </w:rPr>
              <w:t>Notes</w:t>
            </w:r>
          </w:p>
        </w:tc>
        <w:tc>
          <w:tcPr>
            <w:tcW w:w="400" w:type="dxa"/>
            <w:vAlign w:val="bottom"/>
            <w:gridSpan w:val="3"/>
          </w:tcPr>
          <w:p>
            <w:pPr>
              <w:jc w:val="right"/>
              <w:ind w:right="120"/>
              <w:spacing w:after="0" w:line="110" w:lineRule="exact"/>
              <w:rPr>
                <w:sz w:val="20"/>
                <w:szCs w:val="20"/>
                <w:color w:val="auto"/>
              </w:rPr>
            </w:pPr>
            <w:r>
              <w:rPr>
                <w:rFonts w:ascii="Arial" w:cs="Arial" w:eastAsia="Arial" w:hAnsi="Arial"/>
                <w:sz w:val="10"/>
                <w:szCs w:val="10"/>
                <w:b w:val="1"/>
                <w:bCs w:val="1"/>
                <w:color w:val="auto"/>
                <w:w w:val="81"/>
              </w:rPr>
              <w:t>capital</w:t>
            </w:r>
          </w:p>
        </w:tc>
        <w:tc>
          <w:tcPr>
            <w:tcW w:w="560" w:type="dxa"/>
            <w:vAlign w:val="bottom"/>
            <w:gridSpan w:val="2"/>
          </w:tcPr>
          <w:p>
            <w:pPr>
              <w:ind w:left="20"/>
              <w:spacing w:after="0" w:line="110" w:lineRule="exact"/>
              <w:rPr>
                <w:sz w:val="20"/>
                <w:szCs w:val="20"/>
                <w:color w:val="auto"/>
              </w:rPr>
            </w:pPr>
            <w:r>
              <w:rPr>
                <w:rFonts w:ascii="Arial" w:cs="Arial" w:eastAsia="Arial" w:hAnsi="Arial"/>
                <w:sz w:val="10"/>
                <w:szCs w:val="10"/>
                <w:b w:val="1"/>
                <w:bCs w:val="1"/>
                <w:color w:val="auto"/>
              </w:rPr>
              <w:t>premium</w:t>
            </w:r>
          </w:p>
        </w:tc>
        <w:tc>
          <w:tcPr>
            <w:tcW w:w="740" w:type="dxa"/>
            <w:vAlign w:val="bottom"/>
            <w:gridSpan w:val="2"/>
          </w:tcPr>
          <w:p>
            <w:pPr>
              <w:jc w:val="right"/>
              <w:ind w:right="300"/>
              <w:spacing w:after="0" w:line="110" w:lineRule="exact"/>
              <w:rPr>
                <w:sz w:val="20"/>
                <w:szCs w:val="20"/>
                <w:color w:val="auto"/>
              </w:rPr>
            </w:pPr>
            <w:r>
              <w:rPr>
                <w:rFonts w:ascii="Arial" w:cs="Arial" w:eastAsia="Arial" w:hAnsi="Arial"/>
                <w:sz w:val="10"/>
                <w:szCs w:val="10"/>
                <w:b w:val="1"/>
                <w:bCs w:val="1"/>
                <w:color w:val="auto"/>
              </w:rPr>
              <w:t>deficit</w:t>
            </w:r>
          </w:p>
        </w:tc>
        <w:tc>
          <w:tcPr>
            <w:tcW w:w="520" w:type="dxa"/>
            <w:vAlign w:val="bottom"/>
            <w:gridSpan w:val="2"/>
          </w:tcPr>
          <w:p>
            <w:pPr>
              <w:spacing w:after="0" w:line="110" w:lineRule="exact"/>
              <w:rPr>
                <w:sz w:val="20"/>
                <w:szCs w:val="20"/>
                <w:color w:val="auto"/>
              </w:rPr>
            </w:pPr>
            <w:r>
              <w:rPr>
                <w:rFonts w:ascii="Arial" w:cs="Arial" w:eastAsia="Arial" w:hAnsi="Arial"/>
                <w:sz w:val="10"/>
                <w:szCs w:val="10"/>
                <w:b w:val="1"/>
                <w:bCs w:val="1"/>
                <w:color w:val="auto"/>
              </w:rPr>
              <w:t>reserves</w:t>
            </w:r>
          </w:p>
        </w:tc>
        <w:tc>
          <w:tcPr>
            <w:tcW w:w="540" w:type="dxa"/>
            <w:vAlign w:val="bottom"/>
            <w:gridSpan w:val="2"/>
          </w:tcPr>
          <w:p>
            <w:pPr>
              <w:jc w:val="center"/>
              <w:ind w:right="80"/>
              <w:spacing w:after="0" w:line="110" w:lineRule="exact"/>
              <w:rPr>
                <w:sz w:val="20"/>
                <w:szCs w:val="20"/>
                <w:color w:val="auto"/>
              </w:rPr>
            </w:pPr>
            <w:r>
              <w:rPr>
                <w:rFonts w:ascii="Arial" w:cs="Arial" w:eastAsia="Arial" w:hAnsi="Arial"/>
                <w:sz w:val="10"/>
                <w:szCs w:val="10"/>
                <w:b w:val="1"/>
                <w:bCs w:val="1"/>
                <w:color w:val="auto"/>
                <w:w w:val="88"/>
              </w:rPr>
              <w:t>equity</w:t>
            </w:r>
          </w:p>
        </w:tc>
        <w:tc>
          <w:tcPr>
            <w:tcW w:w="0" w:type="dxa"/>
            <w:vAlign w:val="bottom"/>
          </w:tcPr>
          <w:p>
            <w:pPr>
              <w:spacing w:after="0"/>
              <w:rPr>
                <w:sz w:val="1"/>
                <w:szCs w:val="1"/>
                <w:color w:val="auto"/>
              </w:rPr>
            </w:pPr>
          </w:p>
        </w:tc>
      </w:tr>
      <w:tr>
        <w:trPr>
          <w:trHeight w:val="131"/>
        </w:trPr>
        <w:tc>
          <w:tcPr>
            <w:tcW w:w="4620" w:type="dxa"/>
            <w:vAlign w:val="bottom"/>
            <w:tcBorders>
              <w:top w:val="single" w:sz="8" w:color="CCEEFF"/>
            </w:tcBorders>
            <w:gridSpan w:val="2"/>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Balance as of January 1, 2022</w:t>
            </w:r>
          </w:p>
        </w:tc>
        <w:tc>
          <w:tcPr>
            <w:tcW w:w="2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ind w:left="100"/>
              <w:spacing w:after="0" w:line="131" w:lineRule="exact"/>
              <w:rPr>
                <w:sz w:val="20"/>
                <w:szCs w:val="20"/>
                <w:color w:val="auto"/>
              </w:rPr>
            </w:pPr>
            <w:r>
              <w:rPr>
                <w:rFonts w:ascii="Arial" w:cs="Arial" w:eastAsia="Arial" w:hAnsi="Arial"/>
                <w:sz w:val="13"/>
                <w:szCs w:val="13"/>
                <w:b w:val="1"/>
                <w:bCs w:val="1"/>
                <w:color w:val="auto"/>
                <w:w w:val="73"/>
              </w:rPr>
              <w:t>629</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w w:val="93"/>
              </w:rPr>
              <w:t>565,192</w:t>
            </w: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(537,813)</w:t>
            </w:r>
          </w:p>
        </w:tc>
        <w:tc>
          <w:tcPr>
            <w:tcW w:w="16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w w:val="82"/>
              </w:rPr>
              <w:t>(3,945)</w:t>
            </w:r>
          </w:p>
        </w:tc>
        <w:tc>
          <w:tcPr>
            <w:tcW w:w="1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24,063</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4620" w:type="dxa"/>
            <w:vAlign w:val="bottom"/>
            <w:gridSpan w:val="2"/>
          </w:tcPr>
          <w:p>
            <w:pPr>
              <w:spacing w:after="0"/>
              <w:rPr>
                <w:sz w:val="20"/>
                <w:szCs w:val="20"/>
                <w:color w:val="auto"/>
              </w:rPr>
            </w:pPr>
            <w:r>
              <w:rPr>
                <w:rFonts w:ascii="Arial" w:cs="Arial" w:eastAsia="Arial" w:hAnsi="Arial"/>
                <w:sz w:val="13"/>
                <w:szCs w:val="13"/>
                <w:color w:val="auto"/>
              </w:rPr>
              <w:t>Other comprehensive income</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gridSpan w:val="3"/>
          </w:tcPr>
          <w:p>
            <w:pPr>
              <w:ind w:left="100"/>
              <w:spacing w:after="0"/>
              <w:rPr>
                <w:sz w:val="20"/>
                <w:szCs w:val="20"/>
                <w:color w:val="auto"/>
              </w:rPr>
            </w:pPr>
            <w:r>
              <w:rPr>
                <w:rFonts w:ascii="Arial" w:cs="Arial" w:eastAsia="Arial" w:hAnsi="Arial"/>
                <w:sz w:val="13"/>
                <w:szCs w:val="13"/>
                <w:color w:val="auto"/>
              </w:rPr>
              <w:t>—</w:t>
            </w:r>
          </w:p>
        </w:tc>
        <w:tc>
          <w:tcPr>
            <w:tcW w:w="56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1,338</w:t>
            </w:r>
          </w:p>
        </w:tc>
        <w:tc>
          <w:tcPr>
            <w:tcW w:w="16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1,338</w:t>
            </w:r>
          </w:p>
        </w:tc>
        <w:tc>
          <w:tcPr>
            <w:tcW w:w="0" w:type="dxa"/>
            <w:vAlign w:val="bottom"/>
          </w:tcPr>
          <w:p>
            <w:pPr>
              <w:spacing w:after="0"/>
              <w:rPr>
                <w:sz w:val="1"/>
                <w:szCs w:val="1"/>
                <w:color w:val="auto"/>
              </w:rPr>
            </w:pPr>
          </w:p>
        </w:tc>
      </w:tr>
      <w:tr>
        <w:trPr>
          <w:trHeight w:val="152"/>
        </w:trPr>
        <w:tc>
          <w:tcPr>
            <w:tcW w:w="4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profit</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71,682</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71,682</w:t>
            </w:r>
          </w:p>
        </w:tc>
        <w:tc>
          <w:tcPr>
            <w:tcW w:w="0" w:type="dxa"/>
            <w:vAlign w:val="bottom"/>
          </w:tcPr>
          <w:p>
            <w:pPr>
              <w:spacing w:after="0"/>
              <w:rPr>
                <w:sz w:val="1"/>
                <w:szCs w:val="1"/>
                <w:color w:val="auto"/>
              </w:rPr>
            </w:pPr>
          </w:p>
        </w:tc>
      </w:tr>
      <w:tr>
        <w:trPr>
          <w:trHeight w:val="152"/>
        </w:trPr>
        <w:tc>
          <w:tcPr>
            <w:tcW w:w="4620" w:type="dxa"/>
            <w:vAlign w:val="bottom"/>
            <w:gridSpan w:val="2"/>
          </w:tcPr>
          <w:p>
            <w:pPr>
              <w:spacing w:after="0"/>
              <w:rPr>
                <w:sz w:val="20"/>
                <w:szCs w:val="20"/>
                <w:color w:val="auto"/>
              </w:rPr>
            </w:pPr>
            <w:r>
              <w:rPr>
                <w:rFonts w:ascii="Arial" w:cs="Arial" w:eastAsia="Arial" w:hAnsi="Arial"/>
                <w:sz w:val="13"/>
                <w:szCs w:val="13"/>
                <w:b w:val="1"/>
                <w:bCs w:val="1"/>
                <w:color w:val="auto"/>
              </w:rPr>
              <w:t>Comprehensive income for the year</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gridSpan w:val="3"/>
          </w:tcPr>
          <w:p>
            <w:pPr>
              <w:ind w:left="100"/>
              <w:spacing w:after="0"/>
              <w:rPr>
                <w:sz w:val="20"/>
                <w:szCs w:val="20"/>
                <w:color w:val="auto"/>
              </w:rPr>
            </w:pPr>
            <w:r>
              <w:rPr>
                <w:rFonts w:ascii="Arial" w:cs="Arial" w:eastAsia="Arial" w:hAnsi="Arial"/>
                <w:sz w:val="13"/>
                <w:szCs w:val="13"/>
                <w:b w:val="1"/>
                <w:bCs w:val="1"/>
                <w:color w:val="auto"/>
              </w:rPr>
              <w:t>—</w:t>
            </w:r>
          </w:p>
        </w:tc>
        <w:tc>
          <w:tcPr>
            <w:tcW w:w="560" w:type="dxa"/>
            <w:vAlign w:val="bottom"/>
            <w:gridSpan w:val="2"/>
          </w:tcPr>
          <w:p>
            <w:pPr>
              <w:ind w:left="260"/>
              <w:spacing w:after="0"/>
              <w:rPr>
                <w:sz w:val="20"/>
                <w:szCs w:val="20"/>
                <w:color w:val="auto"/>
              </w:rPr>
            </w:pPr>
            <w:r>
              <w:rPr>
                <w:rFonts w:ascii="Arial" w:cs="Arial" w:eastAsia="Arial" w:hAnsi="Arial"/>
                <w:sz w:val="13"/>
                <w:szCs w:val="13"/>
                <w:b w:val="1"/>
                <w:bCs w:val="1"/>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71,682</w:t>
            </w:r>
          </w:p>
        </w:tc>
        <w:tc>
          <w:tcPr>
            <w:tcW w:w="360" w:type="dxa"/>
            <w:vAlign w:val="bottom"/>
          </w:tcPr>
          <w:p>
            <w:pPr>
              <w:jc w:val="right"/>
              <w:spacing w:after="0"/>
              <w:rPr>
                <w:sz w:val="20"/>
                <w:szCs w:val="20"/>
                <w:color w:val="auto"/>
              </w:rPr>
            </w:pPr>
            <w:r>
              <w:rPr>
                <w:rFonts w:ascii="Arial" w:cs="Arial" w:eastAsia="Arial" w:hAnsi="Arial"/>
                <w:sz w:val="13"/>
                <w:szCs w:val="13"/>
                <w:b w:val="1"/>
                <w:bCs w:val="1"/>
                <w:color w:val="auto"/>
              </w:rPr>
              <w:t>1,338</w:t>
            </w:r>
          </w:p>
        </w:tc>
        <w:tc>
          <w:tcPr>
            <w:tcW w:w="16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73,020</w:t>
            </w:r>
          </w:p>
        </w:tc>
        <w:tc>
          <w:tcPr>
            <w:tcW w:w="0" w:type="dxa"/>
            <w:vAlign w:val="bottom"/>
          </w:tcPr>
          <w:p>
            <w:pPr>
              <w:spacing w:after="0"/>
              <w:rPr>
                <w:sz w:val="1"/>
                <w:szCs w:val="1"/>
                <w:color w:val="auto"/>
              </w:rPr>
            </w:pPr>
          </w:p>
        </w:tc>
      </w:tr>
      <w:tr>
        <w:trPr>
          <w:trHeight w:val="152"/>
        </w:trPr>
        <w:tc>
          <w:tcPr>
            <w:tcW w:w="4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Equity-settled share-based compensation</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w:t>
            </w:r>
          </w:p>
        </w:tc>
        <w:tc>
          <w:tcPr>
            <w:tcW w:w="40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11,262</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11,262</w:t>
            </w:r>
          </w:p>
        </w:tc>
        <w:tc>
          <w:tcPr>
            <w:tcW w:w="0" w:type="dxa"/>
            <w:vAlign w:val="bottom"/>
          </w:tcPr>
          <w:p>
            <w:pPr>
              <w:spacing w:after="0"/>
              <w:rPr>
                <w:sz w:val="1"/>
                <w:szCs w:val="1"/>
                <w:color w:val="auto"/>
              </w:rPr>
            </w:pPr>
          </w:p>
        </w:tc>
      </w:tr>
      <w:tr>
        <w:trPr>
          <w:trHeight w:val="152"/>
        </w:trPr>
        <w:tc>
          <w:tcPr>
            <w:tcW w:w="4620" w:type="dxa"/>
            <w:vAlign w:val="bottom"/>
            <w:gridSpan w:val="2"/>
          </w:tcPr>
          <w:p>
            <w:pPr>
              <w:spacing w:after="0"/>
              <w:rPr>
                <w:sz w:val="20"/>
                <w:szCs w:val="20"/>
                <w:color w:val="auto"/>
              </w:rPr>
            </w:pPr>
            <w:r>
              <w:rPr>
                <w:rFonts w:ascii="Arial" w:cs="Arial" w:eastAsia="Arial" w:hAnsi="Arial"/>
                <w:sz w:val="13"/>
                <w:szCs w:val="13"/>
                <w:color w:val="auto"/>
              </w:rPr>
              <w:t>Share options exercised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gridSpan w:val="3"/>
          </w:tcPr>
          <w:p>
            <w:pPr>
              <w:ind w:left="10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2"/>
        </w:trPr>
        <w:tc>
          <w:tcPr>
            <w:tcW w:w="4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Issue of share capital – net of transaction costs</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16,571</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16,595</w:t>
            </w:r>
          </w:p>
        </w:tc>
        <w:tc>
          <w:tcPr>
            <w:tcW w:w="0" w:type="dxa"/>
            <w:vAlign w:val="bottom"/>
          </w:tcPr>
          <w:p>
            <w:pPr>
              <w:spacing w:after="0"/>
              <w:rPr>
                <w:sz w:val="1"/>
                <w:szCs w:val="1"/>
                <w:color w:val="auto"/>
              </w:rPr>
            </w:pPr>
          </w:p>
        </w:tc>
      </w:tr>
      <w:tr>
        <w:trPr>
          <w:trHeight w:val="159"/>
        </w:trPr>
        <w:tc>
          <w:tcPr>
            <w:tcW w:w="4620" w:type="dxa"/>
            <w:vAlign w:val="bottom"/>
            <w:gridSpan w:val="2"/>
          </w:tcPr>
          <w:p>
            <w:pPr>
              <w:spacing w:after="0"/>
              <w:rPr>
                <w:sz w:val="20"/>
                <w:szCs w:val="20"/>
                <w:color w:val="auto"/>
              </w:rPr>
            </w:pPr>
            <w:r>
              <w:rPr>
                <w:rFonts w:ascii="Arial" w:cs="Arial" w:eastAsia="Arial" w:hAnsi="Arial"/>
                <w:sz w:val="13"/>
                <w:szCs w:val="13"/>
                <w:b w:val="1"/>
                <w:bCs w:val="1"/>
                <w:color w:val="auto"/>
              </w:rPr>
              <w:t>Balance as of June 30, 2022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3"/>
                <w:szCs w:val="13"/>
                <w:b w:val="1"/>
                <w:bCs w:val="1"/>
                <w:color w:val="auto"/>
                <w:w w:val="73"/>
              </w:rPr>
              <w:t>653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593,026</w:t>
            </w:r>
          </w:p>
        </w:tc>
        <w:tc>
          <w:tcPr>
            <w:tcW w:w="10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(466,131)</w:t>
            </w:r>
          </w:p>
        </w:tc>
        <w:tc>
          <w:tcPr>
            <w:tcW w:w="16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(2,607</w:t>
            </w:r>
          </w:p>
        </w:tc>
        <w:tc>
          <w:tcPr>
            <w:tcW w:w="160" w:type="dxa"/>
            <w:vAlign w:val="bottom"/>
          </w:tcPr>
          <w:p>
            <w:pPr>
              <w:jc w:val="right"/>
              <w:ind w:right="37"/>
              <w:spacing w:after="0"/>
              <w:rPr>
                <w:sz w:val="20"/>
                <w:szCs w:val="20"/>
                <w:color w:val="auto"/>
              </w:rPr>
            </w:pPr>
            <w:r>
              <w:rPr>
                <w:rFonts w:ascii="Arial" w:cs="Arial" w:eastAsia="Arial" w:hAnsi="Arial"/>
                <w:sz w:val="13"/>
                <w:szCs w:val="13"/>
                <w:b w:val="1"/>
                <w:bCs w:val="1"/>
                <w:color w:val="auto"/>
                <w:w w:val="9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124,941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6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as of January 1, 2023</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3"/>
                <w:szCs w:val="13"/>
                <w:b w:val="1"/>
                <w:bCs w:val="1"/>
                <w:color w:val="auto"/>
                <w:w w:val="82"/>
              </w:rPr>
              <w:t>767</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w w:val="93"/>
              </w:rPr>
              <w:t>714,177</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(500,299)</w:t>
            </w:r>
          </w:p>
        </w:tc>
        <w:tc>
          <w:tcPr>
            <w:tcW w:w="52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97"/>
              </w:rPr>
              <w:t>(1,481)</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w w:val="93"/>
              </w:rPr>
              <w:t>213,164</w:t>
            </w:r>
          </w:p>
        </w:tc>
        <w:tc>
          <w:tcPr>
            <w:tcW w:w="0" w:type="dxa"/>
            <w:vAlign w:val="bottom"/>
          </w:tcPr>
          <w:p>
            <w:pPr>
              <w:spacing w:after="0"/>
              <w:rPr>
                <w:sz w:val="1"/>
                <w:szCs w:val="1"/>
                <w:color w:val="auto"/>
              </w:rPr>
            </w:pPr>
          </w:p>
        </w:tc>
      </w:tr>
      <w:tr>
        <w:trPr>
          <w:trHeight w:val="152"/>
        </w:trPr>
        <w:tc>
          <w:tcPr>
            <w:tcW w:w="4620" w:type="dxa"/>
            <w:vAlign w:val="bottom"/>
            <w:gridSpan w:val="2"/>
          </w:tcPr>
          <w:p>
            <w:pPr>
              <w:spacing w:after="0"/>
              <w:rPr>
                <w:sz w:val="20"/>
                <w:szCs w:val="20"/>
                <w:color w:val="auto"/>
              </w:rPr>
            </w:pPr>
            <w:r>
              <w:rPr>
                <w:rFonts w:ascii="Arial" w:cs="Arial" w:eastAsia="Arial" w:hAnsi="Arial"/>
                <w:sz w:val="13"/>
                <w:szCs w:val="13"/>
                <w:color w:val="auto"/>
              </w:rPr>
              <w:t>Other comprehensive income</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gridSpan w:val="3"/>
          </w:tcPr>
          <w:p>
            <w:pPr>
              <w:ind w:left="100"/>
              <w:spacing w:after="0"/>
              <w:rPr>
                <w:sz w:val="20"/>
                <w:szCs w:val="20"/>
                <w:color w:val="auto"/>
              </w:rPr>
            </w:pPr>
            <w:r>
              <w:rPr>
                <w:rFonts w:ascii="Arial" w:cs="Arial" w:eastAsia="Arial" w:hAnsi="Arial"/>
                <w:sz w:val="13"/>
                <w:szCs w:val="13"/>
                <w:color w:val="auto"/>
              </w:rPr>
              <w:t>—</w:t>
            </w:r>
          </w:p>
        </w:tc>
        <w:tc>
          <w:tcPr>
            <w:tcW w:w="56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60" w:type="dxa"/>
            <w:vAlign w:val="bottom"/>
          </w:tcPr>
          <w:p>
            <w:pPr>
              <w:ind w:left="180"/>
              <w:spacing w:after="0"/>
              <w:rPr>
                <w:sz w:val="20"/>
                <w:szCs w:val="20"/>
                <w:color w:val="auto"/>
              </w:rPr>
            </w:pPr>
            <w:r>
              <w:rPr>
                <w:rFonts w:ascii="Arial" w:cs="Arial" w:eastAsia="Arial" w:hAnsi="Arial"/>
                <w:sz w:val="13"/>
                <w:szCs w:val="13"/>
                <w:color w:val="auto"/>
                <w:w w:val="73"/>
              </w:rPr>
              <w:t>340</w:t>
            </w:r>
          </w:p>
        </w:tc>
        <w:tc>
          <w:tcPr>
            <w:tcW w:w="16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340</w:t>
            </w:r>
          </w:p>
        </w:tc>
        <w:tc>
          <w:tcPr>
            <w:tcW w:w="0" w:type="dxa"/>
            <w:vAlign w:val="bottom"/>
          </w:tcPr>
          <w:p>
            <w:pPr>
              <w:spacing w:after="0"/>
              <w:rPr>
                <w:sz w:val="1"/>
                <w:szCs w:val="1"/>
                <w:color w:val="auto"/>
              </w:rPr>
            </w:pPr>
          </w:p>
        </w:tc>
      </w:tr>
      <w:tr>
        <w:trPr>
          <w:trHeight w:val="152"/>
        </w:trPr>
        <w:tc>
          <w:tcPr>
            <w:tcW w:w="4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loss</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(44,357)</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w w:val="99"/>
              </w:rPr>
              <w:t>(44,357)</w:t>
            </w:r>
          </w:p>
        </w:tc>
        <w:tc>
          <w:tcPr>
            <w:tcW w:w="0" w:type="dxa"/>
            <w:vAlign w:val="bottom"/>
          </w:tcPr>
          <w:p>
            <w:pPr>
              <w:spacing w:after="0"/>
              <w:rPr>
                <w:sz w:val="1"/>
                <w:szCs w:val="1"/>
                <w:color w:val="auto"/>
              </w:rPr>
            </w:pPr>
          </w:p>
        </w:tc>
      </w:tr>
      <w:tr>
        <w:trPr>
          <w:trHeight w:val="152"/>
        </w:trPr>
        <w:tc>
          <w:tcPr>
            <w:tcW w:w="4620" w:type="dxa"/>
            <w:vAlign w:val="bottom"/>
            <w:gridSpan w:val="2"/>
          </w:tcPr>
          <w:p>
            <w:pPr>
              <w:spacing w:after="0"/>
              <w:rPr>
                <w:sz w:val="20"/>
                <w:szCs w:val="20"/>
                <w:color w:val="auto"/>
              </w:rPr>
            </w:pPr>
            <w:r>
              <w:rPr>
                <w:rFonts w:ascii="Arial" w:cs="Arial" w:eastAsia="Arial" w:hAnsi="Arial"/>
                <w:sz w:val="13"/>
                <w:szCs w:val="13"/>
                <w:b w:val="1"/>
                <w:bCs w:val="1"/>
                <w:color w:val="auto"/>
              </w:rPr>
              <w:t>Comprehensive loss for the year</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gridSpan w:val="3"/>
          </w:tcPr>
          <w:p>
            <w:pPr>
              <w:ind w:left="100"/>
              <w:spacing w:after="0"/>
              <w:rPr>
                <w:sz w:val="20"/>
                <w:szCs w:val="20"/>
                <w:color w:val="auto"/>
              </w:rPr>
            </w:pPr>
            <w:r>
              <w:rPr>
                <w:rFonts w:ascii="Arial" w:cs="Arial" w:eastAsia="Arial" w:hAnsi="Arial"/>
                <w:sz w:val="13"/>
                <w:szCs w:val="13"/>
                <w:b w:val="1"/>
                <w:bCs w:val="1"/>
                <w:color w:val="auto"/>
              </w:rPr>
              <w:t>—</w:t>
            </w:r>
          </w:p>
        </w:tc>
        <w:tc>
          <w:tcPr>
            <w:tcW w:w="560" w:type="dxa"/>
            <w:vAlign w:val="bottom"/>
            <w:gridSpan w:val="2"/>
          </w:tcPr>
          <w:p>
            <w:pPr>
              <w:ind w:left="260"/>
              <w:spacing w:after="0"/>
              <w:rPr>
                <w:sz w:val="20"/>
                <w:szCs w:val="20"/>
                <w:color w:val="auto"/>
              </w:rPr>
            </w:pPr>
            <w:r>
              <w:rPr>
                <w:rFonts w:ascii="Arial" w:cs="Arial" w:eastAsia="Arial" w:hAnsi="Arial"/>
                <w:sz w:val="13"/>
                <w:szCs w:val="13"/>
                <w:b w:val="1"/>
                <w:bCs w:val="1"/>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(44,357)</w:t>
            </w:r>
          </w:p>
        </w:tc>
        <w:tc>
          <w:tcPr>
            <w:tcW w:w="360" w:type="dxa"/>
            <w:vAlign w:val="bottom"/>
          </w:tcPr>
          <w:p>
            <w:pPr>
              <w:ind w:left="180"/>
              <w:spacing w:after="0"/>
              <w:rPr>
                <w:sz w:val="20"/>
                <w:szCs w:val="20"/>
                <w:color w:val="auto"/>
              </w:rPr>
            </w:pPr>
            <w:r>
              <w:rPr>
                <w:rFonts w:ascii="Arial" w:cs="Arial" w:eastAsia="Arial" w:hAnsi="Arial"/>
                <w:sz w:val="13"/>
                <w:szCs w:val="13"/>
                <w:b w:val="1"/>
                <w:bCs w:val="1"/>
                <w:color w:val="auto"/>
                <w:w w:val="73"/>
              </w:rPr>
              <w:t>340</w:t>
            </w:r>
          </w:p>
        </w:tc>
        <w:tc>
          <w:tcPr>
            <w:tcW w:w="16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99"/>
              </w:rPr>
              <w:t>(44,017)</w:t>
            </w:r>
          </w:p>
        </w:tc>
        <w:tc>
          <w:tcPr>
            <w:tcW w:w="0" w:type="dxa"/>
            <w:vAlign w:val="bottom"/>
          </w:tcPr>
          <w:p>
            <w:pPr>
              <w:spacing w:after="0"/>
              <w:rPr>
                <w:sz w:val="1"/>
                <w:szCs w:val="1"/>
                <w:color w:val="auto"/>
              </w:rPr>
            </w:pPr>
          </w:p>
        </w:tc>
      </w:tr>
      <w:tr>
        <w:trPr>
          <w:trHeight w:val="152"/>
        </w:trPr>
        <w:tc>
          <w:tcPr>
            <w:tcW w:w="4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Equity-settled share-based compensation</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w:t>
            </w:r>
          </w:p>
        </w:tc>
        <w:tc>
          <w:tcPr>
            <w:tcW w:w="40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11,615</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11,615</w:t>
            </w:r>
          </w:p>
        </w:tc>
        <w:tc>
          <w:tcPr>
            <w:tcW w:w="0" w:type="dxa"/>
            <w:vAlign w:val="bottom"/>
          </w:tcPr>
          <w:p>
            <w:pPr>
              <w:spacing w:after="0"/>
              <w:rPr>
                <w:sz w:val="1"/>
                <w:szCs w:val="1"/>
                <w:color w:val="auto"/>
              </w:rPr>
            </w:pPr>
          </w:p>
        </w:tc>
      </w:tr>
      <w:tr>
        <w:trPr>
          <w:trHeight w:val="152"/>
        </w:trPr>
        <w:tc>
          <w:tcPr>
            <w:tcW w:w="4620" w:type="dxa"/>
            <w:vAlign w:val="bottom"/>
            <w:gridSpan w:val="2"/>
          </w:tcPr>
          <w:p>
            <w:pPr>
              <w:spacing w:after="0"/>
              <w:rPr>
                <w:sz w:val="20"/>
                <w:szCs w:val="20"/>
                <w:color w:val="auto"/>
              </w:rPr>
            </w:pPr>
            <w:r>
              <w:rPr>
                <w:rFonts w:ascii="Arial" w:cs="Arial" w:eastAsia="Arial" w:hAnsi="Arial"/>
                <w:sz w:val="13"/>
                <w:szCs w:val="13"/>
                <w:color w:val="auto"/>
              </w:rPr>
              <w:t>Share options exercised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gridSpan w:val="3"/>
          </w:tcPr>
          <w:p>
            <w:pPr>
              <w:ind w:left="10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40</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40</w:t>
            </w:r>
          </w:p>
        </w:tc>
        <w:tc>
          <w:tcPr>
            <w:tcW w:w="0" w:type="dxa"/>
            <w:vAlign w:val="bottom"/>
          </w:tcPr>
          <w:p>
            <w:pPr>
              <w:spacing w:after="0"/>
              <w:rPr>
                <w:sz w:val="1"/>
                <w:szCs w:val="1"/>
                <w:color w:val="auto"/>
              </w:rPr>
            </w:pPr>
          </w:p>
        </w:tc>
      </w:tr>
      <w:tr>
        <w:trPr>
          <w:trHeight w:val="152"/>
        </w:trPr>
        <w:tc>
          <w:tcPr>
            <w:tcW w:w="4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Issue of share capital – net of transaction costs</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37,374</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37,411</w:t>
            </w:r>
          </w:p>
        </w:tc>
        <w:tc>
          <w:tcPr>
            <w:tcW w:w="0" w:type="dxa"/>
            <w:vAlign w:val="bottom"/>
          </w:tcPr>
          <w:p>
            <w:pPr>
              <w:spacing w:after="0"/>
              <w:rPr>
                <w:sz w:val="1"/>
                <w:szCs w:val="1"/>
                <w:color w:val="auto"/>
              </w:rPr>
            </w:pPr>
          </w:p>
        </w:tc>
      </w:tr>
      <w:tr>
        <w:trPr>
          <w:trHeight w:val="159"/>
        </w:trPr>
        <w:tc>
          <w:tcPr>
            <w:tcW w:w="4620" w:type="dxa"/>
            <w:vAlign w:val="bottom"/>
            <w:gridSpan w:val="2"/>
          </w:tcPr>
          <w:p>
            <w:pPr>
              <w:spacing w:after="0"/>
              <w:rPr>
                <w:sz w:val="20"/>
                <w:szCs w:val="20"/>
                <w:color w:val="auto"/>
              </w:rPr>
            </w:pPr>
            <w:r>
              <w:rPr>
                <w:rFonts w:ascii="Arial" w:cs="Arial" w:eastAsia="Arial" w:hAnsi="Arial"/>
                <w:sz w:val="13"/>
                <w:szCs w:val="13"/>
                <w:b w:val="1"/>
                <w:bCs w:val="1"/>
                <w:color w:val="auto"/>
              </w:rPr>
              <w:t>Balance as of June 30, 2023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3"/>
                <w:szCs w:val="13"/>
                <w:b w:val="1"/>
                <w:bCs w:val="1"/>
                <w:color w:val="auto"/>
                <w:w w:val="73"/>
              </w:rPr>
              <w:t>804</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763,206</w:t>
            </w:r>
          </w:p>
        </w:tc>
        <w:tc>
          <w:tcPr>
            <w:tcW w:w="10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(544,656)</w:t>
            </w:r>
          </w:p>
        </w:tc>
        <w:tc>
          <w:tcPr>
            <w:tcW w:w="16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(1,141</w:t>
            </w:r>
          </w:p>
        </w:tc>
        <w:tc>
          <w:tcPr>
            <w:tcW w:w="160" w:type="dxa"/>
            <w:vAlign w:val="bottom"/>
          </w:tcPr>
          <w:p>
            <w:pPr>
              <w:jc w:val="right"/>
              <w:ind w:right="37"/>
              <w:spacing w:after="0"/>
              <w:rPr>
                <w:sz w:val="20"/>
                <w:szCs w:val="20"/>
                <w:color w:val="auto"/>
              </w:rPr>
            </w:pPr>
            <w:r>
              <w:rPr>
                <w:rFonts w:ascii="Arial" w:cs="Arial" w:eastAsia="Arial" w:hAnsi="Arial"/>
                <w:sz w:val="13"/>
                <w:szCs w:val="13"/>
                <w:b w:val="1"/>
                <w:bCs w:val="1"/>
                <w:color w:val="auto"/>
                <w:w w:val="9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218,213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3160"/>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ectPr>
          <w:pgSz w:w="11900" w:h="16838" w:orient="portrait"/>
          <w:cols w:equalWidth="0" w:num="1">
            <w:col w:w="10159"/>
          </w:cols>
          <w:pgMar w:left="300" w:top="383" w:right="1440" w:bottom="1440" w:gutter="0" w:footer="0" w:header="0"/>
        </w:sectPr>
      </w:pPr>
    </w:p>
    <w:bookmarkStart w:id="8" w:name="page9"/>
    <w:bookmarkEnd w:id="8"/>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42545"/>
                    </a:xfrm>
                    <a:prstGeom prst="rect">
                      <a:avLst/>
                    </a:prstGeom>
                    <a:noFill/>
                  </pic:spPr>
                </pic:pic>
              </a:graphicData>
            </a:graphic>
          </wp:anchor>
        </w:drawing>
        <w:t>Table of Contents</w:t>
      </w:r>
    </w:p>
    <w:p>
      <w:pPr>
        <w:spacing w:after="0" w:line="210" w:lineRule="exact"/>
        <w:rPr>
          <w:sz w:val="20"/>
          <w:szCs w:val="20"/>
          <w:color w:val="auto"/>
        </w:rPr>
      </w:pPr>
    </w:p>
    <w:p>
      <w:pPr>
        <w:ind w:left="1780"/>
        <w:spacing w:after="0"/>
        <w:rPr>
          <w:sz w:val="20"/>
          <w:szCs w:val="20"/>
          <w:color w:val="auto"/>
        </w:rPr>
      </w:pPr>
      <w:r>
        <w:rPr>
          <w:rFonts w:ascii="Arial" w:cs="Arial" w:eastAsia="Arial" w:hAnsi="Arial"/>
          <w:sz w:val="13"/>
          <w:szCs w:val="13"/>
          <w:b w:val="1"/>
          <w:bCs w:val="1"/>
          <w:color w:val="auto"/>
        </w:rPr>
        <w:t>Notes to the Unaudited Condensed Consolidated Financial Statements of Immatics N.V.</w:t>
      </w:r>
    </w:p>
    <w:p>
      <w:pPr>
        <w:spacing w:after="0" w:line="78" w:lineRule="exact"/>
        <w:rPr>
          <w:sz w:val="20"/>
          <w:szCs w:val="20"/>
          <w:color w:val="auto"/>
        </w:rPr>
      </w:pPr>
    </w:p>
    <w:p>
      <w:pPr>
        <w:ind w:left="1780"/>
        <w:spacing w:after="0"/>
        <w:rPr>
          <w:sz w:val="20"/>
          <w:szCs w:val="20"/>
          <w:color w:val="auto"/>
        </w:rPr>
      </w:pPr>
      <w:r>
        <w:rPr>
          <w:rFonts w:ascii="Arial" w:cs="Arial" w:eastAsia="Arial" w:hAnsi="Arial"/>
          <w:sz w:val="13"/>
          <w:szCs w:val="13"/>
          <w:b w:val="1"/>
          <w:bCs w:val="1"/>
          <w:color w:val="auto"/>
        </w:rPr>
        <w:t>1. Group information</w:t>
      </w:r>
    </w:p>
    <w:p>
      <w:pPr>
        <w:spacing w:after="0" w:line="82" w:lineRule="exact"/>
        <w:rPr>
          <w:sz w:val="20"/>
          <w:szCs w:val="20"/>
          <w:color w:val="auto"/>
        </w:rPr>
      </w:pPr>
    </w:p>
    <w:p>
      <w:pPr>
        <w:ind w:left="1780" w:right="759"/>
        <w:spacing w:after="0" w:line="247" w:lineRule="auto"/>
        <w:rPr>
          <w:sz w:val="20"/>
          <w:szCs w:val="20"/>
          <w:color w:val="auto"/>
        </w:rPr>
      </w:pPr>
      <w:r>
        <w:rPr>
          <w:rFonts w:ascii="Arial" w:cs="Arial" w:eastAsia="Arial" w:hAnsi="Arial"/>
          <w:sz w:val="13"/>
          <w:szCs w:val="13"/>
          <w:color w:val="auto"/>
        </w:rPr>
        <w:t>Immatics N.V., together with its German subsidiary Immatics Biotechnologies GmbH and its U.S. subsidiary, Immatics US Inc., (“Immatics” or “the Group”) is a biotechnology group that is primarily engaged in the research and development of T cell redirecting immunotherapies for the treatment of cancer. Immatics N.V., a Dutch public limited liability company, was converted on July 1, 2020 from Immatics B.V., a Dutch company with limited liability. Immatics Biotechnologies GmbH (“Immatics GmbH”) and Immatics US Inc. became wholly-owned subsidiaries of Immatics N.V. as part of the ARYA Merger on July 1, 2020.</w:t>
      </w:r>
    </w:p>
    <w:p>
      <w:pPr>
        <w:spacing w:after="0" w:line="141" w:lineRule="exact"/>
        <w:rPr>
          <w:sz w:val="20"/>
          <w:szCs w:val="20"/>
          <w:color w:val="auto"/>
        </w:rPr>
      </w:pPr>
    </w:p>
    <w:p>
      <w:pPr>
        <w:ind w:left="1780" w:right="919"/>
        <w:spacing w:after="0" w:line="261" w:lineRule="auto"/>
        <w:rPr>
          <w:sz w:val="20"/>
          <w:szCs w:val="20"/>
          <w:color w:val="auto"/>
        </w:rPr>
      </w:pPr>
      <w:r>
        <w:rPr>
          <w:rFonts w:ascii="Arial" w:cs="Arial" w:eastAsia="Arial" w:hAnsi="Arial"/>
          <w:sz w:val="13"/>
          <w:szCs w:val="13"/>
          <w:color w:val="auto"/>
        </w:rPr>
        <w:t>Immatics N.V. is registered with the commercial register at the Netherlands Chamber of Commerce under RSIN 861058926 with a corporate seat in Amsterdam and is located at Paul-Ehrlich Str. 15 in 72076 Tübingen, Germany.</w:t>
      </w:r>
    </w:p>
    <w:p>
      <w:pPr>
        <w:spacing w:after="0" w:line="130" w:lineRule="exact"/>
        <w:rPr>
          <w:sz w:val="20"/>
          <w:szCs w:val="20"/>
          <w:color w:val="auto"/>
        </w:rPr>
      </w:pPr>
    </w:p>
    <w:p>
      <w:pPr>
        <w:ind w:left="1780" w:right="719"/>
        <w:spacing w:after="0" w:line="261" w:lineRule="auto"/>
        <w:rPr>
          <w:sz w:val="20"/>
          <w:szCs w:val="20"/>
          <w:color w:val="auto"/>
        </w:rPr>
      </w:pPr>
      <w:r>
        <w:rPr>
          <w:rFonts w:ascii="Arial" w:cs="Arial" w:eastAsia="Arial" w:hAnsi="Arial"/>
          <w:sz w:val="13"/>
          <w:szCs w:val="13"/>
          <w:color w:val="auto"/>
        </w:rPr>
        <w:t>These interim condensed consolidated financial statements of the Group for the three and six months ended June 30, 2023, were authorized for issue by the Audit Committee of Immatics N.V. on August 17, 2023.</w:t>
      </w:r>
    </w:p>
    <w:p>
      <w:pPr>
        <w:spacing w:after="0" w:line="202" w:lineRule="exact"/>
        <w:rPr>
          <w:sz w:val="20"/>
          <w:szCs w:val="20"/>
          <w:color w:val="auto"/>
        </w:rPr>
      </w:pPr>
    </w:p>
    <w:p>
      <w:pPr>
        <w:ind w:left="1780"/>
        <w:spacing w:after="0"/>
        <w:rPr>
          <w:sz w:val="20"/>
          <w:szCs w:val="20"/>
          <w:color w:val="auto"/>
        </w:rPr>
      </w:pPr>
      <w:r>
        <w:rPr>
          <w:rFonts w:ascii="Arial" w:cs="Arial" w:eastAsia="Arial" w:hAnsi="Arial"/>
          <w:sz w:val="13"/>
          <w:szCs w:val="13"/>
          <w:b w:val="1"/>
          <w:bCs w:val="1"/>
          <w:color w:val="auto"/>
        </w:rPr>
        <w:t>2. Significant events and changes in the current reporting period</w:t>
      </w:r>
    </w:p>
    <w:p>
      <w:pPr>
        <w:spacing w:after="0" w:line="82" w:lineRule="exact"/>
        <w:rPr>
          <w:sz w:val="20"/>
          <w:szCs w:val="20"/>
          <w:color w:val="auto"/>
        </w:rPr>
      </w:pPr>
    </w:p>
    <w:p>
      <w:pPr>
        <w:ind w:left="1780"/>
        <w:spacing w:after="0"/>
        <w:rPr>
          <w:sz w:val="20"/>
          <w:szCs w:val="20"/>
          <w:color w:val="auto"/>
        </w:rPr>
      </w:pPr>
      <w:r>
        <w:rPr>
          <w:rFonts w:ascii="Arial" w:cs="Arial" w:eastAsia="Arial" w:hAnsi="Arial"/>
          <w:sz w:val="13"/>
          <w:szCs w:val="13"/>
          <w:color w:val="auto"/>
        </w:rPr>
        <w:t>The following significant events or transactions occurred during the three and six months ended June 30, 2023.</w:t>
      </w:r>
    </w:p>
    <w:p>
      <w:pPr>
        <w:spacing w:after="0" w:line="230" w:lineRule="exact"/>
        <w:rPr>
          <w:sz w:val="20"/>
          <w:szCs w:val="20"/>
          <w:color w:val="auto"/>
        </w:rPr>
      </w:pPr>
    </w:p>
    <w:p>
      <w:pPr>
        <w:ind w:left="1780"/>
        <w:spacing w:after="0"/>
        <w:rPr>
          <w:sz w:val="20"/>
          <w:szCs w:val="20"/>
          <w:color w:val="auto"/>
        </w:rPr>
      </w:pPr>
      <w:r>
        <w:rPr>
          <w:rFonts w:ascii="Arial" w:cs="Arial" w:eastAsia="Arial" w:hAnsi="Arial"/>
          <w:sz w:val="13"/>
          <w:szCs w:val="13"/>
          <w:i w:val="1"/>
          <w:iCs w:val="1"/>
          <w:color w:val="auto"/>
        </w:rPr>
        <w:t>Opt-In of TCR-T Candidate from ongoing collaboration with BMS</w:t>
      </w:r>
    </w:p>
    <w:p>
      <w:pPr>
        <w:spacing w:after="0" w:line="78" w:lineRule="exact"/>
        <w:rPr>
          <w:sz w:val="20"/>
          <w:szCs w:val="20"/>
          <w:color w:val="auto"/>
        </w:rPr>
      </w:pPr>
    </w:p>
    <w:p>
      <w:pPr>
        <w:ind w:left="1780" w:right="899"/>
        <w:spacing w:after="0" w:line="252" w:lineRule="auto"/>
        <w:rPr>
          <w:sz w:val="20"/>
          <w:szCs w:val="20"/>
          <w:color w:val="auto"/>
        </w:rPr>
      </w:pPr>
      <w:r>
        <w:rPr>
          <w:rFonts w:ascii="Arial" w:cs="Arial" w:eastAsia="Arial" w:hAnsi="Arial"/>
          <w:sz w:val="13"/>
          <w:szCs w:val="13"/>
          <w:color w:val="auto"/>
        </w:rPr>
        <w:t>Immatics GmbH entered into a License agreement (the “BMS Opt-In agreement”) with Bristol-Myer-Squibb Company (“BMS”). The agreement became effective on April 28, 2023. Pursuant to the BMS Opt-In agreement, the Group received an option exercise fee in the amount of $15 million (€13.7 million).</w:t>
      </w:r>
    </w:p>
    <w:p>
      <w:pPr>
        <w:spacing w:after="0" w:line="136" w:lineRule="exact"/>
        <w:rPr>
          <w:sz w:val="20"/>
          <w:szCs w:val="20"/>
          <w:color w:val="auto"/>
        </w:rPr>
      </w:pPr>
    </w:p>
    <w:p>
      <w:pPr>
        <w:ind w:left="1780" w:right="899"/>
        <w:spacing w:after="0" w:line="283" w:lineRule="auto"/>
        <w:rPr>
          <w:sz w:val="20"/>
          <w:szCs w:val="20"/>
          <w:color w:val="auto"/>
        </w:rPr>
      </w:pPr>
      <w:r>
        <w:rPr>
          <w:rFonts w:ascii="Arial" w:cs="Arial" w:eastAsia="Arial" w:hAnsi="Arial"/>
          <w:sz w:val="12"/>
          <w:szCs w:val="12"/>
          <w:color w:val="auto"/>
        </w:rPr>
        <w:t>Under the 2019 agreement with BMS, Immatics granted BMS the option to enter into a pre-negotiated license agreement on a target-by-target basis. Immatics developed individual TCR-T products directed against targets under the terms of the 2019 agreement. Under the BMS Opt-In agreement signed on April 28, 2023, BMS exercised its first option and entered into an exclusive license agreement for one target.</w:t>
      </w:r>
    </w:p>
    <w:p>
      <w:pPr>
        <w:spacing w:after="0" w:line="118" w:lineRule="exact"/>
        <w:rPr>
          <w:sz w:val="20"/>
          <w:szCs w:val="20"/>
          <w:color w:val="auto"/>
        </w:rPr>
      </w:pPr>
    </w:p>
    <w:p>
      <w:pPr>
        <w:ind w:left="1780" w:right="759"/>
        <w:spacing w:after="0" w:line="309" w:lineRule="auto"/>
        <w:rPr>
          <w:sz w:val="20"/>
          <w:szCs w:val="20"/>
          <w:color w:val="auto"/>
        </w:rPr>
      </w:pPr>
      <w:r>
        <w:rPr>
          <w:rFonts w:ascii="Arial" w:cs="Arial" w:eastAsia="Arial" w:hAnsi="Arial"/>
          <w:sz w:val="11"/>
          <w:szCs w:val="11"/>
          <w:color w:val="auto"/>
        </w:rPr>
        <w:t>The BMS Opt-In agreement created the right for BMS to receive the exclusive license and the right for Immatics to receive the Opt-In exercise fee as well as potential future milestones and royalties. Immatics promised an additional distinct performance obligation under the Opt-in agreement which is to issue the license to BMS. The price of the contract increases by an amount of consideration that reflects the entity’s stand-alone selling price of the license. The license grants BMS a right to use the license as no further work from Immatics is required under the agreement.</w:t>
      </w:r>
    </w:p>
    <w:p>
      <w:pPr>
        <w:spacing w:after="0" w:line="107" w:lineRule="exact"/>
        <w:rPr>
          <w:sz w:val="20"/>
          <w:szCs w:val="20"/>
          <w:color w:val="auto"/>
        </w:rPr>
      </w:pPr>
    </w:p>
    <w:p>
      <w:pPr>
        <w:ind w:left="1780" w:right="819"/>
        <w:spacing w:after="0" w:line="261" w:lineRule="auto"/>
        <w:rPr>
          <w:sz w:val="20"/>
          <w:szCs w:val="20"/>
          <w:color w:val="auto"/>
        </w:rPr>
      </w:pPr>
      <w:r>
        <w:rPr>
          <w:rFonts w:ascii="Arial" w:cs="Arial" w:eastAsia="Arial" w:hAnsi="Arial"/>
          <w:sz w:val="13"/>
          <w:szCs w:val="13"/>
          <w:color w:val="auto"/>
        </w:rPr>
        <w:t>The potential milestone and royalty payments are accounted for under the most likely method. No variable payment is considered likely, therefore, no variable payments are considered as part of the transaction price.</w:t>
      </w:r>
    </w:p>
    <w:p>
      <w:pPr>
        <w:spacing w:after="0" w:line="130"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For the three and six months ended June 30, 2023, the Group recognized €13.7 million of revenue related to the BMS Opt-In agreement.</w:t>
      </w:r>
    </w:p>
    <w:p>
      <w:pPr>
        <w:spacing w:after="0" w:line="241" w:lineRule="exact"/>
        <w:rPr>
          <w:sz w:val="20"/>
          <w:szCs w:val="20"/>
          <w:color w:val="auto"/>
        </w:rPr>
      </w:pPr>
    </w:p>
    <w:p>
      <w:pPr>
        <w:ind w:left="1780"/>
        <w:spacing w:after="0"/>
        <w:rPr>
          <w:sz w:val="20"/>
          <w:szCs w:val="20"/>
          <w:color w:val="auto"/>
        </w:rPr>
      </w:pPr>
      <w:r>
        <w:rPr>
          <w:rFonts w:ascii="Arial" w:cs="Arial" w:eastAsia="Arial" w:hAnsi="Arial"/>
          <w:sz w:val="13"/>
          <w:szCs w:val="13"/>
          <w:i w:val="1"/>
          <w:iCs w:val="1"/>
          <w:color w:val="auto"/>
        </w:rPr>
        <w:t>Macroeconomic environment</w:t>
      </w:r>
    </w:p>
    <w:p>
      <w:pPr>
        <w:spacing w:after="0" w:line="78" w:lineRule="exact"/>
        <w:rPr>
          <w:sz w:val="20"/>
          <w:szCs w:val="20"/>
          <w:color w:val="auto"/>
        </w:rPr>
      </w:pPr>
    </w:p>
    <w:p>
      <w:pPr>
        <w:ind w:left="1780"/>
        <w:spacing w:after="0"/>
        <w:rPr>
          <w:sz w:val="20"/>
          <w:szCs w:val="20"/>
          <w:color w:val="auto"/>
        </w:rPr>
      </w:pPr>
      <w:r>
        <w:rPr>
          <w:rFonts w:ascii="Arial" w:cs="Arial" w:eastAsia="Arial" w:hAnsi="Arial"/>
          <w:sz w:val="13"/>
          <w:szCs w:val="13"/>
          <w:color w:val="auto"/>
        </w:rPr>
        <w:t>Currently, multiple global uncertainties are existing.</w:t>
      </w:r>
    </w:p>
    <w:p>
      <w:pPr>
        <w:spacing w:after="0" w:line="154" w:lineRule="exact"/>
        <w:rPr>
          <w:sz w:val="20"/>
          <w:szCs w:val="20"/>
          <w:color w:val="auto"/>
        </w:rPr>
      </w:pPr>
    </w:p>
    <w:p>
      <w:pPr>
        <w:ind w:left="1780" w:right="759"/>
        <w:spacing w:after="0" w:line="273" w:lineRule="auto"/>
        <w:rPr>
          <w:sz w:val="20"/>
          <w:szCs w:val="20"/>
          <w:color w:val="auto"/>
        </w:rPr>
      </w:pPr>
      <w:r>
        <w:rPr>
          <w:rFonts w:ascii="Arial" w:cs="Arial" w:eastAsia="Arial" w:hAnsi="Arial"/>
          <w:sz w:val="12"/>
          <w:szCs w:val="12"/>
          <w:color w:val="auto"/>
        </w:rPr>
        <w:t>The conflict between Russia and Ukraine has resulted, and is expected to further result, in significant disruption, instability and volatility in global markets, as well as higher energy and other commodity prices. Since the Company is not currently conducting any business or receiving any material services from vendors located in Russia or Ukraine, it does not expect that the ongoing war will have a direct impact on its operations in the near term. However, the Company may be indirectly affected by price increases or certain policy changes, such as new tax legislation, economic sanctions and comparable measures. In addition, other geopolitical instabilities might impact the Group in the future.</w:t>
      </w:r>
    </w:p>
    <w:p>
      <w:pPr>
        <w:spacing w:after="0" w:line="125" w:lineRule="exact"/>
        <w:rPr>
          <w:sz w:val="20"/>
          <w:szCs w:val="20"/>
          <w:color w:val="auto"/>
        </w:rPr>
      </w:pPr>
    </w:p>
    <w:p>
      <w:pPr>
        <w:ind w:left="1780" w:right="679"/>
        <w:spacing w:after="0" w:line="252" w:lineRule="auto"/>
        <w:rPr>
          <w:sz w:val="20"/>
          <w:szCs w:val="20"/>
          <w:color w:val="auto"/>
        </w:rPr>
      </w:pPr>
      <w:r>
        <w:rPr>
          <w:rFonts w:ascii="Arial" w:cs="Arial" w:eastAsia="Arial" w:hAnsi="Arial"/>
          <w:sz w:val="13"/>
          <w:szCs w:val="13"/>
          <w:color w:val="auto"/>
        </w:rPr>
        <w:t>During the six months ended June 30, 2023, Silicon Valley Bank and Credit Suisse, two large banks, as well as other smaller banks, were subject to liquidity problems. The Group does not hold deposits or securities with any of the affected banks. While the banking system remained stable overall, we will continue to closely monitor the situation.</w:t>
      </w:r>
    </w:p>
    <w:p>
      <w:pPr>
        <w:sectPr>
          <w:pgSz w:w="11900" w:h="16838" w:orient="portrait"/>
          <w:cols w:equalWidth="0" w:num="1">
            <w:col w:w="10159"/>
          </w:cols>
          <w:pgMar w:left="300" w:top="383" w:right="1440" w:bottom="1440" w:gutter="0" w:footer="0" w:header="0"/>
        </w:sectPr>
      </w:pPr>
    </w:p>
    <w:bookmarkStart w:id="9" w:name="page10"/>
    <w:bookmarkEnd w:id="9"/>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42545"/>
                    </a:xfrm>
                    <a:prstGeom prst="rect">
                      <a:avLst/>
                    </a:prstGeom>
                    <a:noFill/>
                  </pic:spPr>
                </pic:pic>
              </a:graphicData>
            </a:graphic>
          </wp:anchor>
        </w:drawing>
        <w:t>Table of Contents</w:t>
      </w:r>
    </w:p>
    <w:p>
      <w:pPr>
        <w:spacing w:after="0" w:line="214" w:lineRule="exact"/>
        <w:rPr>
          <w:sz w:val="20"/>
          <w:szCs w:val="20"/>
          <w:color w:val="auto"/>
        </w:rPr>
      </w:pPr>
    </w:p>
    <w:p>
      <w:pPr>
        <w:ind w:left="1780" w:right="879"/>
        <w:spacing w:after="0" w:line="261" w:lineRule="auto"/>
        <w:rPr>
          <w:sz w:val="20"/>
          <w:szCs w:val="20"/>
          <w:color w:val="auto"/>
        </w:rPr>
      </w:pPr>
      <w:r>
        <w:rPr>
          <w:rFonts w:ascii="Arial" w:cs="Arial" w:eastAsia="Arial" w:hAnsi="Arial"/>
          <w:sz w:val="13"/>
          <w:szCs w:val="13"/>
          <w:color w:val="auto"/>
        </w:rPr>
        <w:t>While there is currently no material direct risk identified for the Group from COVID-19, Immatics will continue to closely monitor the effects of the pandemic as well.</w:t>
      </w:r>
    </w:p>
    <w:p>
      <w:pPr>
        <w:spacing w:after="0" w:line="202" w:lineRule="exact"/>
        <w:rPr>
          <w:sz w:val="20"/>
          <w:szCs w:val="20"/>
          <w:color w:val="auto"/>
        </w:rPr>
      </w:pPr>
    </w:p>
    <w:p>
      <w:pPr>
        <w:ind w:left="1780" w:right="6619" w:hanging="3"/>
        <w:spacing w:after="0" w:line="399" w:lineRule="auto"/>
        <w:tabs>
          <w:tab w:leader="none" w:pos="1906"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Significant accounting policies Basis of presentation</w:t>
      </w:r>
    </w:p>
    <w:p>
      <w:pPr>
        <w:ind w:left="1780" w:right="759"/>
        <w:spacing w:after="0" w:line="283" w:lineRule="auto"/>
        <w:rPr>
          <w:sz w:val="20"/>
          <w:szCs w:val="20"/>
          <w:color w:val="auto"/>
        </w:rPr>
      </w:pPr>
      <w:r>
        <w:rPr>
          <w:rFonts w:ascii="Arial" w:cs="Arial" w:eastAsia="Arial" w:hAnsi="Arial"/>
          <w:sz w:val="12"/>
          <w:szCs w:val="12"/>
          <w:color w:val="auto"/>
        </w:rPr>
        <w:t>The interim condensed consolidated financial statements of the Group as of June 30, 2023 and for the three and six months ended June 30, 2023 and 2022 have been prepared on a going concern basis in accordance with International Accounting Standard 34 (“Interim Financial Reporting”), as issued by the International Accounting Standards Board (“IASB”) and have not been audited or reviewed by a statutory auditor.</w:t>
      </w:r>
    </w:p>
    <w:p>
      <w:pPr>
        <w:spacing w:after="0" w:line="118" w:lineRule="exact"/>
        <w:rPr>
          <w:sz w:val="20"/>
          <w:szCs w:val="20"/>
          <w:color w:val="auto"/>
        </w:rPr>
      </w:pPr>
    </w:p>
    <w:p>
      <w:pPr>
        <w:ind w:left="1780" w:right="839"/>
        <w:spacing w:after="0" w:line="271" w:lineRule="auto"/>
        <w:rPr>
          <w:sz w:val="20"/>
          <w:szCs w:val="20"/>
          <w:color w:val="auto"/>
        </w:rPr>
      </w:pPr>
      <w:r>
        <w:rPr>
          <w:rFonts w:ascii="Arial" w:cs="Arial" w:eastAsia="Arial" w:hAnsi="Arial"/>
          <w:sz w:val="12"/>
          <w:szCs w:val="12"/>
          <w:color w:val="auto"/>
        </w:rPr>
        <w:t>In accordance with IAS 34, the interim condensed consolidated financial statements do not include all the information and disclosures required in the annual financial statements and should be read in conjunction with the Group’s annual financial statements for the year ended December 31, 2022, which have been prepared in accordance with International Financial Reporting Standards (“IFRS”) as issued by the IASB, taking into account the recommendations of the International Financial Reporting Standards Interpretations Committee (“IFRS IC”). In these condensed notes to the consolidated financial statements, information is provided primarily on the items for which there have been significant changes compared with the consolidated financial statements of the Group for fiscal year 2022.</w:t>
      </w:r>
    </w:p>
    <w:p>
      <w:pPr>
        <w:spacing w:after="0" w:line="127" w:lineRule="exact"/>
        <w:rPr>
          <w:sz w:val="20"/>
          <w:szCs w:val="20"/>
          <w:color w:val="auto"/>
        </w:rPr>
      </w:pPr>
    </w:p>
    <w:p>
      <w:pPr>
        <w:ind w:left="1780"/>
        <w:spacing w:after="0"/>
        <w:rPr>
          <w:sz w:val="20"/>
          <w:szCs w:val="20"/>
          <w:color w:val="auto"/>
        </w:rPr>
      </w:pPr>
      <w:r>
        <w:rPr>
          <w:rFonts w:ascii="Arial" w:cs="Arial" w:eastAsia="Arial" w:hAnsi="Arial"/>
          <w:sz w:val="11"/>
          <w:szCs w:val="11"/>
          <w:color w:val="auto"/>
        </w:rPr>
        <w:t>The interim condensed consolidated financial statements are presented in Euros. Amounts are stated in thousands of Euros, unless otherwise indicated.</w:t>
      </w:r>
    </w:p>
    <w:p>
      <w:pPr>
        <w:spacing w:after="0" w:line="34" w:lineRule="exact"/>
        <w:rPr>
          <w:sz w:val="20"/>
          <w:szCs w:val="20"/>
          <w:color w:val="auto"/>
        </w:rPr>
      </w:pPr>
    </w:p>
    <w:p>
      <w:pPr>
        <w:ind w:left="1780"/>
        <w:spacing w:after="0"/>
        <w:rPr>
          <w:sz w:val="20"/>
          <w:szCs w:val="20"/>
          <w:color w:val="auto"/>
        </w:rPr>
      </w:pPr>
      <w:r>
        <w:rPr>
          <w:rFonts w:ascii="Arial" w:cs="Arial" w:eastAsia="Arial" w:hAnsi="Arial"/>
          <w:sz w:val="13"/>
          <w:szCs w:val="13"/>
          <w:color w:val="auto"/>
        </w:rPr>
        <w:t>For technical reasons, the information provided in these financial statements may contain rounding differences of +/- one unit.</w:t>
      </w:r>
    </w:p>
    <w:p>
      <w:pPr>
        <w:spacing w:after="0" w:line="145" w:lineRule="exact"/>
        <w:rPr>
          <w:sz w:val="20"/>
          <w:szCs w:val="20"/>
          <w:color w:val="auto"/>
        </w:rPr>
      </w:pPr>
    </w:p>
    <w:p>
      <w:pPr>
        <w:ind w:left="1780" w:right="699"/>
        <w:spacing w:after="0" w:line="247" w:lineRule="auto"/>
        <w:rPr>
          <w:sz w:val="20"/>
          <w:szCs w:val="20"/>
          <w:color w:val="auto"/>
        </w:rPr>
      </w:pPr>
      <w:r>
        <w:rPr>
          <w:rFonts w:ascii="Arial" w:cs="Arial" w:eastAsia="Arial" w:hAnsi="Arial"/>
          <w:sz w:val="13"/>
          <w:szCs w:val="13"/>
          <w:color w:val="auto"/>
        </w:rPr>
        <w:t>The accounting policies adopted in the preparation of the interim condensed consolidated financial statements are consistent with those followed in the preparation of the Group’s annual consolidated financial statements for the year ended December 31, 2022. The new and amended standards and interpretations applicable for the first time as of January 1, 2023, as disclosed in the notes to the consolidated financial statements for the year ended December 31, 2022, had no impact on the interim condensed consolidated financial statements of the Group for the three and six months ended June 30, 2023.</w:t>
      </w:r>
    </w:p>
    <w:p>
      <w:pPr>
        <w:spacing w:after="0" w:line="141" w:lineRule="exact"/>
        <w:rPr>
          <w:sz w:val="20"/>
          <w:szCs w:val="20"/>
          <w:color w:val="auto"/>
        </w:rPr>
      </w:pPr>
    </w:p>
    <w:p>
      <w:pPr>
        <w:ind w:left="1780" w:right="759"/>
        <w:spacing w:after="0" w:line="247" w:lineRule="auto"/>
        <w:rPr>
          <w:sz w:val="20"/>
          <w:szCs w:val="20"/>
          <w:color w:val="auto"/>
        </w:rPr>
      </w:pPr>
      <w:r>
        <w:rPr>
          <w:rFonts w:ascii="Arial" w:cs="Arial" w:eastAsia="Arial" w:hAnsi="Arial"/>
          <w:sz w:val="13"/>
          <w:szCs w:val="13"/>
          <w:color w:val="auto"/>
        </w:rPr>
        <w:t>Estimates and assumptions have to be made in the interim consolidated financial statements as of June 30, 2023. These have an impact on the amount and disclosure of the recognized assets and liabilities, income and expenses, and contingent liabilities. The estimates and judgments are basically unchanged from the circumstances described in the consolidated financial statements of the Group for the fiscal year 2022. Developments deviating from this may result in the amounts that arise deviating from the original estimates. These possible developments are outside the sphere of influence of the management.</w:t>
      </w:r>
    </w:p>
    <w:p>
      <w:pPr>
        <w:spacing w:after="0" w:line="212" w:lineRule="exact"/>
        <w:rPr>
          <w:sz w:val="20"/>
          <w:szCs w:val="20"/>
          <w:color w:val="auto"/>
        </w:rPr>
      </w:pPr>
    </w:p>
    <w:p>
      <w:pPr>
        <w:ind w:left="1780"/>
        <w:spacing w:after="0"/>
        <w:rPr>
          <w:sz w:val="20"/>
          <w:szCs w:val="20"/>
          <w:color w:val="auto"/>
        </w:rPr>
      </w:pPr>
      <w:r>
        <w:rPr>
          <w:rFonts w:ascii="Arial" w:cs="Arial" w:eastAsia="Arial" w:hAnsi="Arial"/>
          <w:sz w:val="13"/>
          <w:szCs w:val="13"/>
          <w:b w:val="1"/>
          <w:bCs w:val="1"/>
          <w:color w:val="auto"/>
        </w:rPr>
        <w:t>Revision of previously issued financial statements</w:t>
      </w:r>
    </w:p>
    <w:p>
      <w:pPr>
        <w:spacing w:after="0" w:line="82" w:lineRule="exact"/>
        <w:rPr>
          <w:sz w:val="20"/>
          <w:szCs w:val="20"/>
          <w:color w:val="auto"/>
        </w:rPr>
      </w:pPr>
    </w:p>
    <w:p>
      <w:pPr>
        <w:ind w:left="1780" w:right="759"/>
        <w:spacing w:after="0" w:line="273" w:lineRule="auto"/>
        <w:rPr>
          <w:sz w:val="20"/>
          <w:szCs w:val="20"/>
          <w:color w:val="auto"/>
        </w:rPr>
      </w:pPr>
      <w:r>
        <w:rPr>
          <w:rFonts w:ascii="Arial" w:cs="Arial" w:eastAsia="Arial" w:hAnsi="Arial"/>
          <w:sz w:val="12"/>
          <w:szCs w:val="12"/>
          <w:color w:val="auto"/>
        </w:rPr>
        <w:t>During the preparation of the unaudited interim consolidated financial statements for the three and nine months ended September 30, 2022, the Group identified an error in the presentation of ‘Net foreign exchange differences’ and ‘Effects of exchange rate changes on cash and cash equivalents’ in the statement of cash flows. The error resulted in a presentation of effects from exchange rate changes on non-functional currency denominated cash and cash equivalents in Immatics N.V. and Immatics GmbH as operating cash flow instead of the presentation as non-cash items in effects of exchange rate changes on cash and cash equivalents.</w:t>
      </w:r>
    </w:p>
    <w:p>
      <w:pPr>
        <w:spacing w:after="0" w:line="125" w:lineRule="exact"/>
        <w:rPr>
          <w:sz w:val="20"/>
          <w:szCs w:val="20"/>
          <w:color w:val="auto"/>
        </w:rPr>
      </w:pPr>
    </w:p>
    <w:p>
      <w:pPr>
        <w:ind w:left="1780" w:right="979"/>
        <w:spacing w:after="0" w:line="249" w:lineRule="auto"/>
        <w:rPr>
          <w:sz w:val="20"/>
          <w:szCs w:val="20"/>
          <w:color w:val="auto"/>
        </w:rPr>
      </w:pPr>
      <w:r>
        <w:rPr>
          <w:rFonts w:ascii="Arial" w:cs="Arial" w:eastAsia="Arial" w:hAnsi="Arial"/>
          <w:sz w:val="13"/>
          <w:szCs w:val="13"/>
          <w:color w:val="auto"/>
        </w:rPr>
        <w:t>This error had no impact on the Company’s consolidated statements of financial position, of profit/(loss), of comprehensive income/(loss) and of consolidated statements of changes in equity. The Company assessed the materiality of these errors on the previously issued consolidated financial statements and concluded that the errors were not material to any period presented. The impact of the revision of the previously issued financial statements is as follows:</w:t>
      </w:r>
    </w:p>
    <w:p>
      <w:pPr>
        <w:spacing w:after="0" w:line="151" w:lineRule="exact"/>
        <w:rPr>
          <w:sz w:val="20"/>
          <w:szCs w:val="20"/>
          <w:color w:val="auto"/>
        </w:rPr>
      </w:pPr>
    </w:p>
    <w:tbl>
      <w:tblPr>
        <w:tblLayout w:type="fixed"/>
        <w:tblInd w:w="2400" w:type="dxa"/>
        <w:tblCellMar>
          <w:top w:w="0" w:type="dxa"/>
          <w:left w:w="0" w:type="dxa"/>
          <w:bottom w:w="0" w:type="dxa"/>
          <w:right w:w="0" w:type="dxa"/>
        </w:tblCellMar>
      </w:tblPr>
      <w:tr>
        <w:trPr>
          <w:trHeight w:val="119"/>
        </w:trPr>
        <w:tc>
          <w:tcPr>
            <w:tcW w:w="3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80" w:type="dxa"/>
            <w:vAlign w:val="bottom"/>
            <w:gridSpan w:val="4"/>
          </w:tcPr>
          <w:p>
            <w:pPr>
              <w:jc w:val="right"/>
              <w:ind w:right="400"/>
              <w:spacing w:after="0"/>
              <w:rPr>
                <w:sz w:val="20"/>
                <w:szCs w:val="20"/>
                <w:color w:val="auto"/>
              </w:rPr>
            </w:pPr>
            <w:r>
              <w:rPr>
                <w:rFonts w:ascii="Arial" w:cs="Arial" w:eastAsia="Arial" w:hAnsi="Arial"/>
                <w:sz w:val="10"/>
                <w:szCs w:val="10"/>
                <w:b w:val="1"/>
                <w:bCs w:val="1"/>
                <w:color w:val="auto"/>
              </w:rPr>
              <w:t>Six months ended June 30, 2022</w:t>
            </w:r>
          </w:p>
        </w:tc>
      </w:tr>
      <w:tr>
        <w:trPr>
          <w:trHeight w:val="94"/>
        </w:trPr>
        <w:tc>
          <w:tcPr>
            <w:tcW w:w="3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Borders>
              <w:top w:val="single" w:sz="8" w:color="auto"/>
            </w:tcBorders>
          </w:tcPr>
          <w:p>
            <w:pPr>
              <w:jc w:val="right"/>
              <w:ind w:right="89"/>
              <w:spacing w:after="0" w:line="94" w:lineRule="exact"/>
              <w:rPr>
                <w:sz w:val="20"/>
                <w:szCs w:val="20"/>
                <w:color w:val="auto"/>
              </w:rPr>
            </w:pPr>
            <w:r>
              <w:rPr>
                <w:rFonts w:ascii="Arial" w:cs="Arial" w:eastAsia="Arial" w:hAnsi="Arial"/>
                <w:sz w:val="10"/>
                <w:szCs w:val="10"/>
                <w:b w:val="1"/>
                <w:bCs w:val="1"/>
                <w:color w:val="auto"/>
                <w:w w:val="89"/>
              </w:rPr>
              <w:t>As reported</w:t>
            </w:r>
          </w:p>
        </w:tc>
        <w:tc>
          <w:tcPr>
            <w:tcW w:w="780" w:type="dxa"/>
            <w:vAlign w:val="bottom"/>
            <w:tcBorders>
              <w:top w:val="single" w:sz="8" w:color="auto"/>
            </w:tcBorders>
          </w:tcPr>
          <w:p>
            <w:pPr>
              <w:jc w:val="right"/>
              <w:ind w:right="98"/>
              <w:spacing w:after="0" w:line="94" w:lineRule="exact"/>
              <w:rPr>
                <w:sz w:val="20"/>
                <w:szCs w:val="20"/>
                <w:color w:val="auto"/>
              </w:rPr>
            </w:pPr>
            <w:r>
              <w:rPr>
                <w:rFonts w:ascii="Arial" w:cs="Arial" w:eastAsia="Arial" w:hAnsi="Arial"/>
                <w:sz w:val="10"/>
                <w:szCs w:val="10"/>
                <w:b w:val="1"/>
                <w:bCs w:val="1"/>
                <w:color w:val="auto"/>
              </w:rPr>
              <w:t>Adjustment</w:t>
            </w:r>
          </w:p>
        </w:tc>
        <w:tc>
          <w:tcPr>
            <w:tcW w:w="560" w:type="dxa"/>
            <w:vAlign w:val="bottom"/>
            <w:tcBorders>
              <w:top w:val="single" w:sz="8" w:color="auto"/>
            </w:tcBorders>
          </w:tcPr>
          <w:p>
            <w:pPr>
              <w:jc w:val="right"/>
              <w:spacing w:after="0" w:line="94" w:lineRule="exact"/>
              <w:rPr>
                <w:sz w:val="20"/>
                <w:szCs w:val="20"/>
                <w:color w:val="auto"/>
              </w:rPr>
            </w:pPr>
            <w:r>
              <w:rPr>
                <w:rFonts w:ascii="Arial" w:cs="Arial" w:eastAsia="Arial" w:hAnsi="Arial"/>
                <w:sz w:val="10"/>
                <w:szCs w:val="10"/>
                <w:b w:val="1"/>
                <w:bCs w:val="1"/>
                <w:color w:val="auto"/>
              </w:rPr>
              <w:t>As revised</w:t>
            </w:r>
          </w:p>
        </w:tc>
        <w:tc>
          <w:tcPr>
            <w:tcW w:w="80" w:type="dxa"/>
            <w:vAlign w:val="bottom"/>
          </w:tcPr>
          <w:p>
            <w:pPr>
              <w:spacing w:after="0"/>
              <w:rPr>
                <w:sz w:val="8"/>
                <w:szCs w:val="8"/>
                <w:color w:val="auto"/>
              </w:rPr>
            </w:pPr>
          </w:p>
        </w:tc>
      </w:tr>
      <w:tr>
        <w:trPr>
          <w:trHeight w:val="152"/>
        </w:trPr>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Net foreign exchange differences and expected credit losses</w:t>
            </w:r>
          </w:p>
        </w:tc>
        <w:tc>
          <w:tcPr>
            <w:tcW w:w="1300" w:type="dxa"/>
            <w:vAlign w:val="bottom"/>
            <w:gridSpan w:val="2"/>
            <w:shd w:val="clear" w:color="auto" w:fill="CCEEFF"/>
          </w:tcPr>
          <w:p>
            <w:pPr>
              <w:jc w:val="right"/>
              <w:ind w:right="89"/>
              <w:spacing w:after="0"/>
              <w:rPr>
                <w:sz w:val="20"/>
                <w:szCs w:val="20"/>
                <w:color w:val="auto"/>
              </w:rPr>
            </w:pPr>
            <w:r>
              <w:rPr>
                <w:rFonts w:ascii="Arial" w:cs="Arial" w:eastAsia="Arial" w:hAnsi="Arial"/>
                <w:sz w:val="13"/>
                <w:szCs w:val="13"/>
                <w:color w:val="auto"/>
              </w:rPr>
              <w:t>115</w:t>
            </w: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(7,949)</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(7,834)</w:t>
            </w:r>
          </w:p>
        </w:tc>
      </w:tr>
      <w:tr>
        <w:trPr>
          <w:trHeight w:val="152"/>
        </w:trPr>
        <w:tc>
          <w:tcPr>
            <w:tcW w:w="3780" w:type="dxa"/>
            <w:vAlign w:val="bottom"/>
          </w:tcPr>
          <w:p>
            <w:pPr>
              <w:spacing w:after="0"/>
              <w:rPr>
                <w:sz w:val="20"/>
                <w:szCs w:val="20"/>
                <w:color w:val="auto"/>
              </w:rPr>
            </w:pPr>
            <w:r>
              <w:rPr>
                <w:rFonts w:ascii="Arial" w:cs="Arial" w:eastAsia="Arial" w:hAnsi="Arial"/>
                <w:sz w:val="13"/>
                <w:szCs w:val="13"/>
                <w:b w:val="1"/>
                <w:bCs w:val="1"/>
                <w:color w:val="auto"/>
              </w:rPr>
              <w:t>Net cash provided by/(used in) operating activities</w:t>
            </w:r>
          </w:p>
        </w:tc>
        <w:tc>
          <w:tcPr>
            <w:tcW w:w="1300" w:type="dxa"/>
            <w:vAlign w:val="bottom"/>
            <w:gridSpan w:val="2"/>
          </w:tcPr>
          <w:p>
            <w:pPr>
              <w:jc w:val="right"/>
              <w:ind w:right="89"/>
              <w:spacing w:after="0"/>
              <w:rPr>
                <w:sz w:val="20"/>
                <w:szCs w:val="20"/>
                <w:color w:val="auto"/>
              </w:rPr>
            </w:pPr>
            <w:r>
              <w:rPr>
                <w:rFonts w:ascii="Arial" w:cs="Arial" w:eastAsia="Arial" w:hAnsi="Arial"/>
                <w:sz w:val="13"/>
                <w:szCs w:val="13"/>
                <w:color w:val="auto"/>
              </w:rPr>
              <w:t>163,722</w:t>
            </w: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(7,949)</w:t>
            </w:r>
          </w:p>
        </w:tc>
        <w:tc>
          <w:tcPr>
            <w:tcW w:w="560" w:type="dxa"/>
            <w:vAlign w:val="bottom"/>
          </w:tcPr>
          <w:p>
            <w:pPr>
              <w:jc w:val="right"/>
              <w:spacing w:after="0"/>
              <w:rPr>
                <w:sz w:val="20"/>
                <w:szCs w:val="20"/>
                <w:color w:val="auto"/>
              </w:rPr>
            </w:pPr>
            <w:r>
              <w:rPr>
                <w:rFonts w:ascii="Arial" w:cs="Arial" w:eastAsia="Arial" w:hAnsi="Arial"/>
                <w:sz w:val="13"/>
                <w:szCs w:val="13"/>
                <w:color w:val="auto"/>
              </w:rPr>
              <w:t>155,773</w:t>
            </w:r>
          </w:p>
        </w:tc>
        <w:tc>
          <w:tcPr>
            <w:tcW w:w="80" w:type="dxa"/>
            <w:vAlign w:val="bottom"/>
          </w:tcPr>
          <w:p>
            <w:pPr>
              <w:spacing w:after="0"/>
              <w:rPr>
                <w:sz w:val="13"/>
                <w:szCs w:val="13"/>
                <w:color w:val="auto"/>
              </w:rPr>
            </w:pPr>
          </w:p>
        </w:tc>
      </w:tr>
      <w:tr>
        <w:trPr>
          <w:trHeight w:val="152"/>
        </w:trPr>
        <w:tc>
          <w:tcPr>
            <w:tcW w:w="3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cash (used in)/provided by investing activities</w:t>
            </w:r>
          </w:p>
        </w:tc>
        <w:tc>
          <w:tcPr>
            <w:tcW w:w="1300" w:type="dxa"/>
            <w:vAlign w:val="bottom"/>
            <w:gridSpan w:val="2"/>
            <w:shd w:val="clear" w:color="auto" w:fill="CCEEFF"/>
          </w:tcPr>
          <w:p>
            <w:pPr>
              <w:jc w:val="right"/>
              <w:ind w:right="49"/>
              <w:spacing w:after="0"/>
              <w:rPr>
                <w:sz w:val="20"/>
                <w:szCs w:val="20"/>
                <w:color w:val="auto"/>
              </w:rPr>
            </w:pPr>
            <w:r>
              <w:rPr>
                <w:rFonts w:ascii="Arial" w:cs="Arial" w:eastAsia="Arial" w:hAnsi="Arial"/>
                <w:sz w:val="13"/>
                <w:szCs w:val="13"/>
                <w:color w:val="auto"/>
              </w:rPr>
              <w:t>(48,528)</w:t>
            </w:r>
          </w:p>
        </w:tc>
        <w:tc>
          <w:tcPr>
            <w:tcW w:w="780" w:type="dxa"/>
            <w:vAlign w:val="bottom"/>
            <w:shd w:val="clear" w:color="auto" w:fill="CCEEFF"/>
          </w:tcPr>
          <w:p>
            <w:pPr>
              <w:jc w:val="right"/>
              <w:ind w:right="158"/>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(48,528)</w:t>
            </w:r>
          </w:p>
        </w:tc>
      </w:tr>
      <w:tr>
        <w:trPr>
          <w:trHeight w:val="152"/>
        </w:trPr>
        <w:tc>
          <w:tcPr>
            <w:tcW w:w="3780" w:type="dxa"/>
            <w:vAlign w:val="bottom"/>
          </w:tcPr>
          <w:p>
            <w:pPr>
              <w:spacing w:after="0"/>
              <w:rPr>
                <w:sz w:val="20"/>
                <w:szCs w:val="20"/>
                <w:color w:val="auto"/>
              </w:rPr>
            </w:pPr>
            <w:r>
              <w:rPr>
                <w:rFonts w:ascii="Arial" w:cs="Arial" w:eastAsia="Arial" w:hAnsi="Arial"/>
                <w:sz w:val="13"/>
                <w:szCs w:val="13"/>
                <w:b w:val="1"/>
                <w:bCs w:val="1"/>
                <w:color w:val="auto"/>
              </w:rPr>
              <w:t>Net cash (used in)/provided by financing activities</w:t>
            </w:r>
          </w:p>
        </w:tc>
        <w:tc>
          <w:tcPr>
            <w:tcW w:w="1300" w:type="dxa"/>
            <w:vAlign w:val="bottom"/>
            <w:gridSpan w:val="2"/>
          </w:tcPr>
          <w:p>
            <w:pPr>
              <w:jc w:val="right"/>
              <w:ind w:right="89"/>
              <w:spacing w:after="0"/>
              <w:rPr>
                <w:sz w:val="20"/>
                <w:szCs w:val="20"/>
                <w:color w:val="auto"/>
              </w:rPr>
            </w:pPr>
            <w:r>
              <w:rPr>
                <w:rFonts w:ascii="Arial" w:cs="Arial" w:eastAsia="Arial" w:hAnsi="Arial"/>
                <w:sz w:val="13"/>
                <w:szCs w:val="13"/>
                <w:color w:val="auto"/>
              </w:rPr>
              <w:t>15,203</w:t>
            </w:r>
          </w:p>
        </w:tc>
        <w:tc>
          <w:tcPr>
            <w:tcW w:w="780" w:type="dxa"/>
            <w:vAlign w:val="bottom"/>
          </w:tcPr>
          <w:p>
            <w:pPr>
              <w:jc w:val="right"/>
              <w:ind w:right="158"/>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15,203</w:t>
            </w:r>
          </w:p>
        </w:tc>
        <w:tc>
          <w:tcPr>
            <w:tcW w:w="80" w:type="dxa"/>
            <w:vAlign w:val="bottom"/>
          </w:tcPr>
          <w:p>
            <w:pPr>
              <w:spacing w:after="0"/>
              <w:rPr>
                <w:sz w:val="13"/>
                <w:szCs w:val="13"/>
                <w:color w:val="auto"/>
              </w:rPr>
            </w:pPr>
          </w:p>
        </w:tc>
      </w:tr>
      <w:tr>
        <w:trPr>
          <w:trHeight w:val="152"/>
        </w:trPr>
        <w:tc>
          <w:tcPr>
            <w:tcW w:w="3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increase/(decrease) in cash and cash equivalents</w:t>
            </w:r>
          </w:p>
        </w:tc>
        <w:tc>
          <w:tcPr>
            <w:tcW w:w="1300" w:type="dxa"/>
            <w:vAlign w:val="bottom"/>
            <w:gridSpan w:val="2"/>
            <w:shd w:val="clear" w:color="auto" w:fill="CCEEFF"/>
          </w:tcPr>
          <w:p>
            <w:pPr>
              <w:jc w:val="right"/>
              <w:ind w:right="89"/>
              <w:spacing w:after="0"/>
              <w:rPr>
                <w:sz w:val="20"/>
                <w:szCs w:val="20"/>
                <w:color w:val="auto"/>
              </w:rPr>
            </w:pPr>
            <w:r>
              <w:rPr>
                <w:rFonts w:ascii="Arial" w:cs="Arial" w:eastAsia="Arial" w:hAnsi="Arial"/>
                <w:sz w:val="13"/>
                <w:szCs w:val="13"/>
                <w:color w:val="auto"/>
              </w:rPr>
              <w:t>130,397</w:t>
            </w: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(7,949)</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122,448</w:t>
            </w:r>
          </w:p>
        </w:tc>
        <w:tc>
          <w:tcPr>
            <w:tcW w:w="80" w:type="dxa"/>
            <w:vAlign w:val="bottom"/>
            <w:shd w:val="clear" w:color="auto" w:fill="CCEEFF"/>
          </w:tcPr>
          <w:p>
            <w:pPr>
              <w:spacing w:after="0"/>
              <w:rPr>
                <w:sz w:val="13"/>
                <w:szCs w:val="13"/>
                <w:color w:val="auto"/>
              </w:rPr>
            </w:pPr>
          </w:p>
        </w:tc>
      </w:tr>
      <w:tr>
        <w:trPr>
          <w:trHeight w:val="152"/>
        </w:trPr>
        <w:tc>
          <w:tcPr>
            <w:tcW w:w="3780" w:type="dxa"/>
            <w:vAlign w:val="bottom"/>
          </w:tcPr>
          <w:p>
            <w:pPr>
              <w:spacing w:after="0"/>
              <w:rPr>
                <w:sz w:val="20"/>
                <w:szCs w:val="20"/>
                <w:color w:val="auto"/>
              </w:rPr>
            </w:pPr>
            <w:r>
              <w:rPr>
                <w:rFonts w:ascii="Arial" w:cs="Arial" w:eastAsia="Arial" w:hAnsi="Arial"/>
                <w:sz w:val="13"/>
                <w:szCs w:val="13"/>
                <w:b w:val="1"/>
                <w:bCs w:val="1"/>
                <w:color w:val="auto"/>
              </w:rPr>
              <w:t>Cash and cash equivalents at beginning of period</w:t>
            </w:r>
          </w:p>
        </w:tc>
        <w:tc>
          <w:tcPr>
            <w:tcW w:w="1300" w:type="dxa"/>
            <w:vAlign w:val="bottom"/>
            <w:gridSpan w:val="2"/>
          </w:tcPr>
          <w:p>
            <w:pPr>
              <w:jc w:val="right"/>
              <w:ind w:right="89"/>
              <w:spacing w:after="0"/>
              <w:rPr>
                <w:sz w:val="20"/>
                <w:szCs w:val="20"/>
                <w:color w:val="auto"/>
              </w:rPr>
            </w:pPr>
            <w:r>
              <w:rPr>
                <w:rFonts w:ascii="Arial" w:cs="Arial" w:eastAsia="Arial" w:hAnsi="Arial"/>
                <w:sz w:val="13"/>
                <w:szCs w:val="13"/>
                <w:color w:val="auto"/>
              </w:rPr>
              <w:t>132,994</w:t>
            </w:r>
          </w:p>
        </w:tc>
        <w:tc>
          <w:tcPr>
            <w:tcW w:w="780" w:type="dxa"/>
            <w:vAlign w:val="bottom"/>
          </w:tcPr>
          <w:p>
            <w:pPr>
              <w:jc w:val="right"/>
              <w:ind w:right="158"/>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132,994</w:t>
            </w:r>
          </w:p>
        </w:tc>
        <w:tc>
          <w:tcPr>
            <w:tcW w:w="80" w:type="dxa"/>
            <w:vAlign w:val="bottom"/>
          </w:tcPr>
          <w:p>
            <w:pPr>
              <w:spacing w:after="0"/>
              <w:rPr>
                <w:sz w:val="13"/>
                <w:szCs w:val="13"/>
                <w:color w:val="auto"/>
              </w:rPr>
            </w:pPr>
          </w:p>
        </w:tc>
      </w:tr>
      <w:tr>
        <w:trPr>
          <w:trHeight w:val="152"/>
        </w:trPr>
        <w:tc>
          <w:tcPr>
            <w:tcW w:w="3780" w:type="dxa"/>
            <w:vAlign w:val="bottom"/>
            <w:shd w:val="clear" w:color="auto" w:fill="CCEEFF"/>
          </w:tcPr>
          <w:p>
            <w:pPr>
              <w:spacing w:after="0"/>
              <w:rPr>
                <w:sz w:val="20"/>
                <w:szCs w:val="20"/>
                <w:color w:val="auto"/>
              </w:rPr>
            </w:pPr>
            <w:r>
              <w:rPr>
                <w:rFonts w:ascii="Arial" w:cs="Arial" w:eastAsia="Arial" w:hAnsi="Arial"/>
                <w:sz w:val="13"/>
                <w:szCs w:val="13"/>
                <w:color w:val="auto"/>
              </w:rPr>
              <w:t>Effects of exchange rate changes on cash and cash equivalents</w:t>
            </w:r>
          </w:p>
        </w:tc>
        <w:tc>
          <w:tcPr>
            <w:tcW w:w="1300" w:type="dxa"/>
            <w:vAlign w:val="bottom"/>
            <w:gridSpan w:val="2"/>
            <w:shd w:val="clear" w:color="auto" w:fill="CCEEFF"/>
          </w:tcPr>
          <w:p>
            <w:pPr>
              <w:jc w:val="right"/>
              <w:ind w:right="89"/>
              <w:spacing w:after="0"/>
              <w:rPr>
                <w:sz w:val="20"/>
                <w:szCs w:val="20"/>
                <w:color w:val="auto"/>
              </w:rPr>
            </w:pPr>
            <w:r>
              <w:rPr>
                <w:rFonts w:ascii="Arial" w:cs="Arial" w:eastAsia="Arial" w:hAnsi="Arial"/>
                <w:sz w:val="13"/>
                <w:szCs w:val="13"/>
                <w:color w:val="auto"/>
              </w:rPr>
              <w:t>1,734</w:t>
            </w:r>
          </w:p>
        </w:tc>
        <w:tc>
          <w:tcPr>
            <w:tcW w:w="78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7,949</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9,683</w:t>
            </w:r>
          </w:p>
        </w:tc>
        <w:tc>
          <w:tcPr>
            <w:tcW w:w="80" w:type="dxa"/>
            <w:vAlign w:val="bottom"/>
            <w:shd w:val="clear" w:color="auto" w:fill="CCEEFF"/>
          </w:tcPr>
          <w:p>
            <w:pPr>
              <w:spacing w:after="0"/>
              <w:rPr>
                <w:sz w:val="13"/>
                <w:szCs w:val="13"/>
                <w:color w:val="auto"/>
              </w:rPr>
            </w:pPr>
          </w:p>
        </w:tc>
      </w:tr>
      <w:tr>
        <w:trPr>
          <w:trHeight w:val="165"/>
        </w:trPr>
        <w:tc>
          <w:tcPr>
            <w:tcW w:w="3780" w:type="dxa"/>
            <w:vAlign w:val="bottom"/>
          </w:tcPr>
          <w:p>
            <w:pPr>
              <w:spacing w:after="0"/>
              <w:rPr>
                <w:sz w:val="20"/>
                <w:szCs w:val="20"/>
                <w:color w:val="auto"/>
              </w:rPr>
            </w:pPr>
            <w:r>
              <w:rPr>
                <w:rFonts w:ascii="Arial" w:cs="Arial" w:eastAsia="Arial" w:hAnsi="Arial"/>
                <w:sz w:val="13"/>
                <w:szCs w:val="13"/>
                <w:b w:val="1"/>
                <w:bCs w:val="1"/>
                <w:color w:val="auto"/>
              </w:rPr>
              <w:t>Cash and cash equivalents at end of period</w:t>
            </w:r>
          </w:p>
        </w:tc>
        <w:tc>
          <w:tcPr>
            <w:tcW w:w="1300" w:type="dxa"/>
            <w:vAlign w:val="bottom"/>
            <w:gridSpan w:val="2"/>
          </w:tcPr>
          <w:p>
            <w:pPr>
              <w:jc w:val="right"/>
              <w:ind w:right="89"/>
              <w:spacing w:after="0"/>
              <w:rPr>
                <w:sz w:val="20"/>
                <w:szCs w:val="20"/>
                <w:color w:val="auto"/>
              </w:rPr>
            </w:pPr>
            <w:r>
              <w:rPr>
                <w:rFonts w:ascii="Arial" w:cs="Arial" w:eastAsia="Arial" w:hAnsi="Arial"/>
                <w:sz w:val="13"/>
                <w:szCs w:val="13"/>
                <w:color w:val="auto"/>
              </w:rPr>
              <w:t>265,125</w:t>
            </w:r>
          </w:p>
        </w:tc>
        <w:tc>
          <w:tcPr>
            <w:tcW w:w="780" w:type="dxa"/>
            <w:vAlign w:val="bottom"/>
          </w:tcPr>
          <w:p>
            <w:pPr>
              <w:jc w:val="right"/>
              <w:ind w:right="158"/>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265,125</w:t>
            </w:r>
          </w:p>
        </w:tc>
        <w:tc>
          <w:tcPr>
            <w:tcW w:w="80" w:type="dxa"/>
            <w:vAlign w:val="bottom"/>
          </w:tcPr>
          <w:p>
            <w:pPr>
              <w:spacing w:after="0"/>
              <w:rPr>
                <w:sz w:val="14"/>
                <w:szCs w:val="14"/>
                <w:color w:val="auto"/>
              </w:rPr>
            </w:pPr>
          </w:p>
        </w:tc>
      </w:tr>
    </w:tbl>
    <w:p>
      <w:pPr>
        <w:sectPr>
          <w:pgSz w:w="11900" w:h="16838" w:orient="portrait"/>
          <w:cols w:equalWidth="0" w:num="1">
            <w:col w:w="10159"/>
          </w:cols>
          <w:pgMar w:left="300" w:top="383" w:right="1440"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42545"/>
                    </a:xfrm>
                    <a:prstGeom prst="rect">
                      <a:avLst/>
                    </a:prstGeom>
                    <a:noFill/>
                  </pic:spPr>
                </pic:pic>
              </a:graphicData>
            </a:graphic>
          </wp:anchor>
        </w:drawing>
        <w:t>Table of Contents</w:t>
      </w:r>
    </w:p>
    <w:p>
      <w:pPr>
        <w:spacing w:after="0" w:line="210" w:lineRule="exact"/>
        <w:rPr>
          <w:sz w:val="20"/>
          <w:szCs w:val="20"/>
          <w:color w:val="auto"/>
        </w:rPr>
      </w:pPr>
    </w:p>
    <w:p>
      <w:pPr>
        <w:ind w:left="1780"/>
        <w:spacing w:after="0"/>
        <w:rPr>
          <w:sz w:val="20"/>
          <w:szCs w:val="20"/>
          <w:color w:val="auto"/>
        </w:rPr>
      </w:pPr>
      <w:r>
        <w:rPr>
          <w:rFonts w:ascii="Arial" w:cs="Arial" w:eastAsia="Arial" w:hAnsi="Arial"/>
          <w:sz w:val="13"/>
          <w:szCs w:val="13"/>
          <w:b w:val="1"/>
          <w:bCs w:val="1"/>
          <w:color w:val="auto"/>
        </w:rPr>
        <w:t>4. Segment information</w:t>
      </w:r>
    </w:p>
    <w:p>
      <w:pPr>
        <w:spacing w:after="0" w:line="82" w:lineRule="exact"/>
        <w:rPr>
          <w:sz w:val="20"/>
          <w:szCs w:val="20"/>
          <w:color w:val="auto"/>
        </w:rPr>
      </w:pPr>
    </w:p>
    <w:p>
      <w:pPr>
        <w:jc w:val="both"/>
        <w:ind w:left="1780" w:right="779"/>
        <w:spacing w:after="0" w:line="320" w:lineRule="auto"/>
        <w:rPr>
          <w:sz w:val="20"/>
          <w:szCs w:val="20"/>
          <w:color w:val="auto"/>
        </w:rPr>
      </w:pPr>
      <w:r>
        <w:rPr>
          <w:rFonts w:ascii="Arial" w:cs="Arial" w:eastAsia="Arial" w:hAnsi="Arial"/>
          <w:sz w:val="11"/>
          <w:szCs w:val="11"/>
          <w:color w:val="auto"/>
        </w:rPr>
        <w:t>The Group manages its operations as a single segment for the purpose of assessing performance and making operating decisions. The Group’s focus is on the research and development of T cell redirecting immunotherapies for the treatment of cancer. The Chief Executive Officer is the chief operating decision maker who regularly reviews the consolidated operating results and makes decisions about the allocation of the Group’s resources.</w:t>
      </w:r>
    </w:p>
    <w:p>
      <w:pPr>
        <w:spacing w:after="0" w:line="172" w:lineRule="exact"/>
        <w:rPr>
          <w:sz w:val="20"/>
          <w:szCs w:val="20"/>
          <w:color w:val="auto"/>
        </w:rPr>
      </w:pPr>
    </w:p>
    <w:p>
      <w:pPr>
        <w:ind w:left="1780"/>
        <w:spacing w:after="0"/>
        <w:rPr>
          <w:sz w:val="20"/>
          <w:szCs w:val="20"/>
          <w:color w:val="auto"/>
        </w:rPr>
      </w:pPr>
      <w:r>
        <w:rPr>
          <w:rFonts w:ascii="Arial" w:cs="Arial" w:eastAsia="Arial" w:hAnsi="Arial"/>
          <w:sz w:val="13"/>
          <w:szCs w:val="13"/>
          <w:b w:val="1"/>
          <w:bCs w:val="1"/>
          <w:color w:val="auto"/>
        </w:rPr>
        <w:t>5. Revenue from collaboration agreements</w:t>
      </w:r>
    </w:p>
    <w:p>
      <w:pPr>
        <w:spacing w:after="0" w:line="82" w:lineRule="exact"/>
        <w:rPr>
          <w:sz w:val="20"/>
          <w:szCs w:val="20"/>
          <w:color w:val="auto"/>
        </w:rPr>
      </w:pPr>
    </w:p>
    <w:p>
      <w:pPr>
        <w:ind w:left="1780" w:right="739"/>
        <w:spacing w:after="0" w:line="249" w:lineRule="auto"/>
        <w:rPr>
          <w:sz w:val="20"/>
          <w:szCs w:val="20"/>
          <w:color w:val="auto"/>
        </w:rPr>
      </w:pPr>
      <w:r>
        <w:rPr>
          <w:rFonts w:ascii="Arial" w:cs="Arial" w:eastAsia="Arial" w:hAnsi="Arial"/>
          <w:sz w:val="13"/>
          <w:szCs w:val="13"/>
          <w:color w:val="auto"/>
        </w:rPr>
        <w:t>The Group currently earns revenue through strategic collaboration agreements with third party pharmaceutical and biotechnology companies. As of June 30, 2023, the Group had four strategic collaboration agreements in place after the collaboration with GSK plc (“GSK”) was terminated in 2022. Three of the four collaboration programs are still at pre-clinical development stage and IMA401, which is subject of a collaboration with Bristol Myers Squibb (“BMS”) is in clinical development.</w:t>
      </w:r>
    </w:p>
    <w:p>
      <w:pPr>
        <w:spacing w:after="0" w:line="138" w:lineRule="exact"/>
        <w:rPr>
          <w:sz w:val="20"/>
          <w:szCs w:val="20"/>
          <w:color w:val="auto"/>
        </w:rPr>
      </w:pPr>
    </w:p>
    <w:p>
      <w:pPr>
        <w:ind w:left="1780"/>
        <w:spacing w:after="0"/>
        <w:rPr>
          <w:sz w:val="20"/>
          <w:szCs w:val="20"/>
          <w:color w:val="auto"/>
        </w:rPr>
      </w:pPr>
      <w:r>
        <w:rPr>
          <w:rFonts w:ascii="Arial" w:cs="Arial" w:eastAsia="Arial" w:hAnsi="Arial"/>
          <w:sz w:val="13"/>
          <w:szCs w:val="13"/>
          <w:color w:val="auto"/>
        </w:rPr>
        <w:t>Revenue from collaboration agreements were realized with the following partners:</w:t>
      </w:r>
    </w:p>
    <w:p>
      <w:pPr>
        <w:spacing w:after="0" w:line="167" w:lineRule="exact"/>
        <w:rPr>
          <w:sz w:val="20"/>
          <w:szCs w:val="20"/>
          <w:color w:val="auto"/>
        </w:rPr>
      </w:pPr>
    </w:p>
    <w:tbl>
      <w:tblPr>
        <w:tblLayout w:type="fixed"/>
        <w:tblInd w:w="2100" w:type="dxa"/>
        <w:tblCellMar>
          <w:top w:w="0" w:type="dxa"/>
          <w:left w:w="0" w:type="dxa"/>
          <w:bottom w:w="0" w:type="dxa"/>
          <w:right w:w="0" w:type="dxa"/>
        </w:tblCellMar>
      </w:tblPr>
      <w:tr>
        <w:trPr>
          <w:trHeight w:val="119"/>
        </w:trPr>
        <w:tc>
          <w:tcPr>
            <w:tcW w:w="4200" w:type="dxa"/>
            <w:vAlign w:val="bottom"/>
          </w:tcPr>
          <w:p>
            <w:pPr>
              <w:spacing w:after="0"/>
              <w:rPr>
                <w:sz w:val="10"/>
                <w:szCs w:val="10"/>
                <w:color w:val="auto"/>
              </w:rPr>
            </w:pPr>
          </w:p>
        </w:tc>
        <w:tc>
          <w:tcPr>
            <w:tcW w:w="1600" w:type="dxa"/>
            <w:vAlign w:val="bottom"/>
            <w:gridSpan w:val="5"/>
          </w:tcPr>
          <w:p>
            <w:pPr>
              <w:jc w:val="right"/>
              <w:ind w:right="280"/>
              <w:spacing w:after="0"/>
              <w:rPr>
                <w:sz w:val="20"/>
                <w:szCs w:val="20"/>
                <w:color w:val="auto"/>
              </w:rPr>
            </w:pPr>
            <w:r>
              <w:rPr>
                <w:rFonts w:ascii="Arial" w:cs="Arial" w:eastAsia="Arial" w:hAnsi="Arial"/>
                <w:sz w:val="10"/>
                <w:szCs w:val="10"/>
                <w:b w:val="1"/>
                <w:bCs w:val="1"/>
                <w:color w:val="auto"/>
                <w:w w:val="92"/>
              </w:rPr>
              <w:t>Three months ended June 30,</w:t>
            </w:r>
          </w:p>
        </w:tc>
        <w:tc>
          <w:tcPr>
            <w:tcW w:w="1300" w:type="dxa"/>
            <w:vAlign w:val="bottom"/>
            <w:gridSpan w:val="4"/>
          </w:tcPr>
          <w:p>
            <w:pPr>
              <w:jc w:val="right"/>
              <w:ind w:right="100"/>
              <w:spacing w:after="0"/>
              <w:rPr>
                <w:sz w:val="20"/>
                <w:szCs w:val="20"/>
                <w:color w:val="auto"/>
              </w:rPr>
            </w:pPr>
            <w:r>
              <w:rPr>
                <w:rFonts w:ascii="Arial" w:cs="Arial" w:eastAsia="Arial" w:hAnsi="Arial"/>
                <w:sz w:val="10"/>
                <w:szCs w:val="10"/>
                <w:b w:val="1"/>
                <w:bCs w:val="1"/>
                <w:color w:val="auto"/>
                <w:w w:val="91"/>
              </w:rPr>
              <w:t>Six months ended June 30,</w:t>
            </w:r>
          </w:p>
        </w:tc>
      </w:tr>
      <w:tr>
        <w:trPr>
          <w:trHeight w:val="94"/>
        </w:trPr>
        <w:tc>
          <w:tcPr>
            <w:tcW w:w="4200" w:type="dxa"/>
            <w:vAlign w:val="bottom"/>
          </w:tcPr>
          <w:p>
            <w:pPr>
              <w:spacing w:after="0"/>
              <w:rPr>
                <w:sz w:val="8"/>
                <w:szCs w:val="8"/>
                <w:color w:val="auto"/>
              </w:rPr>
            </w:pPr>
          </w:p>
        </w:tc>
        <w:tc>
          <w:tcPr>
            <w:tcW w:w="540" w:type="dxa"/>
            <w:vAlign w:val="bottom"/>
            <w:tcBorders>
              <w:top w:val="single" w:sz="8" w:color="auto"/>
              <w:bottom w:val="single" w:sz="8" w:color="auto"/>
            </w:tcBorders>
          </w:tcPr>
          <w:p>
            <w:pPr>
              <w:jc w:val="right"/>
              <w:ind w:right="122"/>
              <w:spacing w:after="0" w:line="94" w:lineRule="exact"/>
              <w:rPr>
                <w:sz w:val="20"/>
                <w:szCs w:val="20"/>
                <w:color w:val="auto"/>
              </w:rPr>
            </w:pPr>
            <w:r>
              <w:rPr>
                <w:rFonts w:ascii="Arial" w:cs="Arial" w:eastAsia="Arial" w:hAnsi="Arial"/>
                <w:sz w:val="10"/>
                <w:szCs w:val="10"/>
                <w:b w:val="1"/>
                <w:bCs w:val="1"/>
                <w:color w:val="auto"/>
              </w:rPr>
              <w:t>2023</w:t>
            </w:r>
          </w:p>
        </w:tc>
        <w:tc>
          <w:tcPr>
            <w:tcW w:w="20" w:type="dxa"/>
            <w:vAlign w:val="bottom"/>
            <w:tcBorders>
              <w:top w:val="single" w:sz="8" w:color="auto"/>
              <w:bottom w:val="single" w:sz="8" w:color="auto"/>
            </w:tcBorders>
          </w:tcPr>
          <w:p>
            <w:pPr>
              <w:spacing w:after="0"/>
              <w:rPr>
                <w:sz w:val="8"/>
                <w:szCs w:val="8"/>
                <w:color w:val="auto"/>
              </w:rPr>
            </w:pPr>
          </w:p>
        </w:tc>
        <w:tc>
          <w:tcPr>
            <w:tcW w:w="220" w:type="dxa"/>
            <w:vAlign w:val="bottom"/>
            <w:tcBorders>
              <w:top w:val="single" w:sz="8" w:color="auto"/>
              <w:bottom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jc w:val="right"/>
              <w:ind w:right="139"/>
              <w:spacing w:after="0" w:line="94" w:lineRule="exact"/>
              <w:rPr>
                <w:sz w:val="20"/>
                <w:szCs w:val="20"/>
                <w:color w:val="auto"/>
              </w:rPr>
            </w:pPr>
            <w:r>
              <w:rPr>
                <w:rFonts w:ascii="Arial" w:cs="Arial" w:eastAsia="Arial" w:hAnsi="Arial"/>
                <w:sz w:val="10"/>
                <w:szCs w:val="10"/>
                <w:b w:val="1"/>
                <w:bCs w:val="1"/>
                <w:color w:val="auto"/>
              </w:rPr>
              <w:t>2022</w:t>
            </w:r>
          </w:p>
        </w:tc>
        <w:tc>
          <w:tcPr>
            <w:tcW w:w="240" w:type="dxa"/>
            <w:vAlign w:val="bottom"/>
          </w:tcPr>
          <w:p>
            <w:pPr>
              <w:spacing w:after="0"/>
              <w:rPr>
                <w:sz w:val="8"/>
                <w:szCs w:val="8"/>
                <w:color w:val="auto"/>
              </w:rPr>
            </w:pPr>
          </w:p>
        </w:tc>
        <w:tc>
          <w:tcPr>
            <w:tcW w:w="460" w:type="dxa"/>
            <w:vAlign w:val="bottom"/>
            <w:tcBorders>
              <w:top w:val="single" w:sz="8" w:color="auto"/>
              <w:bottom w:val="single" w:sz="8" w:color="auto"/>
            </w:tcBorders>
          </w:tcPr>
          <w:p>
            <w:pPr>
              <w:jc w:val="right"/>
              <w:ind w:right="82"/>
              <w:spacing w:after="0" w:line="94" w:lineRule="exact"/>
              <w:rPr>
                <w:sz w:val="20"/>
                <w:szCs w:val="20"/>
                <w:color w:val="auto"/>
              </w:rPr>
            </w:pPr>
            <w:r>
              <w:rPr>
                <w:rFonts w:ascii="Arial" w:cs="Arial" w:eastAsia="Arial" w:hAnsi="Arial"/>
                <w:sz w:val="10"/>
                <w:szCs w:val="10"/>
                <w:b w:val="1"/>
                <w:bCs w:val="1"/>
                <w:color w:val="auto"/>
              </w:rPr>
              <w:t>2023</w:t>
            </w:r>
          </w:p>
        </w:tc>
        <w:tc>
          <w:tcPr>
            <w:tcW w:w="220" w:type="dxa"/>
            <w:vAlign w:val="bottom"/>
            <w:tcBorders>
              <w:top w:val="single" w:sz="8" w:color="auto"/>
              <w:bottom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jc w:val="right"/>
              <w:ind w:right="119"/>
              <w:spacing w:after="0" w:line="94" w:lineRule="exact"/>
              <w:rPr>
                <w:sz w:val="20"/>
                <w:szCs w:val="20"/>
                <w:color w:val="auto"/>
              </w:rPr>
            </w:pPr>
            <w:r>
              <w:rPr>
                <w:rFonts w:ascii="Arial" w:cs="Arial" w:eastAsia="Arial" w:hAnsi="Arial"/>
                <w:sz w:val="10"/>
                <w:szCs w:val="10"/>
                <w:b w:val="1"/>
                <w:bCs w:val="1"/>
                <w:color w:val="auto"/>
              </w:rPr>
              <w:t>2022</w:t>
            </w:r>
          </w:p>
        </w:tc>
        <w:tc>
          <w:tcPr>
            <w:tcW w:w="40" w:type="dxa"/>
            <w:vAlign w:val="bottom"/>
          </w:tcPr>
          <w:p>
            <w:pPr>
              <w:spacing w:after="0"/>
              <w:rPr>
                <w:sz w:val="8"/>
                <w:szCs w:val="8"/>
                <w:color w:val="auto"/>
              </w:rPr>
            </w:pPr>
          </w:p>
        </w:tc>
      </w:tr>
      <w:tr>
        <w:trPr>
          <w:trHeight w:val="94"/>
        </w:trPr>
        <w:tc>
          <w:tcPr>
            <w:tcW w:w="4200" w:type="dxa"/>
            <w:vAlign w:val="bottom"/>
          </w:tcPr>
          <w:p>
            <w:pPr>
              <w:spacing w:after="0"/>
              <w:rPr>
                <w:sz w:val="8"/>
                <w:szCs w:val="8"/>
                <w:color w:val="auto"/>
              </w:rPr>
            </w:pPr>
          </w:p>
        </w:tc>
        <w:tc>
          <w:tcPr>
            <w:tcW w:w="1360" w:type="dxa"/>
            <w:vAlign w:val="bottom"/>
            <w:gridSpan w:val="4"/>
          </w:tcPr>
          <w:p>
            <w:pPr>
              <w:jc w:val="right"/>
              <w:ind w:right="179"/>
              <w:spacing w:after="0" w:line="94" w:lineRule="exact"/>
              <w:rPr>
                <w:sz w:val="20"/>
                <w:szCs w:val="20"/>
                <w:color w:val="auto"/>
              </w:rPr>
            </w:pPr>
            <w:r>
              <w:rPr>
                <w:rFonts w:ascii="Arial" w:cs="Arial" w:eastAsia="Arial" w:hAnsi="Arial"/>
                <w:sz w:val="10"/>
                <w:szCs w:val="10"/>
                <w:b w:val="1"/>
                <w:bCs w:val="1"/>
                <w:color w:val="auto"/>
              </w:rPr>
              <w:t>(Euros in thousands)</w:t>
            </w:r>
          </w:p>
        </w:tc>
        <w:tc>
          <w:tcPr>
            <w:tcW w:w="240" w:type="dxa"/>
            <w:vAlign w:val="bottom"/>
          </w:tcPr>
          <w:p>
            <w:pPr>
              <w:spacing w:after="0"/>
              <w:rPr>
                <w:sz w:val="8"/>
                <w:szCs w:val="8"/>
                <w:color w:val="auto"/>
              </w:rPr>
            </w:pPr>
          </w:p>
        </w:tc>
        <w:tc>
          <w:tcPr>
            <w:tcW w:w="1260" w:type="dxa"/>
            <w:vAlign w:val="bottom"/>
            <w:gridSpan w:val="3"/>
          </w:tcPr>
          <w:p>
            <w:pPr>
              <w:jc w:val="right"/>
              <w:ind w:right="119"/>
              <w:spacing w:after="0" w:line="94" w:lineRule="exact"/>
              <w:rPr>
                <w:sz w:val="20"/>
                <w:szCs w:val="20"/>
                <w:color w:val="auto"/>
              </w:rPr>
            </w:pPr>
            <w:r>
              <w:rPr>
                <w:rFonts w:ascii="Arial" w:cs="Arial" w:eastAsia="Arial" w:hAnsi="Arial"/>
                <w:sz w:val="10"/>
                <w:szCs w:val="10"/>
                <w:b w:val="1"/>
                <w:bCs w:val="1"/>
                <w:color w:val="auto"/>
              </w:rPr>
              <w:t>(Euros in thousands)</w:t>
            </w:r>
          </w:p>
        </w:tc>
        <w:tc>
          <w:tcPr>
            <w:tcW w:w="40" w:type="dxa"/>
            <w:vAlign w:val="bottom"/>
          </w:tcPr>
          <w:p>
            <w:pPr>
              <w:spacing w:after="0"/>
              <w:rPr>
                <w:sz w:val="8"/>
                <w:szCs w:val="8"/>
                <w:color w:val="auto"/>
              </w:rPr>
            </w:pPr>
          </w:p>
        </w:tc>
      </w:tr>
      <w:tr>
        <w:trPr>
          <w:trHeight w:val="152"/>
        </w:trPr>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Genmab, Denmark</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915</w:t>
            </w: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4,125</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215</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7,044</w:t>
            </w:r>
          </w:p>
        </w:tc>
      </w:tr>
      <w:tr>
        <w:trPr>
          <w:trHeight w:val="152"/>
        </w:trPr>
        <w:tc>
          <w:tcPr>
            <w:tcW w:w="4200" w:type="dxa"/>
            <w:vAlign w:val="bottom"/>
          </w:tcPr>
          <w:p>
            <w:pPr>
              <w:spacing w:after="0"/>
              <w:rPr>
                <w:sz w:val="20"/>
                <w:szCs w:val="20"/>
                <w:color w:val="auto"/>
              </w:rPr>
            </w:pPr>
            <w:r>
              <w:rPr>
                <w:rFonts w:ascii="Arial" w:cs="Arial" w:eastAsia="Arial" w:hAnsi="Arial"/>
                <w:sz w:val="13"/>
                <w:szCs w:val="13"/>
                <w:color w:val="auto"/>
              </w:rPr>
              <w:t>BMS, United States</w:t>
            </w: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21,439</w:t>
            </w:r>
          </w:p>
        </w:tc>
        <w:tc>
          <w:tcPr>
            <w:tcW w:w="22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12,107</w:t>
            </w: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31,935</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110,532</w:t>
            </w:r>
          </w:p>
        </w:tc>
      </w:tr>
      <w:tr>
        <w:trPr>
          <w:trHeight w:val="152"/>
        </w:trPr>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GSK, United Kingdom</w:t>
            </w:r>
          </w:p>
        </w:tc>
        <w:tc>
          <w:tcPr>
            <w:tcW w:w="780" w:type="dxa"/>
            <w:vAlign w:val="bottom"/>
            <w:gridSpan w:val="3"/>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983</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2,547</w:t>
            </w:r>
          </w:p>
        </w:tc>
      </w:tr>
      <w:tr>
        <w:trPr>
          <w:trHeight w:val="159"/>
        </w:trPr>
        <w:tc>
          <w:tcPr>
            <w:tcW w:w="420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22,354</w:t>
            </w:r>
          </w:p>
        </w:tc>
        <w:tc>
          <w:tcPr>
            <w:tcW w:w="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17,215</w:t>
            </w:r>
          </w:p>
        </w:tc>
        <w:tc>
          <w:tcPr>
            <w:tcW w:w="24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32,150</w:t>
            </w:r>
          </w:p>
        </w:tc>
        <w:tc>
          <w:tcPr>
            <w:tcW w:w="22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120,123</w:t>
            </w:r>
          </w:p>
        </w:tc>
        <w:tc>
          <w:tcPr>
            <w:tcW w:w="40" w:type="dxa"/>
            <w:vAlign w:val="bottom"/>
          </w:tcPr>
          <w:p>
            <w:pPr>
              <w:spacing w:after="0"/>
              <w:rPr>
                <w:sz w:val="13"/>
                <w:szCs w:val="13"/>
                <w:color w:val="auto"/>
              </w:rPr>
            </w:pPr>
          </w:p>
        </w:tc>
      </w:tr>
    </w:tbl>
    <w:p>
      <w:pPr>
        <w:spacing w:after="0" w:line="152" w:lineRule="exact"/>
        <w:rPr>
          <w:sz w:val="20"/>
          <w:szCs w:val="20"/>
          <w:color w:val="auto"/>
        </w:rPr>
      </w:pPr>
    </w:p>
    <w:p>
      <w:pPr>
        <w:ind w:left="1780" w:right="899"/>
        <w:spacing w:after="0" w:line="276" w:lineRule="auto"/>
        <w:rPr>
          <w:sz w:val="20"/>
          <w:szCs w:val="20"/>
          <w:color w:val="auto"/>
        </w:rPr>
      </w:pPr>
      <w:r>
        <w:rPr>
          <w:rFonts w:ascii="Arial" w:cs="Arial" w:eastAsia="Arial" w:hAnsi="Arial"/>
          <w:sz w:val="12"/>
          <w:szCs w:val="12"/>
          <w:color w:val="auto"/>
        </w:rPr>
        <w:t>As of June 30, 2023, the Group has not recognized any milestone revenue under the collaboration agreements, due to the scientific uncertainty of achieving the milestones or the successful commercialization of a product. As of June 30, 2023, Immatics had not received any milestone or royalty payments in connection with the collaboration agreements. The Group expects to recognize the remaining deferred revenue balance as revenue as it performs the related performance obligations under each contract.</w:t>
      </w:r>
    </w:p>
    <w:p>
      <w:pPr>
        <w:spacing w:after="0" w:line="123" w:lineRule="exact"/>
        <w:rPr>
          <w:sz w:val="20"/>
          <w:szCs w:val="20"/>
          <w:color w:val="auto"/>
        </w:rPr>
      </w:pPr>
    </w:p>
    <w:p>
      <w:pPr>
        <w:ind w:left="1780"/>
        <w:spacing w:after="0"/>
        <w:rPr>
          <w:sz w:val="20"/>
          <w:szCs w:val="20"/>
          <w:color w:val="auto"/>
        </w:rPr>
      </w:pPr>
      <w:r>
        <w:rPr>
          <w:rFonts w:ascii="Arial" w:cs="Arial" w:eastAsia="Arial" w:hAnsi="Arial"/>
          <w:sz w:val="12"/>
          <w:szCs w:val="12"/>
          <w:color w:val="auto"/>
        </w:rPr>
        <w:t>The revenue for the three and six months ended June 30, 2023 from the collaboration agreement with BMS includes the Opt-in payment of</w:t>
      </w:r>
    </w:p>
    <w:p>
      <w:pPr>
        <w:spacing w:after="0" w:line="23" w:lineRule="exact"/>
        <w:rPr>
          <w:sz w:val="20"/>
          <w:szCs w:val="20"/>
          <w:color w:val="auto"/>
        </w:rPr>
      </w:pPr>
    </w:p>
    <w:p>
      <w:pPr>
        <w:ind w:left="1780" w:right="659"/>
        <w:spacing w:after="0" w:line="244" w:lineRule="auto"/>
        <w:rPr>
          <w:sz w:val="20"/>
          <w:szCs w:val="20"/>
          <w:color w:val="auto"/>
        </w:rPr>
      </w:pPr>
      <w:r>
        <w:rPr>
          <w:rFonts w:ascii="Arial" w:cs="Arial" w:eastAsia="Arial" w:hAnsi="Arial"/>
          <w:sz w:val="13"/>
          <w:szCs w:val="13"/>
          <w:color w:val="auto"/>
        </w:rPr>
        <w:t>€13.7 million. The remaining revenue for the three and six months ended June 30, 2023 from the collaboration with BMS is the revenue recognized over time on a cost-to-cost basis. The revenue for the six months ended June 30, 2023 from the collaboration agreement with Genmab decreases in comparison to the revenue for the three months ended June 30, 2023, due to the negative revenue for the three months ended March 31, 2023, which is a result of changes to the inputs in the cost-to-cost model resulting from an increase in the expected cost of the collaboration. The revenue from collaboration agreements with BMS includes the revenue regarding the right-to-use license for IMA401 amounting to €91.3 million for the six months ended June 30, 2022.</w:t>
      </w:r>
    </w:p>
    <w:p>
      <w:pPr>
        <w:spacing w:after="0" w:line="141" w:lineRule="exact"/>
        <w:rPr>
          <w:sz w:val="20"/>
          <w:szCs w:val="20"/>
          <w:color w:val="auto"/>
        </w:rPr>
      </w:pPr>
    </w:p>
    <w:p>
      <w:pPr>
        <w:ind w:left="1780"/>
        <w:spacing w:after="0"/>
        <w:rPr>
          <w:sz w:val="20"/>
          <w:szCs w:val="20"/>
          <w:color w:val="auto"/>
        </w:rPr>
      </w:pPr>
      <w:r>
        <w:rPr>
          <w:rFonts w:ascii="Arial" w:cs="Arial" w:eastAsia="Arial" w:hAnsi="Arial"/>
          <w:sz w:val="13"/>
          <w:szCs w:val="13"/>
          <w:color w:val="auto"/>
        </w:rPr>
        <w:t>Deferred revenue related to the collaboration agreements consists of the following:</w:t>
      </w:r>
    </w:p>
    <w:p>
      <w:pPr>
        <w:spacing w:after="0" w:line="167" w:lineRule="exact"/>
        <w:rPr>
          <w:sz w:val="20"/>
          <w:szCs w:val="20"/>
          <w:color w:val="auto"/>
        </w:rPr>
      </w:pPr>
    </w:p>
    <w:tbl>
      <w:tblPr>
        <w:tblLayout w:type="fixed"/>
        <w:tblInd w:w="2700" w:type="dxa"/>
        <w:tblCellMar>
          <w:top w:w="0" w:type="dxa"/>
          <w:left w:w="0" w:type="dxa"/>
          <w:bottom w:w="0" w:type="dxa"/>
          <w:right w:w="0" w:type="dxa"/>
        </w:tblCellMar>
      </w:tblPr>
      <w:tr>
        <w:trPr>
          <w:trHeight w:val="119"/>
        </w:trPr>
        <w:tc>
          <w:tcPr>
            <w:tcW w:w="39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3"/>
          </w:tcPr>
          <w:p>
            <w:pPr>
              <w:jc w:val="right"/>
              <w:ind w:right="860"/>
              <w:spacing w:after="0"/>
              <w:rPr>
                <w:sz w:val="20"/>
                <w:szCs w:val="20"/>
                <w:color w:val="auto"/>
              </w:rPr>
            </w:pPr>
            <w:r>
              <w:rPr>
                <w:rFonts w:ascii="Arial" w:cs="Arial" w:eastAsia="Arial" w:hAnsi="Arial"/>
                <w:sz w:val="10"/>
                <w:szCs w:val="10"/>
                <w:b w:val="1"/>
                <w:bCs w:val="1"/>
                <w:color w:val="auto"/>
              </w:rPr>
              <w:t>As of</w:t>
            </w:r>
          </w:p>
        </w:tc>
      </w:tr>
      <w:tr>
        <w:trPr>
          <w:trHeight w:val="94"/>
        </w:trPr>
        <w:tc>
          <w:tcPr>
            <w:tcW w:w="3980" w:type="dxa"/>
            <w:vAlign w:val="bottom"/>
          </w:tcPr>
          <w:p>
            <w:pPr>
              <w:spacing w:after="0"/>
              <w:rPr>
                <w:sz w:val="8"/>
                <w:szCs w:val="8"/>
                <w:color w:val="auto"/>
              </w:rPr>
            </w:pPr>
          </w:p>
        </w:tc>
        <w:tc>
          <w:tcPr>
            <w:tcW w:w="700" w:type="dxa"/>
            <w:vAlign w:val="bottom"/>
            <w:tcBorders>
              <w:top w:val="single" w:sz="8" w:color="auto"/>
              <w:bottom w:val="single" w:sz="8" w:color="auto"/>
            </w:tcBorders>
            <w:gridSpan w:val="2"/>
          </w:tcPr>
          <w:p>
            <w:pPr>
              <w:jc w:val="right"/>
              <w:ind w:right="120"/>
              <w:spacing w:after="0" w:line="94" w:lineRule="exact"/>
              <w:rPr>
                <w:sz w:val="20"/>
                <w:szCs w:val="20"/>
                <w:color w:val="auto"/>
              </w:rPr>
            </w:pPr>
            <w:r>
              <w:rPr>
                <w:rFonts w:ascii="Arial" w:cs="Arial" w:eastAsia="Arial" w:hAnsi="Arial"/>
                <w:sz w:val="10"/>
                <w:szCs w:val="10"/>
                <w:b w:val="1"/>
                <w:bCs w:val="1"/>
                <w:color w:val="auto"/>
                <w:w w:val="86"/>
              </w:rPr>
              <w:t>June 30, 2023</w:t>
            </w:r>
          </w:p>
        </w:tc>
        <w:tc>
          <w:tcPr>
            <w:tcW w:w="340" w:type="dxa"/>
            <w:vAlign w:val="bottom"/>
            <w:tcBorders>
              <w:top w:val="single" w:sz="8" w:color="auto"/>
              <w:bottom w:val="single" w:sz="8" w:color="auto"/>
            </w:tcBorders>
          </w:tcPr>
          <w:p>
            <w:pPr>
              <w:spacing w:after="0"/>
              <w:rPr>
                <w:sz w:val="8"/>
                <w:szCs w:val="8"/>
                <w:color w:val="auto"/>
              </w:rPr>
            </w:pPr>
          </w:p>
        </w:tc>
        <w:tc>
          <w:tcPr>
            <w:tcW w:w="820" w:type="dxa"/>
            <w:vAlign w:val="bottom"/>
            <w:tcBorders>
              <w:top w:val="single" w:sz="8" w:color="auto"/>
              <w:bottom w:val="single" w:sz="8" w:color="auto"/>
            </w:tcBorders>
          </w:tcPr>
          <w:p>
            <w:pPr>
              <w:jc w:val="right"/>
              <w:spacing w:after="0" w:line="94" w:lineRule="exact"/>
              <w:rPr>
                <w:sz w:val="20"/>
                <w:szCs w:val="20"/>
                <w:color w:val="auto"/>
              </w:rPr>
            </w:pPr>
            <w:r>
              <w:rPr>
                <w:rFonts w:ascii="Arial" w:cs="Arial" w:eastAsia="Arial" w:hAnsi="Arial"/>
                <w:sz w:val="10"/>
                <w:szCs w:val="10"/>
                <w:b w:val="1"/>
                <w:bCs w:val="1"/>
                <w:color w:val="auto"/>
                <w:w w:val="88"/>
              </w:rPr>
              <w:t>December 31, 2022</w:t>
            </w:r>
          </w:p>
        </w:tc>
        <w:tc>
          <w:tcPr>
            <w:tcW w:w="40" w:type="dxa"/>
            <w:vAlign w:val="bottom"/>
          </w:tcPr>
          <w:p>
            <w:pPr>
              <w:spacing w:after="0"/>
              <w:rPr>
                <w:sz w:val="8"/>
                <w:szCs w:val="8"/>
                <w:color w:val="auto"/>
              </w:rPr>
            </w:pPr>
          </w:p>
        </w:tc>
      </w:tr>
      <w:tr>
        <w:trPr>
          <w:trHeight w:val="94"/>
        </w:trPr>
        <w:tc>
          <w:tcPr>
            <w:tcW w:w="3980" w:type="dxa"/>
            <w:vAlign w:val="bottom"/>
          </w:tcPr>
          <w:p>
            <w:pPr>
              <w:spacing w:after="0"/>
              <w:rPr>
                <w:sz w:val="8"/>
                <w:szCs w:val="8"/>
                <w:color w:val="auto"/>
              </w:rPr>
            </w:pPr>
          </w:p>
        </w:tc>
        <w:tc>
          <w:tcPr>
            <w:tcW w:w="1860" w:type="dxa"/>
            <w:vAlign w:val="bottom"/>
            <w:gridSpan w:val="4"/>
          </w:tcPr>
          <w:p>
            <w:pPr>
              <w:jc w:val="right"/>
              <w:ind w:right="429"/>
              <w:spacing w:after="0" w:line="94" w:lineRule="exact"/>
              <w:rPr>
                <w:sz w:val="20"/>
                <w:szCs w:val="20"/>
                <w:color w:val="auto"/>
              </w:rPr>
            </w:pPr>
            <w:r>
              <w:rPr>
                <w:rFonts w:ascii="Arial" w:cs="Arial" w:eastAsia="Arial" w:hAnsi="Arial"/>
                <w:sz w:val="10"/>
                <w:szCs w:val="10"/>
                <w:b w:val="1"/>
                <w:bCs w:val="1"/>
                <w:color w:val="auto"/>
              </w:rPr>
              <w:t>(Euros in thousands)</w:t>
            </w:r>
          </w:p>
        </w:tc>
        <w:tc>
          <w:tcPr>
            <w:tcW w:w="40" w:type="dxa"/>
            <w:vAlign w:val="bottom"/>
          </w:tcPr>
          <w:p>
            <w:pPr>
              <w:spacing w:after="0"/>
              <w:rPr>
                <w:sz w:val="8"/>
                <w:szCs w:val="8"/>
                <w:color w:val="auto"/>
              </w:rPr>
            </w:pPr>
          </w:p>
        </w:tc>
      </w:tr>
      <w:tr>
        <w:trPr>
          <w:trHeight w:val="152"/>
        </w:trPr>
        <w:tc>
          <w:tcPr>
            <w:tcW w:w="3980" w:type="dxa"/>
            <w:vAlign w:val="bottom"/>
            <w:shd w:val="clear" w:color="auto" w:fill="CCEEFF"/>
          </w:tcPr>
          <w:p>
            <w:pPr>
              <w:spacing w:after="0"/>
              <w:rPr>
                <w:sz w:val="20"/>
                <w:szCs w:val="20"/>
                <w:color w:val="auto"/>
              </w:rPr>
            </w:pPr>
            <w:r>
              <w:rPr>
                <w:rFonts w:ascii="Arial" w:cs="Arial" w:eastAsia="Arial" w:hAnsi="Arial"/>
                <w:sz w:val="13"/>
                <w:szCs w:val="13"/>
                <w:color w:val="auto"/>
              </w:rPr>
              <w:t>Current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67,997</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64,957</w:t>
            </w:r>
          </w:p>
        </w:tc>
      </w:tr>
      <w:tr>
        <w:trPr>
          <w:trHeight w:val="152"/>
        </w:trPr>
        <w:tc>
          <w:tcPr>
            <w:tcW w:w="3980" w:type="dxa"/>
            <w:vAlign w:val="bottom"/>
          </w:tcPr>
          <w:p>
            <w:pPr>
              <w:spacing w:after="0"/>
              <w:rPr>
                <w:sz w:val="20"/>
                <w:szCs w:val="20"/>
                <w:color w:val="auto"/>
              </w:rPr>
            </w:pPr>
            <w:r>
              <w:rPr>
                <w:rFonts w:ascii="Arial" w:cs="Arial" w:eastAsia="Arial" w:hAnsi="Arial"/>
                <w:sz w:val="13"/>
                <w:szCs w:val="13"/>
                <w:color w:val="auto"/>
              </w:rPr>
              <w:t>Non-current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53,559</w:t>
            </w:r>
          </w:p>
        </w:tc>
        <w:tc>
          <w:tcPr>
            <w:tcW w:w="1200" w:type="dxa"/>
            <w:vAlign w:val="bottom"/>
            <w:gridSpan w:val="3"/>
          </w:tcPr>
          <w:p>
            <w:pPr>
              <w:jc w:val="right"/>
              <w:ind w:right="40"/>
              <w:spacing w:after="0"/>
              <w:rPr>
                <w:sz w:val="20"/>
                <w:szCs w:val="20"/>
                <w:color w:val="auto"/>
              </w:rPr>
            </w:pPr>
            <w:r>
              <w:rPr>
                <w:rFonts w:ascii="Arial" w:cs="Arial" w:eastAsia="Arial" w:hAnsi="Arial"/>
                <w:sz w:val="13"/>
                <w:szCs w:val="13"/>
                <w:color w:val="auto"/>
              </w:rPr>
              <w:t>75,759</w:t>
            </w:r>
          </w:p>
        </w:tc>
      </w:tr>
      <w:tr>
        <w:trPr>
          <w:trHeight w:val="20"/>
        </w:trPr>
        <w:tc>
          <w:tcPr>
            <w:tcW w:w="39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1"/>
        </w:trPr>
        <w:tc>
          <w:tcPr>
            <w:tcW w:w="39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121,556</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140,716</w:t>
            </w:r>
          </w:p>
        </w:tc>
      </w:tr>
      <w:tr>
        <w:trPr>
          <w:trHeight w:val="28"/>
        </w:trPr>
        <w:tc>
          <w:tcPr>
            <w:tcW w:w="39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52" w:lineRule="exact"/>
        <w:rPr>
          <w:sz w:val="20"/>
          <w:szCs w:val="20"/>
          <w:color w:val="auto"/>
        </w:rPr>
      </w:pPr>
    </w:p>
    <w:p>
      <w:pPr>
        <w:ind w:left="1780" w:right="739"/>
        <w:spacing w:after="0" w:line="261" w:lineRule="auto"/>
        <w:rPr>
          <w:sz w:val="20"/>
          <w:szCs w:val="20"/>
          <w:color w:val="auto"/>
        </w:rPr>
      </w:pPr>
      <w:r>
        <w:rPr>
          <w:rFonts w:ascii="Arial" w:cs="Arial" w:eastAsia="Arial" w:hAnsi="Arial"/>
          <w:sz w:val="13"/>
          <w:szCs w:val="13"/>
          <w:color w:val="auto"/>
        </w:rPr>
        <w:t>Deferred revenues are contract liabilities within the scope of IFRS 15. The Group recognized expenses related to the amortization of capitalized cost of obtaining a contract of €0.1 million and €0.2 million for the three months ended June 30, 2023 and June 30, 2022.</w:t>
      </w:r>
    </w:p>
    <w:p>
      <w:pPr>
        <w:spacing w:after="0" w:line="130" w:lineRule="exact"/>
        <w:rPr>
          <w:sz w:val="20"/>
          <w:szCs w:val="20"/>
          <w:color w:val="auto"/>
        </w:rPr>
      </w:pPr>
    </w:p>
    <w:p>
      <w:pPr>
        <w:ind w:left="1780" w:right="679"/>
        <w:spacing w:after="0" w:line="261" w:lineRule="auto"/>
        <w:rPr>
          <w:sz w:val="20"/>
          <w:szCs w:val="20"/>
          <w:color w:val="auto"/>
        </w:rPr>
      </w:pPr>
      <w:r>
        <w:rPr>
          <w:rFonts w:ascii="Arial" w:cs="Arial" w:eastAsia="Arial" w:hAnsi="Arial"/>
          <w:sz w:val="13"/>
          <w:szCs w:val="13"/>
          <w:color w:val="auto"/>
        </w:rPr>
        <w:t>The Group recognized expenses related to the amortization of capitalized cost of obtaining a contract of €0.1 million and €0.3 million for the six months ended June 30, 2023 and June 30, 2022.</w:t>
      </w:r>
    </w:p>
    <w:p>
      <w:pPr>
        <w:sectPr>
          <w:pgSz w:w="11900" w:h="16838" w:orient="portrait"/>
          <w:cols w:equalWidth="0" w:num="1">
            <w:col w:w="10159"/>
          </w:cols>
          <w:pgMar w:left="300" w:top="383" w:right="1440" w:bottom="1440" w:gutter="0" w:footer="0" w:header="0"/>
        </w:sectPr>
      </w:pPr>
    </w:p>
    <w:bookmarkStart w:id="11" w:name="page12"/>
    <w:bookmarkEnd w:id="11"/>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Table of Contents</w:t>
      </w:r>
    </w:p>
    <w:p>
      <w:pPr>
        <w:spacing w:after="0" w:line="210" w:lineRule="exact"/>
        <w:rPr>
          <w:sz w:val="20"/>
          <w:szCs w:val="20"/>
          <w:color w:val="auto"/>
        </w:rPr>
      </w:pPr>
    </w:p>
    <w:p>
      <w:pPr>
        <w:ind w:left="1780"/>
        <w:spacing w:after="0"/>
        <w:rPr>
          <w:sz w:val="20"/>
          <w:szCs w:val="20"/>
          <w:color w:val="auto"/>
        </w:rPr>
      </w:pPr>
      <w:r>
        <w:rPr>
          <w:rFonts w:ascii="Arial" w:cs="Arial" w:eastAsia="Arial" w:hAnsi="Arial"/>
          <w:sz w:val="13"/>
          <w:szCs w:val="13"/>
          <w:b w:val="1"/>
          <w:bCs w:val="1"/>
          <w:color w:val="auto"/>
        </w:rPr>
        <w:t>6. Financial result</w:t>
      </w:r>
    </w:p>
    <w:p>
      <w:pPr>
        <w:spacing w:after="0" w:line="82" w:lineRule="exact"/>
        <w:rPr>
          <w:sz w:val="20"/>
          <w:szCs w:val="20"/>
          <w:color w:val="auto"/>
        </w:rPr>
      </w:pPr>
    </w:p>
    <w:p>
      <w:pPr>
        <w:ind w:left="1780"/>
        <w:spacing w:after="0"/>
        <w:rPr>
          <w:sz w:val="20"/>
          <w:szCs w:val="20"/>
          <w:color w:val="auto"/>
        </w:rPr>
      </w:pPr>
      <w:r>
        <w:rPr>
          <w:rFonts w:ascii="Arial" w:cs="Arial" w:eastAsia="Arial" w:hAnsi="Arial"/>
          <w:sz w:val="13"/>
          <w:szCs w:val="13"/>
          <w:color w:val="auto"/>
        </w:rPr>
        <w:t>Other financial income and financial expenses consist of the following:</w:t>
      </w:r>
    </w:p>
    <w:p>
      <w:pPr>
        <w:spacing w:after="0" w:line="167" w:lineRule="exact"/>
        <w:rPr>
          <w:sz w:val="20"/>
          <w:szCs w:val="20"/>
          <w:color w:val="auto"/>
        </w:rPr>
      </w:pPr>
    </w:p>
    <w:tbl>
      <w:tblPr>
        <w:tblLayout w:type="fixed"/>
        <w:tblInd w:w="2100" w:type="dxa"/>
        <w:tblCellMar>
          <w:top w:w="0" w:type="dxa"/>
          <w:left w:w="0" w:type="dxa"/>
          <w:bottom w:w="0" w:type="dxa"/>
          <w:right w:w="0" w:type="dxa"/>
        </w:tblCellMar>
      </w:tblPr>
      <w:tr>
        <w:trPr>
          <w:trHeight w:val="119"/>
        </w:trPr>
        <w:tc>
          <w:tcPr>
            <w:tcW w:w="4300" w:type="dxa"/>
            <w:vAlign w:val="bottom"/>
          </w:tcPr>
          <w:p>
            <w:pPr>
              <w:spacing w:after="0"/>
              <w:rPr>
                <w:sz w:val="10"/>
                <w:szCs w:val="10"/>
                <w:color w:val="auto"/>
              </w:rPr>
            </w:pPr>
          </w:p>
        </w:tc>
        <w:tc>
          <w:tcPr>
            <w:tcW w:w="1520" w:type="dxa"/>
            <w:vAlign w:val="bottom"/>
            <w:gridSpan w:val="4"/>
          </w:tcPr>
          <w:p>
            <w:pPr>
              <w:jc w:val="right"/>
              <w:ind w:right="240"/>
              <w:spacing w:after="0"/>
              <w:rPr>
                <w:sz w:val="20"/>
                <w:szCs w:val="20"/>
                <w:color w:val="auto"/>
              </w:rPr>
            </w:pPr>
            <w:r>
              <w:rPr>
                <w:rFonts w:ascii="Arial" w:cs="Arial" w:eastAsia="Arial" w:hAnsi="Arial"/>
                <w:sz w:val="10"/>
                <w:szCs w:val="10"/>
                <w:b w:val="1"/>
                <w:bCs w:val="1"/>
                <w:color w:val="auto"/>
                <w:w w:val="89"/>
              </w:rPr>
              <w:t>Three months ended June 30,</w:t>
            </w:r>
          </w:p>
        </w:tc>
        <w:tc>
          <w:tcPr>
            <w:tcW w:w="1280" w:type="dxa"/>
            <w:vAlign w:val="bottom"/>
            <w:gridSpan w:val="4"/>
          </w:tcPr>
          <w:p>
            <w:pPr>
              <w:jc w:val="right"/>
              <w:ind w:right="100"/>
              <w:spacing w:after="0"/>
              <w:rPr>
                <w:sz w:val="20"/>
                <w:szCs w:val="20"/>
                <w:color w:val="auto"/>
              </w:rPr>
            </w:pPr>
            <w:r>
              <w:rPr>
                <w:rFonts w:ascii="Arial" w:cs="Arial" w:eastAsia="Arial" w:hAnsi="Arial"/>
                <w:sz w:val="10"/>
                <w:szCs w:val="10"/>
                <w:b w:val="1"/>
                <w:bCs w:val="1"/>
                <w:color w:val="auto"/>
                <w:w w:val="89"/>
              </w:rPr>
              <w:t>Six months ended June 30,</w:t>
            </w:r>
          </w:p>
        </w:tc>
        <w:tc>
          <w:tcPr>
            <w:tcW w:w="0" w:type="dxa"/>
            <w:vAlign w:val="bottom"/>
          </w:tcPr>
          <w:p>
            <w:pPr>
              <w:spacing w:after="0"/>
              <w:rPr>
                <w:sz w:val="1"/>
                <w:szCs w:val="1"/>
                <w:color w:val="auto"/>
              </w:rPr>
            </w:pPr>
          </w:p>
        </w:tc>
      </w:tr>
      <w:tr>
        <w:trPr>
          <w:trHeight w:val="94"/>
        </w:trPr>
        <w:tc>
          <w:tcPr>
            <w:tcW w:w="4300" w:type="dxa"/>
            <w:vAlign w:val="bottom"/>
          </w:tcPr>
          <w:p>
            <w:pPr>
              <w:spacing w:after="0"/>
              <w:rPr>
                <w:sz w:val="8"/>
                <w:szCs w:val="8"/>
                <w:color w:val="auto"/>
              </w:rPr>
            </w:pPr>
          </w:p>
        </w:tc>
        <w:tc>
          <w:tcPr>
            <w:tcW w:w="580" w:type="dxa"/>
            <w:vAlign w:val="bottom"/>
            <w:tcBorders>
              <w:top w:val="single" w:sz="8" w:color="auto"/>
              <w:bottom w:val="single" w:sz="8" w:color="auto"/>
            </w:tcBorders>
          </w:tcPr>
          <w:p>
            <w:pPr>
              <w:jc w:val="right"/>
              <w:ind w:right="140"/>
              <w:spacing w:after="0" w:line="94" w:lineRule="exact"/>
              <w:rPr>
                <w:sz w:val="20"/>
                <w:szCs w:val="20"/>
                <w:color w:val="auto"/>
              </w:rPr>
            </w:pPr>
            <w:r>
              <w:rPr>
                <w:rFonts w:ascii="Arial" w:cs="Arial" w:eastAsia="Arial" w:hAnsi="Arial"/>
                <w:sz w:val="10"/>
                <w:szCs w:val="10"/>
                <w:b w:val="1"/>
                <w:bCs w:val="1"/>
                <w:color w:val="auto"/>
              </w:rPr>
              <w:t>2023</w:t>
            </w:r>
          </w:p>
        </w:tc>
        <w:tc>
          <w:tcPr>
            <w:tcW w:w="22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78"/>
              <w:spacing w:after="0" w:line="94" w:lineRule="exact"/>
              <w:rPr>
                <w:sz w:val="20"/>
                <w:szCs w:val="20"/>
                <w:color w:val="auto"/>
              </w:rPr>
            </w:pPr>
            <w:r>
              <w:rPr>
                <w:rFonts w:ascii="Arial" w:cs="Arial" w:eastAsia="Arial" w:hAnsi="Arial"/>
                <w:sz w:val="10"/>
                <w:szCs w:val="10"/>
                <w:b w:val="1"/>
                <w:bCs w:val="1"/>
                <w:color w:val="auto"/>
              </w:rPr>
              <w:t>2022</w:t>
            </w:r>
          </w:p>
        </w:tc>
        <w:tc>
          <w:tcPr>
            <w:tcW w:w="220" w:type="dxa"/>
            <w:vAlign w:val="bottom"/>
          </w:tcPr>
          <w:p>
            <w:pPr>
              <w:spacing w:after="0"/>
              <w:rPr>
                <w:sz w:val="8"/>
                <w:szCs w:val="8"/>
                <w:color w:val="auto"/>
              </w:rPr>
            </w:pPr>
          </w:p>
        </w:tc>
        <w:tc>
          <w:tcPr>
            <w:tcW w:w="480" w:type="dxa"/>
            <w:vAlign w:val="bottom"/>
            <w:tcBorders>
              <w:top w:val="single" w:sz="8" w:color="auto"/>
              <w:bottom w:val="single" w:sz="8" w:color="auto"/>
            </w:tcBorders>
          </w:tcPr>
          <w:p>
            <w:pPr>
              <w:jc w:val="right"/>
              <w:ind w:right="80"/>
              <w:spacing w:after="0" w:line="94" w:lineRule="exact"/>
              <w:rPr>
                <w:sz w:val="20"/>
                <w:szCs w:val="20"/>
                <w:color w:val="auto"/>
              </w:rPr>
            </w:pPr>
            <w:r>
              <w:rPr>
                <w:rFonts w:ascii="Arial" w:cs="Arial" w:eastAsia="Arial" w:hAnsi="Arial"/>
                <w:sz w:val="10"/>
                <w:szCs w:val="10"/>
                <w:b w:val="1"/>
                <w:bCs w:val="1"/>
                <w:color w:val="auto"/>
              </w:rPr>
              <w:t>2023</w:t>
            </w:r>
          </w:p>
        </w:tc>
        <w:tc>
          <w:tcPr>
            <w:tcW w:w="22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78"/>
              <w:spacing w:after="0" w:line="94" w:lineRule="exact"/>
              <w:rPr>
                <w:sz w:val="20"/>
                <w:szCs w:val="20"/>
                <w:color w:val="auto"/>
              </w:rPr>
            </w:pPr>
            <w:r>
              <w:rPr>
                <w:rFonts w:ascii="Arial" w:cs="Arial" w:eastAsia="Arial" w:hAnsi="Arial"/>
                <w:sz w:val="10"/>
                <w:szCs w:val="10"/>
                <w:b w:val="1"/>
                <w:bCs w:val="1"/>
                <w:color w:val="auto"/>
              </w:rPr>
              <w:t>2022</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300" w:type="dxa"/>
            <w:vAlign w:val="bottom"/>
          </w:tcPr>
          <w:p>
            <w:pPr>
              <w:spacing w:after="0"/>
              <w:rPr>
                <w:sz w:val="8"/>
                <w:szCs w:val="8"/>
                <w:color w:val="auto"/>
              </w:rPr>
            </w:pPr>
          </w:p>
        </w:tc>
        <w:tc>
          <w:tcPr>
            <w:tcW w:w="1300" w:type="dxa"/>
            <w:vAlign w:val="bottom"/>
            <w:gridSpan w:val="3"/>
          </w:tcPr>
          <w:p>
            <w:pPr>
              <w:jc w:val="right"/>
              <w:ind w:right="138"/>
              <w:spacing w:after="0" w:line="94" w:lineRule="exact"/>
              <w:rPr>
                <w:sz w:val="20"/>
                <w:szCs w:val="20"/>
                <w:color w:val="auto"/>
              </w:rPr>
            </w:pPr>
            <w:r>
              <w:rPr>
                <w:rFonts w:ascii="Arial" w:cs="Arial" w:eastAsia="Arial" w:hAnsi="Arial"/>
                <w:sz w:val="10"/>
                <w:szCs w:val="10"/>
                <w:b w:val="1"/>
                <w:bCs w:val="1"/>
                <w:color w:val="auto"/>
              </w:rPr>
              <w:t>(Euros in thousands)</w:t>
            </w:r>
          </w:p>
        </w:tc>
        <w:tc>
          <w:tcPr>
            <w:tcW w:w="220" w:type="dxa"/>
            <w:vAlign w:val="bottom"/>
          </w:tcPr>
          <w:p>
            <w:pPr>
              <w:spacing w:after="0"/>
              <w:rPr>
                <w:sz w:val="8"/>
                <w:szCs w:val="8"/>
                <w:color w:val="auto"/>
              </w:rPr>
            </w:pPr>
          </w:p>
        </w:tc>
        <w:tc>
          <w:tcPr>
            <w:tcW w:w="1200" w:type="dxa"/>
            <w:vAlign w:val="bottom"/>
            <w:gridSpan w:val="3"/>
          </w:tcPr>
          <w:p>
            <w:pPr>
              <w:jc w:val="right"/>
              <w:ind w:right="98"/>
              <w:spacing w:after="0" w:line="94" w:lineRule="exact"/>
              <w:rPr>
                <w:sz w:val="20"/>
                <w:szCs w:val="20"/>
                <w:color w:val="auto"/>
              </w:rPr>
            </w:pPr>
            <w:r>
              <w:rPr>
                <w:rFonts w:ascii="Arial" w:cs="Arial" w:eastAsia="Arial" w:hAnsi="Arial"/>
                <w:sz w:val="10"/>
                <w:szCs w:val="10"/>
                <w:b w:val="1"/>
                <w:bCs w:val="1"/>
                <w:color w:val="auto"/>
              </w:rPr>
              <w:t>(Euros in thousands)</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2,744</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69</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4,999</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52"/>
        </w:trPr>
        <w:tc>
          <w:tcPr>
            <w:tcW w:w="4300" w:type="dxa"/>
            <w:vAlign w:val="bottom"/>
          </w:tcPr>
          <w:p>
            <w:pPr>
              <w:spacing w:after="0"/>
              <w:rPr>
                <w:sz w:val="20"/>
                <w:szCs w:val="20"/>
                <w:color w:val="auto"/>
              </w:rPr>
            </w:pPr>
            <w:r>
              <w:rPr>
                <w:rFonts w:ascii="Arial" w:cs="Arial" w:eastAsia="Arial" w:hAnsi="Arial"/>
                <w:sz w:val="13"/>
                <w:szCs w:val="13"/>
                <w:color w:val="auto"/>
              </w:rPr>
              <w:t>Foreign currency gains</w:t>
            </w:r>
          </w:p>
        </w:tc>
        <w:tc>
          <w:tcPr>
            <w:tcW w:w="580" w:type="dxa"/>
            <w:vAlign w:val="bottom"/>
          </w:tcPr>
          <w:p>
            <w:pPr>
              <w:jc w:val="right"/>
              <w:spacing w:after="0"/>
              <w:rPr>
                <w:sz w:val="20"/>
                <w:szCs w:val="20"/>
                <w:color w:val="auto"/>
              </w:rPr>
            </w:pPr>
            <w:r>
              <w:rPr>
                <w:rFonts w:ascii="Arial" w:cs="Arial" w:eastAsia="Arial" w:hAnsi="Arial"/>
                <w:sz w:val="13"/>
                <w:szCs w:val="13"/>
                <w:color w:val="auto"/>
              </w:rPr>
              <w:t>1,210</w:t>
            </w:r>
          </w:p>
        </w:tc>
        <w:tc>
          <w:tcPr>
            <w:tcW w:w="22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6,946</w:t>
            </w: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1,749</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8,699</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Other financial income</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3,954</w:t>
            </w:r>
          </w:p>
        </w:tc>
        <w:tc>
          <w:tcPr>
            <w:tcW w:w="2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7,015</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6,748</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8,774</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3"/>
                <w:szCs w:val="13"/>
                <w:color w:val="auto"/>
              </w:rPr>
              <w:t>Interest expenses</w:t>
            </w: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300" w:type="dxa"/>
            <w:vAlign w:val="bottom"/>
            <w:vMerge w:val="continue"/>
          </w:tcPr>
          <w:p>
            <w:pPr>
              <w:spacing w:after="0"/>
              <w:rPr>
                <w:sz w:val="13"/>
                <w:szCs w:val="13"/>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(206)</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(376)</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(401)</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(538)</w:t>
            </w:r>
          </w:p>
        </w:tc>
        <w:tc>
          <w:tcPr>
            <w:tcW w:w="0" w:type="dxa"/>
            <w:vAlign w:val="bottom"/>
          </w:tcPr>
          <w:p>
            <w:pPr>
              <w:spacing w:after="0"/>
              <w:rPr>
                <w:sz w:val="1"/>
                <w:szCs w:val="1"/>
                <w:color w:val="auto"/>
              </w:rPr>
            </w:pPr>
          </w:p>
        </w:tc>
      </w:tr>
      <w:tr>
        <w:trPr>
          <w:trHeight w:val="152"/>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Foreign currency losses</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(805)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(31)</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(4,119)</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(986)</w:t>
            </w:r>
          </w:p>
        </w:tc>
        <w:tc>
          <w:tcPr>
            <w:tcW w:w="0" w:type="dxa"/>
            <w:vAlign w:val="bottom"/>
          </w:tcPr>
          <w:p>
            <w:pPr>
              <w:spacing w:after="0"/>
              <w:rPr>
                <w:sz w:val="1"/>
                <w:szCs w:val="1"/>
                <w:color w:val="auto"/>
              </w:rPr>
            </w:pPr>
          </w:p>
        </w:tc>
      </w:tr>
      <w:tr>
        <w:trPr>
          <w:trHeight w:val="152"/>
        </w:trPr>
        <w:tc>
          <w:tcPr>
            <w:tcW w:w="4300" w:type="dxa"/>
            <w:vAlign w:val="bottom"/>
          </w:tcPr>
          <w:p>
            <w:pPr>
              <w:spacing w:after="0"/>
              <w:rPr>
                <w:sz w:val="20"/>
                <w:szCs w:val="20"/>
                <w:color w:val="auto"/>
              </w:rPr>
            </w:pPr>
            <w:r>
              <w:rPr>
                <w:rFonts w:ascii="Arial" w:cs="Arial" w:eastAsia="Arial" w:hAnsi="Arial"/>
                <w:sz w:val="13"/>
                <w:szCs w:val="13"/>
                <w:color w:val="auto"/>
              </w:rPr>
              <w:t>Losses on financial instruments</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(133)</w:t>
            </w: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(133)</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Other financial expenses</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(1,144)</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(407)</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(4,653)</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(1,524)</w:t>
            </w:r>
          </w:p>
        </w:tc>
        <w:tc>
          <w:tcPr>
            <w:tcW w:w="0" w:type="dxa"/>
            <w:vAlign w:val="bottom"/>
          </w:tcPr>
          <w:p>
            <w:pPr>
              <w:spacing w:after="0"/>
              <w:rPr>
                <w:sz w:val="1"/>
                <w:szCs w:val="1"/>
                <w:color w:val="auto"/>
              </w:rPr>
            </w:pPr>
          </w:p>
        </w:tc>
      </w:tr>
      <w:tr>
        <w:trPr>
          <w:trHeight w:val="152"/>
        </w:trPr>
        <w:tc>
          <w:tcPr>
            <w:tcW w:w="4300" w:type="dxa"/>
            <w:vAlign w:val="bottom"/>
          </w:tcPr>
          <w:p>
            <w:pPr>
              <w:spacing w:after="0"/>
              <w:rPr>
                <w:sz w:val="20"/>
                <w:szCs w:val="20"/>
                <w:color w:val="auto"/>
              </w:rPr>
            </w:pPr>
            <w:r>
              <w:rPr>
                <w:rFonts w:ascii="Arial" w:cs="Arial" w:eastAsia="Arial" w:hAnsi="Arial"/>
                <w:sz w:val="13"/>
                <w:szCs w:val="13"/>
                <w:color w:val="auto"/>
              </w:rPr>
              <w:t>Change in fair value of liabilities for warrants</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(13,105)</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(2,786)</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(5,708)</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13,743</w:t>
            </w:r>
          </w:p>
        </w:tc>
        <w:tc>
          <w:tcPr>
            <w:tcW w:w="0" w:type="dxa"/>
            <w:vAlign w:val="bottom"/>
          </w:tcPr>
          <w:p>
            <w:pPr>
              <w:spacing w:after="0"/>
              <w:rPr>
                <w:sz w:val="1"/>
                <w:szCs w:val="1"/>
                <w:color w:val="auto"/>
              </w:rPr>
            </w:pPr>
          </w:p>
        </w:tc>
      </w:tr>
      <w:tr>
        <w:trPr>
          <w:trHeight w:val="152"/>
        </w:trPr>
        <w:tc>
          <w:tcPr>
            <w:tcW w:w="4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Financial result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(10,295)</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3,822</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(3,613)</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20,993</w:t>
            </w:r>
          </w:p>
        </w:tc>
        <w:tc>
          <w:tcPr>
            <w:tcW w:w="0" w:type="dxa"/>
            <w:vAlign w:val="bottom"/>
          </w:tcPr>
          <w:p>
            <w:pPr>
              <w:spacing w:after="0"/>
              <w:rPr>
                <w:sz w:val="1"/>
                <w:szCs w:val="1"/>
                <w:color w:val="auto"/>
              </w:rPr>
            </w:pPr>
          </w:p>
        </w:tc>
      </w:tr>
      <w:tr>
        <w:trPr>
          <w:trHeight w:val="28"/>
        </w:trPr>
        <w:tc>
          <w:tcPr>
            <w:tcW w:w="4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1780" w:right="879"/>
        <w:spacing w:after="0" w:line="261" w:lineRule="auto"/>
        <w:rPr>
          <w:sz w:val="20"/>
          <w:szCs w:val="20"/>
          <w:color w:val="auto"/>
        </w:rPr>
      </w:pPr>
      <w:r>
        <w:rPr>
          <w:rFonts w:ascii="Arial" w:cs="Arial" w:eastAsia="Arial" w:hAnsi="Arial"/>
          <w:sz w:val="13"/>
          <w:szCs w:val="13"/>
          <w:color w:val="auto"/>
        </w:rPr>
        <w:t>Interest income mainly results from short-term deposits as well as cash balances for the three and six months ended June 30, 2023. Interest expenses mainly results from leases.</w:t>
      </w:r>
    </w:p>
    <w:p>
      <w:pPr>
        <w:spacing w:after="0" w:line="130" w:lineRule="exact"/>
        <w:rPr>
          <w:sz w:val="20"/>
          <w:szCs w:val="20"/>
          <w:color w:val="auto"/>
        </w:rPr>
      </w:pPr>
    </w:p>
    <w:p>
      <w:pPr>
        <w:ind w:left="1780" w:right="939"/>
        <w:spacing w:after="0" w:line="261" w:lineRule="auto"/>
        <w:rPr>
          <w:sz w:val="20"/>
          <w:szCs w:val="20"/>
          <w:color w:val="auto"/>
        </w:rPr>
      </w:pPr>
      <w:r>
        <w:rPr>
          <w:rFonts w:ascii="Arial" w:cs="Arial" w:eastAsia="Arial" w:hAnsi="Arial"/>
          <w:sz w:val="13"/>
          <w:szCs w:val="13"/>
          <w:color w:val="auto"/>
        </w:rPr>
        <w:t>Foreign currency gains and losses mainly consist of realized and unrealized gains and losses in connection with our USD holdings of cash and cash equivalents, short-term deposits as well as bonds.</w:t>
      </w:r>
    </w:p>
    <w:p>
      <w:pPr>
        <w:spacing w:after="0" w:line="130" w:lineRule="exact"/>
        <w:rPr>
          <w:sz w:val="20"/>
          <w:szCs w:val="20"/>
          <w:color w:val="auto"/>
        </w:rPr>
      </w:pPr>
    </w:p>
    <w:p>
      <w:pPr>
        <w:ind w:left="1780" w:right="779"/>
        <w:spacing w:after="0" w:line="283" w:lineRule="auto"/>
        <w:rPr>
          <w:sz w:val="20"/>
          <w:szCs w:val="20"/>
          <w:color w:val="auto"/>
        </w:rPr>
      </w:pPr>
      <w:r>
        <w:rPr>
          <w:rFonts w:ascii="Arial" w:cs="Arial" w:eastAsia="Arial" w:hAnsi="Arial"/>
          <w:sz w:val="12"/>
          <w:szCs w:val="12"/>
          <w:color w:val="auto"/>
        </w:rPr>
        <w:t>The fair value of the warrants decreased from €2.35 ($2.51) per warrant as of December 31, 2022 to €1.32 ($1.44) as of March 31, 2023 and increased to €3.15 ($3.42) as of June 30, 2023. The result is an increase in fair value of warrant liabilities of €13.1 million for the three months ended June 30, 2023 and an increase in fair value of warrant liabilities of €5.7 million for the six months ended June 30, 2023.</w:t>
      </w:r>
    </w:p>
    <w:p>
      <w:pPr>
        <w:spacing w:after="0" w:line="118" w:lineRule="exact"/>
        <w:rPr>
          <w:sz w:val="20"/>
          <w:szCs w:val="20"/>
          <w:color w:val="auto"/>
        </w:rPr>
      </w:pPr>
    </w:p>
    <w:p>
      <w:pPr>
        <w:ind w:left="1780" w:right="659"/>
        <w:spacing w:after="0" w:line="283" w:lineRule="auto"/>
        <w:rPr>
          <w:sz w:val="20"/>
          <w:szCs w:val="20"/>
          <w:color w:val="auto"/>
        </w:rPr>
      </w:pPr>
      <w:r>
        <w:rPr>
          <w:rFonts w:ascii="Arial" w:cs="Arial" w:eastAsia="Arial" w:hAnsi="Arial"/>
          <w:sz w:val="12"/>
          <w:szCs w:val="12"/>
          <w:color w:val="auto"/>
        </w:rPr>
        <w:t>The fair value of the warrants decreased from €3.88 ($4.39) per warrant as of December 31, 2021 to €1.58 ($1.75) as of March 31, 2022 and increased to €1.96 ($2.04) as of June 30, 2022. The result is an increase in fair value of warrant liabilities of €2.8 million for the three months ended June 30, 2022 and a decrease in fair value of warrant liabilities of €13.7 million for the six months ended June 30, 2022.</w:t>
      </w:r>
    </w:p>
    <w:p>
      <w:pPr>
        <w:spacing w:after="0" w:line="190" w:lineRule="exact"/>
        <w:rPr>
          <w:sz w:val="20"/>
          <w:szCs w:val="20"/>
          <w:color w:val="auto"/>
        </w:rPr>
      </w:pPr>
    </w:p>
    <w:p>
      <w:pPr>
        <w:ind w:left="1780"/>
        <w:spacing w:after="0"/>
        <w:rPr>
          <w:sz w:val="20"/>
          <w:szCs w:val="20"/>
          <w:color w:val="auto"/>
        </w:rPr>
      </w:pPr>
      <w:r>
        <w:rPr>
          <w:rFonts w:ascii="Arial" w:cs="Arial" w:eastAsia="Arial" w:hAnsi="Arial"/>
          <w:sz w:val="13"/>
          <w:szCs w:val="13"/>
          <w:b w:val="1"/>
          <w:bCs w:val="1"/>
          <w:color w:val="auto"/>
        </w:rPr>
        <w:t>7. Income Tax</w:t>
      </w:r>
    </w:p>
    <w:p>
      <w:pPr>
        <w:spacing w:after="0" w:line="82" w:lineRule="exact"/>
        <w:rPr>
          <w:sz w:val="20"/>
          <w:szCs w:val="20"/>
          <w:color w:val="auto"/>
        </w:rPr>
      </w:pPr>
    </w:p>
    <w:p>
      <w:pPr>
        <w:ind w:left="1780" w:right="839"/>
        <w:spacing w:after="0" w:line="273" w:lineRule="auto"/>
        <w:rPr>
          <w:sz w:val="20"/>
          <w:szCs w:val="20"/>
          <w:color w:val="auto"/>
        </w:rPr>
      </w:pPr>
      <w:r>
        <w:rPr>
          <w:rFonts w:ascii="Arial" w:cs="Arial" w:eastAsia="Arial" w:hAnsi="Arial"/>
          <w:sz w:val="12"/>
          <w:szCs w:val="12"/>
          <w:color w:val="auto"/>
        </w:rPr>
        <w:t>During the three and six months ended June 30, 2023, the Group generated a net loss. The Group correspondingly recognized no income tax expense and no equivalent current tax liability for the three and six months ended June 30, 2023. During the three months ended March 31, 2022, the Group generated a net income due to the recognition of revenue in connection with the license component of the BMS collaboration agreement on IMA401. This one-time revenue is not accounted for under German GAAP and consequently under German tax accounting. Instead, the Group recognizes revenue for the BMS agreement over the period of the clinical trial service.</w:t>
      </w:r>
    </w:p>
    <w:p>
      <w:pPr>
        <w:spacing w:after="0" w:line="125" w:lineRule="exact"/>
        <w:rPr>
          <w:sz w:val="20"/>
          <w:szCs w:val="20"/>
          <w:color w:val="auto"/>
        </w:rPr>
      </w:pPr>
    </w:p>
    <w:p>
      <w:pPr>
        <w:jc w:val="both"/>
        <w:ind w:left="1780" w:right="659"/>
        <w:spacing w:after="0" w:line="276" w:lineRule="auto"/>
        <w:rPr>
          <w:sz w:val="20"/>
          <w:szCs w:val="20"/>
          <w:color w:val="auto"/>
        </w:rPr>
      </w:pPr>
      <w:r>
        <w:rPr>
          <w:rFonts w:ascii="Arial" w:cs="Arial" w:eastAsia="Arial" w:hAnsi="Arial"/>
          <w:sz w:val="12"/>
          <w:szCs w:val="12"/>
          <w:color w:val="auto"/>
        </w:rPr>
        <w:t>The deferred tax liability arising from the temporary difference related to delayed revenue recognition under German tax accounting is offset by deferred tax assets on tax losses carried forward that were previously not capitalized due to the Groups expectation of generating taxable losses in the foreseeable future. During the three and six months ended June 30, 2023 and 2022, the Group’s German operations were subject to a statutory tax rate of 28.5% and the Group´s U.S. operations were subject to a federal corporate income tax rate of 21%.</w:t>
      </w:r>
    </w:p>
    <w:p>
      <w:pPr>
        <w:spacing w:after="0" w:line="123" w:lineRule="exact"/>
        <w:rPr>
          <w:sz w:val="20"/>
          <w:szCs w:val="20"/>
          <w:color w:val="auto"/>
        </w:rPr>
      </w:pPr>
    </w:p>
    <w:p>
      <w:pPr>
        <w:ind w:left="1780" w:right="699"/>
        <w:spacing w:after="0" w:line="298" w:lineRule="auto"/>
        <w:rPr>
          <w:sz w:val="20"/>
          <w:szCs w:val="20"/>
          <w:color w:val="auto"/>
        </w:rPr>
      </w:pPr>
      <w:r>
        <w:rPr>
          <w:rFonts w:ascii="Arial" w:cs="Arial" w:eastAsia="Arial" w:hAnsi="Arial"/>
          <w:sz w:val="11"/>
          <w:szCs w:val="11"/>
          <w:color w:val="auto"/>
        </w:rPr>
        <w:t>For Immatics GmbH, the Group recognized an income tax expense and an equivalent current tax liability in the amount of €1.2 million for the three and six months ended June 30, 2022. The income tax expense is calculated based on taxable income of Immatics GmbH for the three and six months ended June 30, 2022 and does not take into account potential income or loss of the following quarters. The Group applied the estimated effective tax rate for the financial year 2022 to the taxable income for the three and six months ended June 30, 2022. Since no deferred tax assets have been recognized as of December 31, 2021, the Group took into account the tax losses carried forward that can be used to offset the taxable income generated in the three and six months ended June 30, 2022. In accordance with §10d para 2 EStG (German income tax code), 60% of an income of a given year can be offset with tax losses carried forward. Accordingly, 40% of the income before tax of Immatics GmbH are subject to income tax.</w:t>
      </w:r>
    </w:p>
    <w:p>
      <w:pPr>
        <w:spacing w:after="0" w:line="114" w:lineRule="exact"/>
        <w:rPr>
          <w:sz w:val="20"/>
          <w:szCs w:val="20"/>
          <w:color w:val="auto"/>
        </w:rPr>
      </w:pPr>
    </w:p>
    <w:p>
      <w:pPr>
        <w:jc w:val="both"/>
        <w:ind w:left="1780" w:right="819"/>
        <w:spacing w:after="0" w:line="320" w:lineRule="auto"/>
        <w:rPr>
          <w:sz w:val="20"/>
          <w:szCs w:val="20"/>
          <w:color w:val="auto"/>
        </w:rPr>
      </w:pPr>
      <w:r>
        <w:rPr>
          <w:rFonts w:ascii="Arial" w:cs="Arial" w:eastAsia="Arial" w:hAnsi="Arial"/>
          <w:sz w:val="11"/>
          <w:szCs w:val="11"/>
          <w:color w:val="auto"/>
        </w:rPr>
        <w:t>As the profit generated in the three and six months ended June 30, 2022, is considered a one-time profit, no deferred tax assets exceeding the deferred tax liability for temporary differences have been recognized in respect of tax losses carried forward. The current assessment regarding the usability of deferred tax assets may change, depending on the Group’s taxable income in future years, which could result in the recognition of deferred tax assets.</w:t>
      </w:r>
    </w:p>
    <w:p>
      <w:pPr>
        <w:sectPr>
          <w:pgSz w:w="11900" w:h="16838" w:orient="portrait"/>
          <w:cols w:equalWidth="0" w:num="1">
            <w:col w:w="10159"/>
          </w:cols>
          <w:pgMar w:left="300" w:top="383" w:right="1440" w:bottom="1440" w:gutter="0" w:footer="0" w:header="0"/>
        </w:sectPr>
      </w:pPr>
    </w:p>
    <w:bookmarkStart w:id="12" w:name="page13"/>
    <w:bookmarkEnd w:id="12"/>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Table of Contents</w:t>
      </w:r>
    </w:p>
    <w:p>
      <w:pPr>
        <w:spacing w:after="0" w:line="214" w:lineRule="exact"/>
        <w:rPr>
          <w:sz w:val="20"/>
          <w:szCs w:val="20"/>
          <w:color w:val="auto"/>
        </w:rPr>
      </w:pPr>
    </w:p>
    <w:p>
      <w:pPr>
        <w:ind w:left="1780" w:right="799"/>
        <w:spacing w:after="0" w:line="261" w:lineRule="auto"/>
        <w:rPr>
          <w:sz w:val="20"/>
          <w:szCs w:val="20"/>
          <w:color w:val="auto"/>
        </w:rPr>
      </w:pPr>
      <w:r>
        <w:rPr>
          <w:rFonts w:ascii="Arial" w:cs="Arial" w:eastAsia="Arial" w:hAnsi="Arial"/>
          <w:sz w:val="13"/>
          <w:szCs w:val="13"/>
          <w:color w:val="auto"/>
        </w:rPr>
        <w:t>The Group continued to generate losses for all entities within the Group during the three and six months ended June 30, 2023 as well as for all entities apart from Immatics GmbH during the three and six months ended June 30, 2022.</w:t>
      </w:r>
    </w:p>
    <w:p>
      <w:pPr>
        <w:spacing w:after="0" w:line="130" w:lineRule="exact"/>
        <w:rPr>
          <w:sz w:val="20"/>
          <w:szCs w:val="20"/>
          <w:color w:val="auto"/>
        </w:rPr>
      </w:pPr>
    </w:p>
    <w:p>
      <w:pPr>
        <w:ind w:left="1780" w:right="839"/>
        <w:spacing w:after="0" w:line="261" w:lineRule="auto"/>
        <w:rPr>
          <w:sz w:val="20"/>
          <w:szCs w:val="20"/>
          <w:color w:val="auto"/>
        </w:rPr>
      </w:pPr>
      <w:r>
        <w:rPr>
          <w:rFonts w:ascii="Arial" w:cs="Arial" w:eastAsia="Arial" w:hAnsi="Arial"/>
          <w:sz w:val="13"/>
          <w:szCs w:val="13"/>
          <w:color w:val="auto"/>
        </w:rPr>
        <w:t>Due to changes in ownership in prior periods, there are certain limitations on tax losses carried forward for net operating losses incurred by Immatics US, Inc., under Section 382 of the U.S. Internal Revenue Code.</w:t>
      </w:r>
    </w:p>
    <w:p>
      <w:pPr>
        <w:spacing w:after="0" w:line="202" w:lineRule="exact"/>
        <w:rPr>
          <w:sz w:val="20"/>
          <w:szCs w:val="20"/>
          <w:color w:val="auto"/>
        </w:rPr>
      </w:pPr>
    </w:p>
    <w:p>
      <w:pPr>
        <w:ind w:left="1780"/>
        <w:spacing w:after="0"/>
        <w:rPr>
          <w:sz w:val="20"/>
          <w:szCs w:val="20"/>
          <w:color w:val="auto"/>
        </w:rPr>
      </w:pPr>
      <w:r>
        <w:rPr>
          <w:rFonts w:ascii="Arial" w:cs="Arial" w:eastAsia="Arial" w:hAnsi="Arial"/>
          <w:sz w:val="13"/>
          <w:szCs w:val="13"/>
          <w:b w:val="1"/>
          <w:bCs w:val="1"/>
          <w:color w:val="auto"/>
        </w:rPr>
        <w:t>8. Share-based payments</w:t>
      </w:r>
    </w:p>
    <w:p>
      <w:pPr>
        <w:spacing w:after="0" w:line="82" w:lineRule="exact"/>
        <w:rPr>
          <w:sz w:val="20"/>
          <w:szCs w:val="20"/>
          <w:color w:val="auto"/>
        </w:rPr>
      </w:pPr>
    </w:p>
    <w:p>
      <w:pPr>
        <w:ind w:left="1780" w:right="679"/>
        <w:spacing w:after="0" w:line="320" w:lineRule="auto"/>
        <w:rPr>
          <w:sz w:val="20"/>
          <w:szCs w:val="20"/>
          <w:color w:val="auto"/>
        </w:rPr>
      </w:pPr>
      <w:r>
        <w:rPr>
          <w:rFonts w:ascii="Arial" w:cs="Arial" w:eastAsia="Arial" w:hAnsi="Arial"/>
          <w:sz w:val="11"/>
          <w:szCs w:val="11"/>
          <w:color w:val="auto"/>
        </w:rPr>
        <w:t>Immatics N.V. has two share-based payment plans. In June 2020, Immatics N.V. established an initial equity incentive plan (“2020 Equity Plan”). At the Annual General Meeting on June 13, 2022, Immatics´s shareholders approved the Company’s 2022 stock option and incentive plan (“2022 Equity Plan”). The 2022 Equity Plan allows the company to grant additional options, other than that, it does not materially differ from the 2020 Equity Plan.</w:t>
      </w:r>
    </w:p>
    <w:p>
      <w:pPr>
        <w:spacing w:after="0" w:line="101" w:lineRule="exact"/>
        <w:rPr>
          <w:sz w:val="20"/>
          <w:szCs w:val="20"/>
          <w:color w:val="auto"/>
        </w:rPr>
      </w:pPr>
    </w:p>
    <w:p>
      <w:pPr>
        <w:ind w:left="1780" w:right="679"/>
        <w:spacing w:after="0" w:line="249" w:lineRule="auto"/>
        <w:rPr>
          <w:sz w:val="20"/>
          <w:szCs w:val="20"/>
          <w:color w:val="auto"/>
        </w:rPr>
      </w:pPr>
      <w:r>
        <w:rPr>
          <w:rFonts w:ascii="Arial" w:cs="Arial" w:eastAsia="Arial" w:hAnsi="Arial"/>
          <w:sz w:val="13"/>
          <w:szCs w:val="13"/>
          <w:color w:val="auto"/>
        </w:rPr>
        <w:t>Immatics GmbH previously issued share-based awards to employees under two different plans. Under the GmbH Stock Appreciation Program 2010 (the “2010 Plan”), the Company issued stock appreciation rights (“SARs”), which the Group accounted for as cash-settled awards. Under the Immatics Biotechnologies 2016 Equity Incentive Plan (“2016 Plan”), the Company issued tandem awards, which contained the possibility to function as either a SAR or a stock option.</w:t>
      </w:r>
    </w:p>
    <w:p>
      <w:pPr>
        <w:spacing w:after="0" w:line="138" w:lineRule="exact"/>
        <w:rPr>
          <w:sz w:val="20"/>
          <w:szCs w:val="20"/>
          <w:color w:val="auto"/>
        </w:rPr>
      </w:pPr>
    </w:p>
    <w:p>
      <w:pPr>
        <w:ind w:left="1780" w:right="739"/>
        <w:spacing w:after="0" w:line="261" w:lineRule="auto"/>
        <w:rPr>
          <w:sz w:val="20"/>
          <w:szCs w:val="20"/>
          <w:color w:val="auto"/>
        </w:rPr>
      </w:pPr>
      <w:r>
        <w:rPr>
          <w:rFonts w:ascii="Arial" w:cs="Arial" w:eastAsia="Arial" w:hAnsi="Arial"/>
          <w:sz w:val="13"/>
          <w:szCs w:val="13"/>
          <w:color w:val="auto"/>
        </w:rPr>
        <w:t>The Group accounted for awards issued under the 2016 Plan, which were redeemable in either cash or equity shares at the Group’s discretion, as equity settled.</w:t>
      </w:r>
    </w:p>
    <w:p>
      <w:pPr>
        <w:spacing w:after="0" w:line="130" w:lineRule="exact"/>
        <w:rPr>
          <w:sz w:val="20"/>
          <w:szCs w:val="20"/>
          <w:color w:val="auto"/>
        </w:rPr>
      </w:pPr>
    </w:p>
    <w:p>
      <w:pPr>
        <w:ind w:left="1780" w:right="779"/>
        <w:spacing w:after="0" w:line="273" w:lineRule="auto"/>
        <w:rPr>
          <w:sz w:val="20"/>
          <w:szCs w:val="20"/>
          <w:color w:val="auto"/>
        </w:rPr>
      </w:pPr>
      <w:r>
        <w:rPr>
          <w:rFonts w:ascii="Arial" w:cs="Arial" w:eastAsia="Arial" w:hAnsi="Arial"/>
          <w:sz w:val="12"/>
          <w:szCs w:val="12"/>
          <w:color w:val="auto"/>
        </w:rPr>
        <w:t>As part of the ARYA Merger, all outstanding awards under the 2010 Plan and 2016 Plan were replaced by a combination of cash payments and share-based awards under the 2020 Equity Plan in Immatics N.V. Under the 2020 Plan, management and employees have been granted different types of options, all of which are equity-settled transactions. As part of the replacement, active employees and management members received stock options (“Matching Stock Options”) to acquire shares in Immatics N.V. The Matching Stock Options have an exercise price of $10.00 and vested fully on July 31, 2021. The awards have a ten-year contract life.</w:t>
      </w:r>
    </w:p>
    <w:p>
      <w:pPr>
        <w:spacing w:after="0" w:line="125" w:lineRule="exact"/>
        <w:rPr>
          <w:sz w:val="20"/>
          <w:szCs w:val="20"/>
          <w:color w:val="auto"/>
        </w:rPr>
      </w:pPr>
    </w:p>
    <w:p>
      <w:pPr>
        <w:ind w:left="1780"/>
        <w:spacing w:after="0"/>
        <w:rPr>
          <w:sz w:val="20"/>
          <w:szCs w:val="20"/>
          <w:color w:val="auto"/>
        </w:rPr>
      </w:pPr>
      <w:r>
        <w:rPr>
          <w:rFonts w:ascii="Arial" w:cs="Arial" w:eastAsia="Arial" w:hAnsi="Arial"/>
          <w:sz w:val="13"/>
          <w:szCs w:val="13"/>
          <w:color w:val="auto"/>
        </w:rPr>
        <w:t>Matching Stock Options outstanding as of June 30, 2023:</w:t>
      </w:r>
    </w:p>
    <w:p>
      <w:pPr>
        <w:spacing w:after="0" w:line="167" w:lineRule="exact"/>
        <w:rPr>
          <w:sz w:val="20"/>
          <w:szCs w:val="20"/>
          <w:color w:val="auto"/>
        </w:rPr>
      </w:pPr>
    </w:p>
    <w:tbl>
      <w:tblPr>
        <w:tblLayout w:type="fixed"/>
        <w:tblInd w:w="2700" w:type="dxa"/>
        <w:tblCellMar>
          <w:top w:w="0" w:type="dxa"/>
          <w:left w:w="0" w:type="dxa"/>
          <w:bottom w:w="0" w:type="dxa"/>
          <w:right w:w="0" w:type="dxa"/>
        </w:tblCellMar>
      </w:tblPr>
      <w:tr>
        <w:trPr>
          <w:trHeight w:val="119"/>
        </w:trPr>
        <w:tc>
          <w:tcPr>
            <w:tcW w:w="3880" w:type="dxa"/>
            <w:vAlign w:val="bottom"/>
          </w:tcPr>
          <w:p>
            <w:pPr>
              <w:spacing w:after="0"/>
              <w:rPr>
                <w:sz w:val="10"/>
                <w:szCs w:val="10"/>
                <w:color w:val="auto"/>
              </w:rPr>
            </w:pPr>
          </w:p>
        </w:tc>
        <w:tc>
          <w:tcPr>
            <w:tcW w:w="14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0"/>
                <w:szCs w:val="10"/>
                <w:b w:val="1"/>
                <w:bCs w:val="1"/>
                <w:color w:val="auto"/>
              </w:rPr>
              <w:t>2023</w:t>
            </w:r>
          </w:p>
        </w:tc>
        <w:tc>
          <w:tcPr>
            <w:tcW w:w="5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79"/>
        </w:trPr>
        <w:tc>
          <w:tcPr>
            <w:tcW w:w="3880" w:type="dxa"/>
            <w:vAlign w:val="bottom"/>
          </w:tcPr>
          <w:p>
            <w:pPr>
              <w:spacing w:after="0"/>
              <w:rPr>
                <w:sz w:val="6"/>
                <w:szCs w:val="6"/>
                <w:color w:val="auto"/>
              </w:rPr>
            </w:pPr>
          </w:p>
        </w:tc>
        <w:tc>
          <w:tcPr>
            <w:tcW w:w="1420" w:type="dxa"/>
            <w:vAlign w:val="bottom"/>
            <w:gridSpan w:val="2"/>
          </w:tcPr>
          <w:p>
            <w:pPr>
              <w:jc w:val="right"/>
              <w:ind w:right="580"/>
              <w:spacing w:after="0" w:line="79" w:lineRule="exact"/>
              <w:rPr>
                <w:sz w:val="20"/>
                <w:szCs w:val="20"/>
                <w:color w:val="auto"/>
              </w:rPr>
            </w:pPr>
            <w:r>
              <w:rPr>
                <w:rFonts w:ascii="Arial" w:cs="Arial" w:eastAsia="Arial" w:hAnsi="Arial"/>
                <w:sz w:val="9"/>
                <w:szCs w:val="9"/>
                <w:b w:val="1"/>
                <w:bCs w:val="1"/>
                <w:color w:val="auto"/>
              </w:rPr>
              <w:t>Weighted average</w:t>
            </w: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119"/>
        </w:trPr>
        <w:tc>
          <w:tcPr>
            <w:tcW w:w="3880" w:type="dxa"/>
            <w:vAlign w:val="bottom"/>
          </w:tcPr>
          <w:p>
            <w:pPr>
              <w:spacing w:after="0"/>
              <w:rPr>
                <w:sz w:val="10"/>
                <w:szCs w:val="10"/>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87"/>
              </w:rPr>
              <w:t>exercise price in USD</w:t>
            </w:r>
          </w:p>
        </w:tc>
        <w:tc>
          <w:tcPr>
            <w:tcW w:w="58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Number</w:t>
            </w:r>
          </w:p>
        </w:tc>
      </w:tr>
      <w:tr>
        <w:trPr>
          <w:trHeight w:val="141"/>
        </w:trPr>
        <w:tc>
          <w:tcPr>
            <w:tcW w:w="388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Matching Stock Options outstanding on January 1,</w:t>
            </w:r>
          </w:p>
        </w:tc>
        <w:tc>
          <w:tcPr>
            <w:tcW w:w="9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10.00</w:t>
            </w:r>
          </w:p>
        </w:tc>
        <w:tc>
          <w:tcPr>
            <w:tcW w:w="5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89"/>
              </w:rPr>
              <w:t>1,348,004</w:t>
            </w:r>
          </w:p>
        </w:tc>
        <w:tc>
          <w:tcPr>
            <w:tcW w:w="40" w:type="dxa"/>
            <w:vAlign w:val="bottom"/>
            <w:tcBorders>
              <w:top w:val="single" w:sz="8" w:color="CCEEFF"/>
            </w:tcBorders>
            <w:shd w:val="clear" w:color="auto" w:fill="CCEEFF"/>
          </w:tcPr>
          <w:p>
            <w:pPr>
              <w:spacing w:after="0"/>
              <w:rPr>
                <w:sz w:val="12"/>
                <w:szCs w:val="12"/>
                <w:color w:val="auto"/>
              </w:rPr>
            </w:pPr>
          </w:p>
        </w:tc>
      </w:tr>
      <w:tr>
        <w:trPr>
          <w:trHeight w:val="152"/>
        </w:trPr>
        <w:tc>
          <w:tcPr>
            <w:tcW w:w="3880" w:type="dxa"/>
            <w:vAlign w:val="bottom"/>
          </w:tcPr>
          <w:p>
            <w:pPr>
              <w:spacing w:after="0"/>
              <w:rPr>
                <w:sz w:val="20"/>
                <w:szCs w:val="20"/>
                <w:color w:val="auto"/>
              </w:rPr>
            </w:pPr>
            <w:r>
              <w:rPr>
                <w:rFonts w:ascii="Arial" w:cs="Arial" w:eastAsia="Arial" w:hAnsi="Arial"/>
                <w:sz w:val="13"/>
                <w:szCs w:val="13"/>
                <w:color w:val="auto"/>
              </w:rPr>
              <w:t>Matching Stock Options forfeited</w:t>
            </w:r>
          </w:p>
        </w:tc>
        <w:tc>
          <w:tcPr>
            <w:tcW w:w="1420" w:type="dxa"/>
            <w:vAlign w:val="bottom"/>
            <w:gridSpan w:val="2"/>
          </w:tcPr>
          <w:p>
            <w:pPr>
              <w:jc w:val="right"/>
              <w:ind w:right="56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2"/>
        </w:trPr>
        <w:tc>
          <w:tcPr>
            <w:tcW w:w="3880" w:type="dxa"/>
            <w:vAlign w:val="bottom"/>
            <w:shd w:val="clear" w:color="auto" w:fill="CCEEFF"/>
          </w:tcPr>
          <w:p>
            <w:pPr>
              <w:spacing w:after="0"/>
              <w:rPr>
                <w:sz w:val="20"/>
                <w:szCs w:val="20"/>
                <w:color w:val="auto"/>
              </w:rPr>
            </w:pPr>
            <w:r>
              <w:rPr>
                <w:rFonts w:ascii="Arial" w:cs="Arial" w:eastAsia="Arial" w:hAnsi="Arial"/>
                <w:sz w:val="13"/>
                <w:szCs w:val="13"/>
                <w:color w:val="auto"/>
              </w:rPr>
              <w:t>Matching Stock Options exercised</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10.00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720</w:t>
            </w:r>
          </w:p>
        </w:tc>
      </w:tr>
      <w:tr>
        <w:trPr>
          <w:trHeight w:val="152"/>
        </w:trPr>
        <w:tc>
          <w:tcPr>
            <w:tcW w:w="3880" w:type="dxa"/>
            <w:vAlign w:val="bottom"/>
          </w:tcPr>
          <w:p>
            <w:pPr>
              <w:spacing w:after="0"/>
              <w:rPr>
                <w:sz w:val="20"/>
                <w:szCs w:val="20"/>
                <w:color w:val="auto"/>
              </w:rPr>
            </w:pPr>
            <w:r>
              <w:rPr>
                <w:rFonts w:ascii="Arial" w:cs="Arial" w:eastAsia="Arial" w:hAnsi="Arial"/>
                <w:sz w:val="13"/>
                <w:szCs w:val="13"/>
                <w:color w:val="auto"/>
              </w:rPr>
              <w:t>Matching Stock Options expired</w:t>
            </w:r>
          </w:p>
        </w:tc>
        <w:tc>
          <w:tcPr>
            <w:tcW w:w="1420" w:type="dxa"/>
            <w:vAlign w:val="bottom"/>
            <w:gridSpan w:val="2"/>
          </w:tcPr>
          <w:p>
            <w:pPr>
              <w:jc w:val="right"/>
              <w:ind w:right="500"/>
              <w:spacing w:after="0"/>
              <w:rPr>
                <w:sz w:val="20"/>
                <w:szCs w:val="20"/>
                <w:color w:val="auto"/>
              </w:rPr>
            </w:pPr>
            <w:r>
              <w:rPr>
                <w:rFonts w:ascii="Arial" w:cs="Arial" w:eastAsia="Arial" w:hAnsi="Arial"/>
                <w:sz w:val="13"/>
                <w:szCs w:val="13"/>
                <w:color w:val="auto"/>
              </w:rPr>
              <w:t>10.00</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4,280</w:t>
            </w:r>
          </w:p>
        </w:tc>
      </w:tr>
      <w:tr>
        <w:trPr>
          <w:trHeight w:val="152"/>
        </w:trPr>
        <w:tc>
          <w:tcPr>
            <w:tcW w:w="3880" w:type="dxa"/>
            <w:vAlign w:val="bottom"/>
            <w:shd w:val="clear" w:color="auto" w:fill="CCEEFF"/>
          </w:tcPr>
          <w:p>
            <w:pPr>
              <w:spacing w:after="0"/>
              <w:rPr>
                <w:sz w:val="20"/>
                <w:szCs w:val="20"/>
                <w:color w:val="auto"/>
              </w:rPr>
            </w:pPr>
            <w:r>
              <w:rPr>
                <w:rFonts w:ascii="Arial" w:cs="Arial" w:eastAsia="Arial" w:hAnsi="Arial"/>
                <w:sz w:val="13"/>
                <w:szCs w:val="13"/>
                <w:color w:val="auto"/>
              </w:rPr>
              <w:t>Matching Stock Options outstanding on June 30,</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10.00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9"/>
              </w:rPr>
              <w:t>1,343,004</w:t>
            </w:r>
          </w:p>
        </w:tc>
      </w:tr>
      <w:tr>
        <w:trPr>
          <w:trHeight w:val="152"/>
        </w:trPr>
        <w:tc>
          <w:tcPr>
            <w:tcW w:w="3880" w:type="dxa"/>
            <w:vAlign w:val="bottom"/>
          </w:tcPr>
          <w:p>
            <w:pPr>
              <w:spacing w:after="0"/>
              <w:rPr>
                <w:sz w:val="20"/>
                <w:szCs w:val="20"/>
                <w:color w:val="auto"/>
              </w:rPr>
            </w:pPr>
            <w:r>
              <w:rPr>
                <w:rFonts w:ascii="Arial" w:cs="Arial" w:eastAsia="Arial" w:hAnsi="Arial"/>
                <w:sz w:val="13"/>
                <w:szCs w:val="13"/>
                <w:color w:val="auto"/>
              </w:rPr>
              <w:t>Matching Stock Options exercisable on June 30,</w:t>
            </w:r>
          </w:p>
        </w:tc>
        <w:tc>
          <w:tcPr>
            <w:tcW w:w="1420" w:type="dxa"/>
            <w:vAlign w:val="bottom"/>
            <w:gridSpan w:val="2"/>
          </w:tcPr>
          <w:p>
            <w:pPr>
              <w:jc w:val="right"/>
              <w:ind w:right="500"/>
              <w:spacing w:after="0"/>
              <w:rPr>
                <w:sz w:val="20"/>
                <w:szCs w:val="20"/>
                <w:color w:val="auto"/>
              </w:rPr>
            </w:pPr>
            <w:r>
              <w:rPr>
                <w:rFonts w:ascii="Arial" w:cs="Arial" w:eastAsia="Arial" w:hAnsi="Arial"/>
                <w:sz w:val="13"/>
                <w:szCs w:val="13"/>
                <w:color w:val="auto"/>
              </w:rPr>
              <w:t>10.00</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w w:val="89"/>
              </w:rPr>
              <w:t>1,343,004</w:t>
            </w:r>
          </w:p>
        </w:tc>
      </w:tr>
      <w:tr>
        <w:trPr>
          <w:trHeight w:val="152"/>
        </w:trPr>
        <w:tc>
          <w:tcPr>
            <w:tcW w:w="388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remaining contract life (years)</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7.01</w:t>
            </w: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bl>
    <w:p>
      <w:pPr>
        <w:spacing w:after="0" w:line="143" w:lineRule="exact"/>
        <w:rPr>
          <w:sz w:val="20"/>
          <w:szCs w:val="20"/>
          <w:color w:val="auto"/>
        </w:rPr>
      </w:pPr>
    </w:p>
    <w:p>
      <w:pPr>
        <w:ind w:left="1780" w:right="699"/>
        <w:spacing w:after="0" w:line="309" w:lineRule="auto"/>
        <w:rPr>
          <w:sz w:val="20"/>
          <w:szCs w:val="20"/>
          <w:color w:val="auto"/>
        </w:rPr>
      </w:pPr>
      <w:r>
        <w:rPr>
          <w:rFonts w:ascii="Arial" w:cs="Arial" w:eastAsia="Arial" w:hAnsi="Arial"/>
          <w:sz w:val="11"/>
          <w:szCs w:val="11"/>
          <w:color w:val="auto"/>
        </w:rPr>
        <w:t>For any outstanding 2016 Plan and 2010 Plan awards scheduled to vest on or after January 1, 2021, employees received replacement stock options (“Converted Options”) to acquire shares in Immatics N.V. The Converted Options have comparable terms to previous awards, with revised exercise prices reflecting the reorganized capital structure of Immatics. The options granted under the 2020 Equity Plan that gives employees the right to acquire shares in Immatics N.V., are accounted for as a modification under IFRS 2, with the incremental fair value expensed over the remaining vesting period.</w:t>
      </w:r>
    </w:p>
    <w:p>
      <w:pPr>
        <w:spacing w:after="0" w:line="107" w:lineRule="exact"/>
        <w:rPr>
          <w:sz w:val="20"/>
          <w:szCs w:val="20"/>
          <w:color w:val="auto"/>
        </w:rPr>
      </w:pPr>
    </w:p>
    <w:p>
      <w:pPr>
        <w:jc w:val="both"/>
        <w:ind w:left="1780" w:right="959"/>
        <w:spacing w:after="0" w:line="352" w:lineRule="auto"/>
        <w:rPr>
          <w:sz w:val="20"/>
          <w:szCs w:val="20"/>
          <w:color w:val="auto"/>
        </w:rPr>
      </w:pPr>
      <w:r>
        <w:rPr>
          <w:rFonts w:ascii="Arial" w:cs="Arial" w:eastAsia="Arial" w:hAnsi="Arial"/>
          <w:sz w:val="11"/>
          <w:szCs w:val="11"/>
          <w:color w:val="auto"/>
        </w:rPr>
        <w:t>The incremental fair value is the difference between the fair value of the options to purchase ordinary shares under the 2020 Equity Plan to acquire shares in Immatics N.V., and the fair value of the exchanged unvested SAR (both measured at the date on which the replacement award is issued).</w:t>
      </w:r>
    </w:p>
    <w:p>
      <w:pPr>
        <w:sectPr>
          <w:pgSz w:w="11900" w:h="16838" w:orient="portrait"/>
          <w:cols w:equalWidth="0" w:num="1">
            <w:col w:w="10159"/>
          </w:cols>
          <w:pgMar w:left="300" w:top="383" w:right="1440" w:bottom="1440" w:gutter="0" w:footer="0" w:header="0"/>
        </w:sectPr>
      </w:pPr>
    </w:p>
    <w:bookmarkStart w:id="13" w:name="page14"/>
    <w:bookmarkEnd w:id="13"/>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Table of Contents</w:t>
      </w:r>
    </w:p>
    <w:p>
      <w:pPr>
        <w:spacing w:after="0" w:line="214" w:lineRule="exact"/>
        <w:rPr>
          <w:sz w:val="20"/>
          <w:szCs w:val="20"/>
          <w:color w:val="auto"/>
        </w:rPr>
      </w:pPr>
    </w:p>
    <w:p>
      <w:pPr>
        <w:ind w:left="1780"/>
        <w:spacing w:after="0"/>
        <w:rPr>
          <w:sz w:val="20"/>
          <w:szCs w:val="20"/>
          <w:color w:val="auto"/>
        </w:rPr>
      </w:pPr>
      <w:r>
        <w:rPr>
          <w:rFonts w:ascii="Arial" w:cs="Arial" w:eastAsia="Arial" w:hAnsi="Arial"/>
          <w:sz w:val="13"/>
          <w:szCs w:val="13"/>
          <w:color w:val="auto"/>
        </w:rPr>
        <w:t>Converted Options outstanding as of June 30, 2023:</w:t>
      </w:r>
    </w:p>
    <w:p>
      <w:pPr>
        <w:spacing w:after="0" w:line="167" w:lineRule="exact"/>
        <w:rPr>
          <w:sz w:val="20"/>
          <w:szCs w:val="20"/>
          <w:color w:val="auto"/>
        </w:rPr>
      </w:pPr>
    </w:p>
    <w:tbl>
      <w:tblPr>
        <w:tblLayout w:type="fixed"/>
        <w:tblInd w:w="2700" w:type="dxa"/>
        <w:tblCellMar>
          <w:top w:w="0" w:type="dxa"/>
          <w:left w:w="0" w:type="dxa"/>
          <w:bottom w:w="0" w:type="dxa"/>
          <w:right w:w="0" w:type="dxa"/>
        </w:tblCellMar>
      </w:tblPr>
      <w:tr>
        <w:trPr>
          <w:trHeight w:val="119"/>
        </w:trPr>
        <w:tc>
          <w:tcPr>
            <w:tcW w:w="3980" w:type="dxa"/>
            <w:vAlign w:val="bottom"/>
          </w:tcPr>
          <w:p>
            <w:pPr>
              <w:spacing w:after="0"/>
              <w:rPr>
                <w:sz w:val="10"/>
                <w:szCs w:val="10"/>
                <w:color w:val="auto"/>
              </w:rPr>
            </w:pPr>
          </w:p>
        </w:tc>
        <w:tc>
          <w:tcPr>
            <w:tcW w:w="14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0"/>
                <w:szCs w:val="10"/>
                <w:b w:val="1"/>
                <w:bCs w:val="1"/>
                <w:color w:val="auto"/>
              </w:rPr>
              <w:t>2023</w:t>
            </w:r>
          </w:p>
        </w:tc>
        <w:tc>
          <w:tcPr>
            <w:tcW w:w="4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79"/>
        </w:trPr>
        <w:tc>
          <w:tcPr>
            <w:tcW w:w="3980" w:type="dxa"/>
            <w:vAlign w:val="bottom"/>
          </w:tcPr>
          <w:p>
            <w:pPr>
              <w:spacing w:after="0"/>
              <w:rPr>
                <w:sz w:val="6"/>
                <w:szCs w:val="6"/>
                <w:color w:val="auto"/>
              </w:rPr>
            </w:pPr>
          </w:p>
        </w:tc>
        <w:tc>
          <w:tcPr>
            <w:tcW w:w="1400" w:type="dxa"/>
            <w:vAlign w:val="bottom"/>
            <w:gridSpan w:val="2"/>
          </w:tcPr>
          <w:p>
            <w:pPr>
              <w:jc w:val="right"/>
              <w:ind w:right="560"/>
              <w:spacing w:after="0" w:line="79" w:lineRule="exact"/>
              <w:rPr>
                <w:sz w:val="20"/>
                <w:szCs w:val="20"/>
                <w:color w:val="auto"/>
              </w:rPr>
            </w:pPr>
            <w:r>
              <w:rPr>
                <w:rFonts w:ascii="Arial" w:cs="Arial" w:eastAsia="Arial" w:hAnsi="Arial"/>
                <w:sz w:val="9"/>
                <w:szCs w:val="9"/>
                <w:b w:val="1"/>
                <w:bCs w:val="1"/>
                <w:color w:val="auto"/>
              </w:rPr>
              <w:t>Weighted average</w:t>
            </w: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119"/>
        </w:trPr>
        <w:tc>
          <w:tcPr>
            <w:tcW w:w="3980" w:type="dxa"/>
            <w:vAlign w:val="bottom"/>
          </w:tcPr>
          <w:p>
            <w:pPr>
              <w:spacing w:after="0"/>
              <w:rPr>
                <w:sz w:val="10"/>
                <w:szCs w:val="10"/>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w w:val="87"/>
              </w:rPr>
              <w:t>exercise price in USD</w:t>
            </w:r>
          </w:p>
        </w:tc>
        <w:tc>
          <w:tcPr>
            <w:tcW w:w="50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Number</w:t>
            </w:r>
          </w:p>
        </w:tc>
      </w:tr>
      <w:tr>
        <w:trPr>
          <w:trHeight w:val="141"/>
        </w:trPr>
        <w:tc>
          <w:tcPr>
            <w:tcW w:w="398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Converted Options outstanding on January 1,</w:t>
            </w:r>
          </w:p>
        </w:tc>
        <w:tc>
          <w:tcPr>
            <w:tcW w:w="9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2.74</w:t>
            </w:r>
          </w:p>
        </w:tc>
        <w:tc>
          <w:tcPr>
            <w:tcW w:w="4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93"/>
              </w:rPr>
              <w:t>525,181</w:t>
            </w:r>
          </w:p>
        </w:tc>
        <w:tc>
          <w:tcPr>
            <w:tcW w:w="40" w:type="dxa"/>
            <w:vAlign w:val="bottom"/>
            <w:tcBorders>
              <w:top w:val="single" w:sz="8" w:color="CCEEFF"/>
            </w:tcBorders>
            <w:shd w:val="clear" w:color="auto" w:fill="CCEEFF"/>
          </w:tcPr>
          <w:p>
            <w:pPr>
              <w:spacing w:after="0"/>
              <w:rPr>
                <w:sz w:val="12"/>
                <w:szCs w:val="12"/>
                <w:color w:val="auto"/>
              </w:rPr>
            </w:pPr>
          </w:p>
        </w:tc>
      </w:tr>
      <w:tr>
        <w:trPr>
          <w:trHeight w:val="152"/>
        </w:trPr>
        <w:tc>
          <w:tcPr>
            <w:tcW w:w="3980" w:type="dxa"/>
            <w:vAlign w:val="bottom"/>
          </w:tcPr>
          <w:p>
            <w:pPr>
              <w:spacing w:after="0"/>
              <w:rPr>
                <w:sz w:val="20"/>
                <w:szCs w:val="20"/>
                <w:color w:val="auto"/>
              </w:rPr>
            </w:pPr>
            <w:r>
              <w:rPr>
                <w:rFonts w:ascii="Arial" w:cs="Arial" w:eastAsia="Arial" w:hAnsi="Arial"/>
                <w:sz w:val="13"/>
                <w:szCs w:val="13"/>
                <w:color w:val="auto"/>
              </w:rPr>
              <w:t>Converted Options forfeited</w:t>
            </w:r>
          </w:p>
        </w:tc>
        <w:tc>
          <w:tcPr>
            <w:tcW w:w="1400" w:type="dxa"/>
            <w:vAlign w:val="bottom"/>
            <w:gridSpan w:val="2"/>
          </w:tcPr>
          <w:p>
            <w:pPr>
              <w:jc w:val="right"/>
              <w:ind w:right="480"/>
              <w:spacing w:after="0"/>
              <w:rPr>
                <w:sz w:val="20"/>
                <w:szCs w:val="20"/>
                <w:color w:val="auto"/>
              </w:rPr>
            </w:pPr>
            <w:r>
              <w:rPr>
                <w:rFonts w:ascii="Arial" w:cs="Arial" w:eastAsia="Arial" w:hAnsi="Arial"/>
                <w:sz w:val="13"/>
                <w:szCs w:val="13"/>
                <w:color w:val="auto"/>
              </w:rPr>
              <w:t>1.14</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909</w:t>
            </w:r>
          </w:p>
        </w:tc>
      </w:tr>
      <w:tr>
        <w:trPr>
          <w:trHeight w:val="152"/>
        </w:trPr>
        <w:tc>
          <w:tcPr>
            <w:tcW w:w="3980" w:type="dxa"/>
            <w:vAlign w:val="bottom"/>
            <w:shd w:val="clear" w:color="auto" w:fill="CCEEFF"/>
          </w:tcPr>
          <w:p>
            <w:pPr>
              <w:spacing w:after="0"/>
              <w:rPr>
                <w:sz w:val="20"/>
                <w:szCs w:val="20"/>
                <w:color w:val="auto"/>
              </w:rPr>
            </w:pPr>
            <w:r>
              <w:rPr>
                <w:rFonts w:ascii="Arial" w:cs="Arial" w:eastAsia="Arial" w:hAnsi="Arial"/>
                <w:sz w:val="13"/>
                <w:szCs w:val="13"/>
                <w:color w:val="auto"/>
              </w:rPr>
              <w:t>Converted Options exercised</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1.28</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11,341</w:t>
            </w:r>
          </w:p>
        </w:tc>
      </w:tr>
      <w:tr>
        <w:trPr>
          <w:trHeight w:val="152"/>
        </w:trPr>
        <w:tc>
          <w:tcPr>
            <w:tcW w:w="3980" w:type="dxa"/>
            <w:vAlign w:val="bottom"/>
          </w:tcPr>
          <w:p>
            <w:pPr>
              <w:spacing w:after="0"/>
              <w:rPr>
                <w:sz w:val="20"/>
                <w:szCs w:val="20"/>
                <w:color w:val="auto"/>
              </w:rPr>
            </w:pPr>
            <w:r>
              <w:rPr>
                <w:rFonts w:ascii="Arial" w:cs="Arial" w:eastAsia="Arial" w:hAnsi="Arial"/>
                <w:sz w:val="13"/>
                <w:szCs w:val="13"/>
                <w:color w:val="auto"/>
              </w:rPr>
              <w:t>Converted Options expired</w:t>
            </w:r>
          </w:p>
        </w:tc>
        <w:tc>
          <w:tcPr>
            <w:tcW w:w="1400" w:type="dxa"/>
            <w:vAlign w:val="bottom"/>
            <w:gridSpan w:val="2"/>
          </w:tcPr>
          <w:p>
            <w:pPr>
              <w:jc w:val="right"/>
              <w:ind w:right="480"/>
              <w:spacing w:after="0"/>
              <w:rPr>
                <w:sz w:val="20"/>
                <w:szCs w:val="20"/>
                <w:color w:val="auto"/>
              </w:rPr>
            </w:pPr>
            <w:r>
              <w:rPr>
                <w:rFonts w:ascii="Arial" w:cs="Arial" w:eastAsia="Arial" w:hAnsi="Arial"/>
                <w:sz w:val="13"/>
                <w:szCs w:val="13"/>
                <w:color w:val="auto"/>
              </w:rPr>
              <w:t>1.17</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8</w:t>
            </w:r>
          </w:p>
        </w:tc>
      </w:tr>
      <w:tr>
        <w:trPr>
          <w:trHeight w:val="152"/>
        </w:trPr>
        <w:tc>
          <w:tcPr>
            <w:tcW w:w="3980" w:type="dxa"/>
            <w:vAlign w:val="bottom"/>
            <w:shd w:val="clear" w:color="auto" w:fill="CCEEFF"/>
          </w:tcPr>
          <w:p>
            <w:pPr>
              <w:spacing w:after="0"/>
              <w:rPr>
                <w:sz w:val="20"/>
                <w:szCs w:val="20"/>
                <w:color w:val="auto"/>
              </w:rPr>
            </w:pPr>
            <w:r>
              <w:rPr>
                <w:rFonts w:ascii="Arial" w:cs="Arial" w:eastAsia="Arial" w:hAnsi="Arial"/>
                <w:sz w:val="13"/>
                <w:szCs w:val="13"/>
                <w:color w:val="auto"/>
              </w:rPr>
              <w:t>Converted Options outstanding on June 30,</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2.78</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3"/>
              </w:rPr>
              <w:t>512,923</w:t>
            </w:r>
          </w:p>
        </w:tc>
      </w:tr>
      <w:tr>
        <w:trPr>
          <w:trHeight w:val="152"/>
        </w:trPr>
        <w:tc>
          <w:tcPr>
            <w:tcW w:w="3980" w:type="dxa"/>
            <w:vAlign w:val="bottom"/>
          </w:tcPr>
          <w:p>
            <w:pPr>
              <w:spacing w:after="0"/>
              <w:rPr>
                <w:sz w:val="20"/>
                <w:szCs w:val="20"/>
                <w:color w:val="auto"/>
              </w:rPr>
            </w:pPr>
            <w:r>
              <w:rPr>
                <w:rFonts w:ascii="Arial" w:cs="Arial" w:eastAsia="Arial" w:hAnsi="Arial"/>
                <w:sz w:val="13"/>
                <w:szCs w:val="13"/>
                <w:color w:val="auto"/>
              </w:rPr>
              <w:t>Converted Options exercisable on June 30,</w:t>
            </w:r>
          </w:p>
        </w:tc>
        <w:tc>
          <w:tcPr>
            <w:tcW w:w="1400" w:type="dxa"/>
            <w:vAlign w:val="bottom"/>
            <w:gridSpan w:val="2"/>
          </w:tcPr>
          <w:p>
            <w:pPr>
              <w:jc w:val="right"/>
              <w:ind w:right="480"/>
              <w:spacing w:after="0"/>
              <w:rPr>
                <w:sz w:val="20"/>
                <w:szCs w:val="20"/>
                <w:color w:val="auto"/>
              </w:rPr>
            </w:pPr>
            <w:r>
              <w:rPr>
                <w:rFonts w:ascii="Arial" w:cs="Arial" w:eastAsia="Arial" w:hAnsi="Arial"/>
                <w:sz w:val="13"/>
                <w:szCs w:val="13"/>
                <w:color w:val="auto"/>
              </w:rPr>
              <w:t>2.78</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w w:val="93"/>
              </w:rPr>
              <w:t>469,161</w:t>
            </w:r>
          </w:p>
        </w:tc>
      </w:tr>
      <w:tr>
        <w:trPr>
          <w:trHeight w:val="152"/>
        </w:trPr>
        <w:tc>
          <w:tcPr>
            <w:tcW w:w="398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remaining contract life (years)</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4.51</w:t>
            </w: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bl>
    <w:p>
      <w:pPr>
        <w:spacing w:after="0" w:line="143" w:lineRule="exact"/>
        <w:rPr>
          <w:sz w:val="20"/>
          <w:szCs w:val="20"/>
          <w:color w:val="auto"/>
        </w:rPr>
      </w:pPr>
    </w:p>
    <w:p>
      <w:pPr>
        <w:jc w:val="both"/>
        <w:ind w:left="1780" w:right="719"/>
        <w:spacing w:after="0" w:line="320" w:lineRule="auto"/>
        <w:rPr>
          <w:sz w:val="20"/>
          <w:szCs w:val="20"/>
          <w:color w:val="auto"/>
        </w:rPr>
      </w:pPr>
      <w:r>
        <w:rPr>
          <w:rFonts w:ascii="Arial" w:cs="Arial" w:eastAsia="Arial" w:hAnsi="Arial"/>
          <w:sz w:val="11"/>
          <w:szCs w:val="11"/>
          <w:color w:val="auto"/>
        </w:rPr>
        <w:t>Under the 2020 Plan and the 2022 Plan, Immatics also issues employee stock options with a service requirement (“Service Options”), to acquire shares of Immatics N.V. The service-based options for employees including management will vest on a four-year time-based vesting schedule. Under the 2022 Plan, annual service options for members of the Board of Directors will vest entirely after one year. Service Options are granted on a recurring basis.</w:t>
      </w:r>
    </w:p>
    <w:p>
      <w:pPr>
        <w:spacing w:after="0" w:line="101" w:lineRule="exact"/>
        <w:rPr>
          <w:sz w:val="20"/>
          <w:szCs w:val="20"/>
          <w:color w:val="auto"/>
        </w:rPr>
      </w:pPr>
    </w:p>
    <w:p>
      <w:pPr>
        <w:ind w:left="1780" w:right="959"/>
        <w:spacing w:after="0" w:line="252" w:lineRule="auto"/>
        <w:rPr>
          <w:sz w:val="20"/>
          <w:szCs w:val="20"/>
          <w:color w:val="auto"/>
        </w:rPr>
      </w:pPr>
      <w:r>
        <w:rPr>
          <w:rFonts w:ascii="Arial" w:cs="Arial" w:eastAsia="Arial" w:hAnsi="Arial"/>
          <w:sz w:val="13"/>
          <w:szCs w:val="13"/>
          <w:color w:val="auto"/>
        </w:rPr>
        <w:t>The Company granted Service Options on April 3, 2023 and on June 27, 2023, which were accounted for using the respective grant date fair value. Immatics applied a Black Scholes pricing model to estimate the fair value of the Service Options, with a weighted average fair value of $6.97 for Service Options granted during the six months ended June 30, 2023.</w:t>
      </w:r>
    </w:p>
    <w:p>
      <w:pPr>
        <w:spacing w:after="0" w:line="138" w:lineRule="exact"/>
        <w:rPr>
          <w:sz w:val="20"/>
          <w:szCs w:val="20"/>
          <w:color w:val="auto"/>
        </w:rPr>
      </w:pPr>
    </w:p>
    <w:tbl>
      <w:tblPr>
        <w:tblLayout w:type="fixed"/>
        <w:tblInd w:w="1780" w:type="dxa"/>
        <w:tblCellMar>
          <w:top w:w="0" w:type="dxa"/>
          <w:left w:w="0" w:type="dxa"/>
          <w:bottom w:w="0" w:type="dxa"/>
          <w:right w:w="0" w:type="dxa"/>
        </w:tblCellMar>
      </w:tblPr>
      <w:tr>
        <w:trPr>
          <w:trHeight w:val="115"/>
        </w:trPr>
        <w:tc>
          <w:tcPr>
            <w:tcW w:w="9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3"/>
          </w:tcPr>
          <w:p>
            <w:pPr>
              <w:jc w:val="right"/>
              <w:ind w:right="400"/>
              <w:spacing w:after="0"/>
              <w:rPr>
                <w:sz w:val="20"/>
                <w:szCs w:val="20"/>
                <w:color w:val="auto"/>
              </w:rPr>
            </w:pPr>
            <w:r>
              <w:rPr>
                <w:rFonts w:ascii="Arial" w:cs="Arial" w:eastAsia="Arial" w:hAnsi="Arial"/>
                <w:sz w:val="10"/>
                <w:szCs w:val="10"/>
                <w:b w:val="1"/>
                <w:bCs w:val="1"/>
                <w:color w:val="auto"/>
                <w:w w:val="79"/>
              </w:rPr>
              <w:t>As of</w:t>
            </w:r>
          </w:p>
        </w:tc>
        <w:tc>
          <w:tcPr>
            <w:tcW w:w="80" w:type="dxa"/>
            <w:vAlign w:val="bottom"/>
          </w:tcPr>
          <w:p>
            <w:pPr>
              <w:spacing w:after="0"/>
              <w:rPr>
                <w:sz w:val="10"/>
                <w:szCs w:val="10"/>
                <w:color w:val="auto"/>
              </w:rPr>
            </w:pPr>
          </w:p>
        </w:tc>
        <w:tc>
          <w:tcPr>
            <w:tcW w:w="500" w:type="dxa"/>
            <w:vAlign w:val="bottom"/>
            <w:gridSpan w:val="3"/>
          </w:tcPr>
          <w:p>
            <w:pPr>
              <w:jc w:val="center"/>
              <w:ind w:right="140"/>
              <w:spacing w:after="0"/>
              <w:rPr>
                <w:sz w:val="20"/>
                <w:szCs w:val="20"/>
                <w:color w:val="auto"/>
              </w:rPr>
            </w:pPr>
            <w:r>
              <w:rPr>
                <w:rFonts w:ascii="Arial" w:cs="Arial" w:eastAsia="Arial" w:hAnsi="Arial"/>
                <w:sz w:val="10"/>
                <w:szCs w:val="10"/>
                <w:b w:val="1"/>
                <w:bCs w:val="1"/>
                <w:color w:val="auto"/>
                <w:w w:val="95"/>
              </w:rPr>
              <w:t>As of</w:t>
            </w:r>
          </w:p>
        </w:tc>
      </w:tr>
      <w:tr>
        <w:trPr>
          <w:trHeight w:val="104"/>
        </w:trPr>
        <w:tc>
          <w:tcPr>
            <w:tcW w:w="9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gridSpan w:val="4"/>
          </w:tcPr>
          <w:p>
            <w:pPr>
              <w:ind w:left="20"/>
              <w:spacing w:after="0" w:line="104" w:lineRule="exact"/>
              <w:rPr>
                <w:sz w:val="20"/>
                <w:szCs w:val="20"/>
                <w:color w:val="auto"/>
              </w:rPr>
            </w:pPr>
            <w:r>
              <w:rPr>
                <w:rFonts w:ascii="Arial" w:cs="Arial" w:eastAsia="Arial" w:hAnsi="Arial"/>
                <w:sz w:val="10"/>
                <w:szCs w:val="10"/>
                <w:b w:val="1"/>
                <w:bCs w:val="1"/>
                <w:color w:val="auto"/>
              </w:rPr>
              <w:t>April 3,</w:t>
            </w:r>
          </w:p>
        </w:tc>
        <w:tc>
          <w:tcPr>
            <w:tcW w:w="80" w:type="dxa"/>
            <w:vAlign w:val="bottom"/>
          </w:tcPr>
          <w:p>
            <w:pPr>
              <w:spacing w:after="0"/>
              <w:rPr>
                <w:sz w:val="9"/>
                <w:szCs w:val="9"/>
                <w:color w:val="auto"/>
              </w:rPr>
            </w:pPr>
          </w:p>
        </w:tc>
        <w:tc>
          <w:tcPr>
            <w:tcW w:w="500" w:type="dxa"/>
            <w:vAlign w:val="bottom"/>
            <w:gridSpan w:val="3"/>
          </w:tcPr>
          <w:p>
            <w:pPr>
              <w:jc w:val="center"/>
              <w:ind w:right="140"/>
              <w:spacing w:after="0" w:line="104" w:lineRule="exact"/>
              <w:rPr>
                <w:sz w:val="20"/>
                <w:szCs w:val="20"/>
                <w:color w:val="auto"/>
              </w:rPr>
            </w:pPr>
            <w:r>
              <w:rPr>
                <w:rFonts w:ascii="Arial" w:cs="Arial" w:eastAsia="Arial" w:hAnsi="Arial"/>
                <w:sz w:val="10"/>
                <w:szCs w:val="10"/>
                <w:b w:val="1"/>
                <w:bCs w:val="1"/>
                <w:color w:val="auto"/>
                <w:w w:val="89"/>
              </w:rPr>
              <w:t>June 27,</w:t>
            </w:r>
          </w:p>
        </w:tc>
      </w:tr>
      <w:tr>
        <w:trPr>
          <w:trHeight w:val="119"/>
        </w:trPr>
        <w:tc>
          <w:tcPr>
            <w:tcW w:w="9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w w:val="89"/>
              </w:rPr>
              <w:t>2023</w:t>
            </w:r>
          </w:p>
        </w:tc>
        <w:tc>
          <w:tcPr>
            <w:tcW w:w="320" w:type="dxa"/>
            <w:vAlign w:val="bottom"/>
          </w:tcPr>
          <w:p>
            <w:pPr>
              <w:spacing w:after="0"/>
              <w:rPr>
                <w:sz w:val="10"/>
                <w:szCs w:val="10"/>
                <w:color w:val="auto"/>
              </w:rPr>
            </w:pPr>
          </w:p>
        </w:tc>
        <w:tc>
          <w:tcPr>
            <w:tcW w:w="440" w:type="dxa"/>
            <w:vAlign w:val="bottom"/>
            <w:gridSpan w:val="2"/>
          </w:tcPr>
          <w:p>
            <w:pPr>
              <w:jc w:val="center"/>
              <w:ind w:left="18"/>
              <w:spacing w:after="0"/>
              <w:rPr>
                <w:sz w:val="20"/>
                <w:szCs w:val="20"/>
                <w:color w:val="auto"/>
              </w:rPr>
            </w:pPr>
            <w:r>
              <w:rPr>
                <w:rFonts w:ascii="Arial" w:cs="Arial" w:eastAsia="Arial" w:hAnsi="Arial"/>
                <w:sz w:val="10"/>
                <w:szCs w:val="10"/>
                <w:b w:val="1"/>
                <w:bCs w:val="1"/>
                <w:color w:val="auto"/>
                <w:w w:val="89"/>
              </w:rPr>
              <w:t>2023</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1"/>
        </w:trPr>
        <w:tc>
          <w:tcPr>
            <w:tcW w:w="920" w:type="dxa"/>
            <w:vAlign w:val="bottom"/>
          </w:tcPr>
          <w:p>
            <w:pPr>
              <w:spacing w:after="0"/>
              <w:rPr>
                <w:sz w:val="12"/>
                <w:szCs w:val="12"/>
                <w:color w:val="auto"/>
              </w:rPr>
            </w:pPr>
          </w:p>
        </w:tc>
        <w:tc>
          <w:tcPr>
            <w:tcW w:w="392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Exercise price in USD</w:t>
            </w:r>
          </w:p>
        </w:tc>
        <w:tc>
          <w:tcPr>
            <w:tcW w:w="7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30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6.89</w:t>
            </w:r>
          </w:p>
        </w:tc>
        <w:tc>
          <w:tcPr>
            <w:tcW w:w="3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78"/>
              </w:rPr>
              <w:t>$ 11.41</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52"/>
        </w:trPr>
        <w:tc>
          <w:tcPr>
            <w:tcW w:w="920" w:type="dxa"/>
            <w:vAlign w:val="bottom"/>
          </w:tcPr>
          <w:p>
            <w:pPr>
              <w:spacing w:after="0"/>
              <w:rPr>
                <w:sz w:val="13"/>
                <w:szCs w:val="13"/>
                <w:color w:val="auto"/>
              </w:rPr>
            </w:pPr>
          </w:p>
        </w:tc>
        <w:tc>
          <w:tcPr>
            <w:tcW w:w="3920" w:type="dxa"/>
            <w:vAlign w:val="bottom"/>
          </w:tcPr>
          <w:p>
            <w:pPr>
              <w:spacing w:after="0"/>
              <w:rPr>
                <w:sz w:val="20"/>
                <w:szCs w:val="20"/>
                <w:color w:val="auto"/>
              </w:rPr>
            </w:pPr>
            <w:r>
              <w:rPr>
                <w:rFonts w:ascii="Arial" w:cs="Arial" w:eastAsia="Arial" w:hAnsi="Arial"/>
                <w:sz w:val="13"/>
                <w:szCs w:val="13"/>
                <w:color w:val="auto"/>
              </w:rPr>
              <w:t>Underlying share price in USD</w:t>
            </w:r>
          </w:p>
        </w:tc>
        <w:tc>
          <w:tcPr>
            <w:tcW w:w="760" w:type="dxa"/>
            <w:vAlign w:val="bottom"/>
            <w:gridSpan w:val="2"/>
          </w:tcPr>
          <w:p>
            <w:pPr>
              <w:ind w:left="700"/>
              <w:spacing w:after="0"/>
              <w:rPr>
                <w:sz w:val="20"/>
                <w:szCs w:val="20"/>
                <w:color w:val="auto"/>
              </w:rPr>
            </w:pPr>
            <w:r>
              <w:rPr>
                <w:rFonts w:ascii="Arial" w:cs="Arial" w:eastAsia="Arial" w:hAnsi="Arial"/>
                <w:sz w:val="9"/>
                <w:szCs w:val="9"/>
                <w:color w:val="auto"/>
                <w:w w:val="78"/>
              </w:rPr>
              <w:t>$</w:t>
            </w:r>
          </w:p>
        </w:tc>
        <w:tc>
          <w:tcPr>
            <w:tcW w:w="620" w:type="dxa"/>
            <w:vAlign w:val="bottom"/>
            <w:gridSpan w:val="3"/>
          </w:tcPr>
          <w:p>
            <w:pPr>
              <w:jc w:val="right"/>
              <w:ind w:right="320"/>
              <w:spacing w:after="0"/>
              <w:rPr>
                <w:sz w:val="20"/>
                <w:szCs w:val="20"/>
                <w:color w:val="auto"/>
              </w:rPr>
            </w:pPr>
            <w:r>
              <w:rPr>
                <w:rFonts w:ascii="Arial" w:cs="Arial" w:eastAsia="Arial" w:hAnsi="Arial"/>
                <w:sz w:val="13"/>
                <w:szCs w:val="13"/>
                <w:color w:val="auto"/>
              </w:rPr>
              <w:t>6.89</w:t>
            </w:r>
          </w:p>
        </w:tc>
        <w:tc>
          <w:tcPr>
            <w:tcW w:w="540" w:type="dxa"/>
            <w:vAlign w:val="bottom"/>
            <w:gridSpan w:val="3"/>
          </w:tcPr>
          <w:p>
            <w:pPr>
              <w:jc w:val="right"/>
              <w:ind w:right="100"/>
              <w:spacing w:after="0"/>
              <w:rPr>
                <w:sz w:val="20"/>
                <w:szCs w:val="20"/>
                <w:color w:val="auto"/>
              </w:rPr>
            </w:pPr>
            <w:r>
              <w:rPr>
                <w:rFonts w:ascii="Arial" w:cs="Arial" w:eastAsia="Arial" w:hAnsi="Arial"/>
                <w:sz w:val="13"/>
                <w:szCs w:val="13"/>
                <w:color w:val="auto"/>
                <w:w w:val="96"/>
              </w:rPr>
              <w:t>$ 11.41</w:t>
            </w:r>
          </w:p>
        </w:tc>
        <w:tc>
          <w:tcPr>
            <w:tcW w:w="40" w:type="dxa"/>
            <w:vAlign w:val="bottom"/>
          </w:tcPr>
          <w:p>
            <w:pPr>
              <w:spacing w:after="0"/>
              <w:rPr>
                <w:sz w:val="13"/>
                <w:szCs w:val="13"/>
                <w:color w:val="auto"/>
              </w:rPr>
            </w:pPr>
          </w:p>
        </w:tc>
      </w:tr>
      <w:tr>
        <w:trPr>
          <w:trHeight w:val="152"/>
        </w:trPr>
        <w:tc>
          <w:tcPr>
            <w:tcW w:w="920" w:type="dxa"/>
            <w:vAlign w:val="bottom"/>
          </w:tcPr>
          <w:p>
            <w:pPr>
              <w:spacing w:after="0"/>
              <w:rPr>
                <w:sz w:val="13"/>
                <w:szCs w:val="13"/>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Volatility</w:t>
            </w: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w w:val="86"/>
              </w:rPr>
              <w:t>84.84%</w:t>
            </w:r>
          </w:p>
        </w:tc>
        <w:tc>
          <w:tcPr>
            <w:tcW w:w="58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86.76%</w:t>
            </w:r>
          </w:p>
        </w:tc>
      </w:tr>
      <w:tr>
        <w:trPr>
          <w:trHeight w:val="152"/>
        </w:trPr>
        <w:tc>
          <w:tcPr>
            <w:tcW w:w="920" w:type="dxa"/>
            <w:vAlign w:val="bottom"/>
          </w:tcPr>
          <w:p>
            <w:pPr>
              <w:spacing w:after="0"/>
              <w:rPr>
                <w:sz w:val="13"/>
                <w:szCs w:val="13"/>
                <w:color w:val="auto"/>
              </w:rPr>
            </w:pPr>
          </w:p>
        </w:tc>
        <w:tc>
          <w:tcPr>
            <w:tcW w:w="3920" w:type="dxa"/>
            <w:vAlign w:val="bottom"/>
          </w:tcPr>
          <w:p>
            <w:pPr>
              <w:spacing w:after="0"/>
              <w:rPr>
                <w:sz w:val="20"/>
                <w:szCs w:val="20"/>
                <w:color w:val="auto"/>
              </w:rPr>
            </w:pPr>
            <w:r>
              <w:rPr>
                <w:rFonts w:ascii="Arial" w:cs="Arial" w:eastAsia="Arial" w:hAnsi="Arial"/>
                <w:sz w:val="13"/>
                <w:szCs w:val="13"/>
                <w:color w:val="auto"/>
              </w:rPr>
              <w:t>Time period (years)</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6.11</w:t>
            </w:r>
          </w:p>
        </w:tc>
        <w:tc>
          <w:tcPr>
            <w:tcW w:w="320" w:type="dxa"/>
            <w:vAlign w:val="bottom"/>
          </w:tcPr>
          <w:p>
            <w:pPr>
              <w:spacing w:after="0"/>
              <w:rPr>
                <w:sz w:val="13"/>
                <w:szCs w:val="13"/>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3"/>
                <w:szCs w:val="13"/>
                <w:color w:val="auto"/>
              </w:rPr>
              <w:t>5.74</w:t>
            </w:r>
          </w:p>
        </w:tc>
        <w:tc>
          <w:tcPr>
            <w:tcW w:w="40" w:type="dxa"/>
            <w:vAlign w:val="bottom"/>
          </w:tcPr>
          <w:p>
            <w:pPr>
              <w:spacing w:after="0"/>
              <w:rPr>
                <w:sz w:val="13"/>
                <w:szCs w:val="13"/>
                <w:color w:val="auto"/>
              </w:rPr>
            </w:pPr>
          </w:p>
        </w:tc>
      </w:tr>
      <w:tr>
        <w:trPr>
          <w:trHeight w:val="152"/>
        </w:trPr>
        <w:tc>
          <w:tcPr>
            <w:tcW w:w="920" w:type="dxa"/>
            <w:vAlign w:val="bottom"/>
          </w:tcPr>
          <w:p>
            <w:pPr>
              <w:spacing w:after="0"/>
              <w:rPr>
                <w:sz w:val="13"/>
                <w:szCs w:val="13"/>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Risk free rate</w:t>
            </w: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3.47%</w:t>
            </w:r>
          </w:p>
        </w:tc>
        <w:tc>
          <w:tcPr>
            <w:tcW w:w="58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3.94%</w:t>
            </w:r>
          </w:p>
        </w:tc>
      </w:tr>
      <w:tr>
        <w:trPr>
          <w:trHeight w:val="161"/>
        </w:trPr>
        <w:tc>
          <w:tcPr>
            <w:tcW w:w="920" w:type="dxa"/>
            <w:vAlign w:val="bottom"/>
          </w:tcPr>
          <w:p>
            <w:pPr>
              <w:spacing w:after="0"/>
              <w:rPr>
                <w:sz w:val="13"/>
                <w:szCs w:val="13"/>
                <w:color w:val="auto"/>
              </w:rPr>
            </w:pPr>
          </w:p>
        </w:tc>
        <w:tc>
          <w:tcPr>
            <w:tcW w:w="3920" w:type="dxa"/>
            <w:vAlign w:val="bottom"/>
          </w:tcPr>
          <w:p>
            <w:pPr>
              <w:spacing w:after="0"/>
              <w:rPr>
                <w:sz w:val="20"/>
                <w:szCs w:val="20"/>
                <w:color w:val="auto"/>
              </w:rPr>
            </w:pPr>
            <w:r>
              <w:rPr>
                <w:rFonts w:ascii="Arial" w:cs="Arial" w:eastAsia="Arial" w:hAnsi="Arial"/>
                <w:sz w:val="13"/>
                <w:szCs w:val="13"/>
                <w:color w:val="auto"/>
              </w:rPr>
              <w:t>Dividend yield</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3"/>
                <w:szCs w:val="13"/>
                <w:color w:val="auto"/>
              </w:rPr>
              <w:t>0.00%</w:t>
            </w:r>
          </w:p>
        </w:tc>
        <w:tc>
          <w:tcPr>
            <w:tcW w:w="580" w:type="dxa"/>
            <w:vAlign w:val="bottom"/>
            <w:gridSpan w:val="4"/>
          </w:tcPr>
          <w:p>
            <w:pPr>
              <w:jc w:val="right"/>
              <w:ind w:right="40"/>
              <w:spacing w:after="0"/>
              <w:rPr>
                <w:sz w:val="20"/>
                <w:szCs w:val="20"/>
                <w:color w:val="auto"/>
              </w:rPr>
            </w:pPr>
            <w:r>
              <w:rPr>
                <w:rFonts w:ascii="Arial" w:cs="Arial" w:eastAsia="Arial" w:hAnsi="Arial"/>
                <w:sz w:val="13"/>
                <w:szCs w:val="13"/>
                <w:color w:val="auto"/>
              </w:rPr>
              <w:t>0.00%</w:t>
            </w:r>
          </w:p>
        </w:tc>
      </w:tr>
      <w:tr>
        <w:trPr>
          <w:trHeight w:val="294"/>
        </w:trPr>
        <w:tc>
          <w:tcPr>
            <w:tcW w:w="4840" w:type="dxa"/>
            <w:vAlign w:val="bottom"/>
            <w:gridSpan w:val="2"/>
          </w:tcPr>
          <w:p>
            <w:pPr>
              <w:spacing w:after="0"/>
              <w:rPr>
                <w:sz w:val="20"/>
                <w:szCs w:val="20"/>
                <w:color w:val="auto"/>
              </w:rPr>
            </w:pPr>
            <w:r>
              <w:rPr>
                <w:rFonts w:ascii="Arial" w:cs="Arial" w:eastAsia="Arial" w:hAnsi="Arial"/>
                <w:sz w:val="13"/>
                <w:szCs w:val="13"/>
                <w:color w:val="auto"/>
              </w:rPr>
              <w:t>Service Options outstanding as of June 30, 2023:</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5"/>
        </w:trPr>
        <w:tc>
          <w:tcPr>
            <w:tcW w:w="92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0"/>
                <w:szCs w:val="10"/>
                <w:b w:val="1"/>
                <w:bCs w:val="1"/>
                <w:color w:val="auto"/>
              </w:rPr>
              <w:t>2023</w:t>
            </w:r>
          </w:p>
        </w:tc>
        <w:tc>
          <w:tcPr>
            <w:tcW w:w="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r>
      <w:tr>
        <w:trPr>
          <w:trHeight w:val="79"/>
        </w:trPr>
        <w:tc>
          <w:tcPr>
            <w:tcW w:w="920" w:type="dxa"/>
            <w:vAlign w:val="bottom"/>
          </w:tcPr>
          <w:p>
            <w:pPr>
              <w:spacing w:after="0"/>
              <w:rPr>
                <w:sz w:val="6"/>
                <w:szCs w:val="6"/>
                <w:color w:val="auto"/>
              </w:rPr>
            </w:pPr>
          </w:p>
        </w:tc>
        <w:tc>
          <w:tcPr>
            <w:tcW w:w="3920" w:type="dxa"/>
            <w:vAlign w:val="bottom"/>
          </w:tcPr>
          <w:p>
            <w:pPr>
              <w:spacing w:after="0"/>
              <w:rPr>
                <w:sz w:val="6"/>
                <w:szCs w:val="6"/>
                <w:color w:val="auto"/>
              </w:rPr>
            </w:pPr>
          </w:p>
        </w:tc>
        <w:tc>
          <w:tcPr>
            <w:tcW w:w="1380" w:type="dxa"/>
            <w:vAlign w:val="bottom"/>
            <w:gridSpan w:val="5"/>
          </w:tcPr>
          <w:p>
            <w:pPr>
              <w:jc w:val="right"/>
              <w:ind w:right="520"/>
              <w:spacing w:after="0" w:line="79" w:lineRule="exact"/>
              <w:rPr>
                <w:sz w:val="20"/>
                <w:szCs w:val="20"/>
                <w:color w:val="auto"/>
              </w:rPr>
            </w:pPr>
            <w:r>
              <w:rPr>
                <w:rFonts w:ascii="Arial" w:cs="Arial" w:eastAsia="Arial" w:hAnsi="Arial"/>
                <w:sz w:val="9"/>
                <w:szCs w:val="9"/>
                <w:b w:val="1"/>
                <w:bCs w:val="1"/>
                <w:color w:val="auto"/>
              </w:rPr>
              <w:t>Weighted average</w:t>
            </w: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119"/>
        </w:trPr>
        <w:tc>
          <w:tcPr>
            <w:tcW w:w="9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380" w:type="dxa"/>
            <w:vAlign w:val="bottom"/>
            <w:gridSpan w:val="5"/>
          </w:tcPr>
          <w:p>
            <w:pPr>
              <w:jc w:val="right"/>
              <w:ind w:right="460"/>
              <w:spacing w:after="0"/>
              <w:rPr>
                <w:sz w:val="20"/>
                <w:szCs w:val="20"/>
                <w:color w:val="auto"/>
              </w:rPr>
            </w:pPr>
            <w:r>
              <w:rPr>
                <w:rFonts w:ascii="Arial" w:cs="Arial" w:eastAsia="Arial" w:hAnsi="Arial"/>
                <w:sz w:val="10"/>
                <w:szCs w:val="10"/>
                <w:b w:val="1"/>
                <w:bCs w:val="1"/>
                <w:color w:val="auto"/>
                <w:w w:val="87"/>
              </w:rPr>
              <w:t>exercise price in USD</w:t>
            </w:r>
          </w:p>
        </w:tc>
        <w:tc>
          <w:tcPr>
            <w:tcW w:w="80" w:type="dxa"/>
            <w:vAlign w:val="bottom"/>
          </w:tcPr>
          <w:p>
            <w:pPr>
              <w:spacing w:after="0"/>
              <w:rPr>
                <w:sz w:val="10"/>
                <w:szCs w:val="10"/>
                <w:color w:val="auto"/>
              </w:rPr>
            </w:pPr>
          </w:p>
        </w:tc>
        <w:tc>
          <w:tcPr>
            <w:tcW w:w="500" w:type="dxa"/>
            <w:vAlign w:val="bottom"/>
            <w:gridSpan w:val="3"/>
          </w:tcPr>
          <w:p>
            <w:pPr>
              <w:jc w:val="center"/>
              <w:ind w:right="140"/>
              <w:spacing w:after="0"/>
              <w:rPr>
                <w:sz w:val="20"/>
                <w:szCs w:val="20"/>
                <w:color w:val="auto"/>
              </w:rPr>
            </w:pPr>
            <w:r>
              <w:rPr>
                <w:rFonts w:ascii="Arial" w:cs="Arial" w:eastAsia="Arial" w:hAnsi="Arial"/>
                <w:sz w:val="10"/>
                <w:szCs w:val="10"/>
                <w:b w:val="1"/>
                <w:bCs w:val="1"/>
                <w:color w:val="auto"/>
                <w:w w:val="95"/>
              </w:rPr>
              <w:t>Number</w:t>
            </w:r>
          </w:p>
        </w:tc>
      </w:tr>
      <w:tr>
        <w:trPr>
          <w:trHeight w:val="141"/>
        </w:trPr>
        <w:tc>
          <w:tcPr>
            <w:tcW w:w="920" w:type="dxa"/>
            <w:vAlign w:val="bottom"/>
          </w:tcPr>
          <w:p>
            <w:pPr>
              <w:spacing w:after="0"/>
              <w:rPr>
                <w:sz w:val="12"/>
                <w:szCs w:val="12"/>
                <w:color w:val="auto"/>
              </w:rPr>
            </w:pPr>
          </w:p>
        </w:tc>
        <w:tc>
          <w:tcPr>
            <w:tcW w:w="392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Service Options outstanding on January 1,</w:t>
            </w:r>
          </w:p>
        </w:tc>
        <w:tc>
          <w:tcPr>
            <w:tcW w:w="920" w:type="dxa"/>
            <w:vAlign w:val="bottom"/>
            <w:tcBorders>
              <w:top w:val="single" w:sz="8" w:color="auto"/>
            </w:tcBorders>
            <w:gridSpan w:val="3"/>
            <w:shd w:val="clear" w:color="auto" w:fill="CCEEFF"/>
          </w:tcPr>
          <w:p>
            <w:pPr>
              <w:jc w:val="right"/>
              <w:spacing w:after="0" w:line="141" w:lineRule="exact"/>
              <w:rPr>
                <w:sz w:val="20"/>
                <w:szCs w:val="20"/>
                <w:color w:val="auto"/>
              </w:rPr>
            </w:pPr>
            <w:r>
              <w:rPr>
                <w:rFonts w:ascii="Arial" w:cs="Arial" w:eastAsia="Arial" w:hAnsi="Arial"/>
                <w:sz w:val="13"/>
                <w:szCs w:val="13"/>
                <w:color w:val="auto"/>
              </w:rPr>
              <w:t>10.07</w:t>
            </w:r>
          </w:p>
        </w:tc>
        <w:tc>
          <w:tcPr>
            <w:tcW w:w="1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gridSpan w:val="3"/>
            <w:shd w:val="clear" w:color="auto" w:fill="CCEEFF"/>
          </w:tcPr>
          <w:p>
            <w:pPr>
              <w:jc w:val="right"/>
              <w:spacing w:after="0" w:line="141" w:lineRule="exact"/>
              <w:rPr>
                <w:sz w:val="20"/>
                <w:szCs w:val="20"/>
                <w:color w:val="auto"/>
              </w:rPr>
            </w:pPr>
            <w:r>
              <w:rPr>
                <w:rFonts w:ascii="Arial" w:cs="Arial" w:eastAsia="Arial" w:hAnsi="Arial"/>
                <w:sz w:val="13"/>
                <w:szCs w:val="13"/>
                <w:color w:val="auto"/>
                <w:w w:val="89"/>
              </w:rPr>
              <w:t>6,129,160</w:t>
            </w:r>
          </w:p>
        </w:tc>
        <w:tc>
          <w:tcPr>
            <w:tcW w:w="40" w:type="dxa"/>
            <w:vAlign w:val="bottom"/>
            <w:tcBorders>
              <w:top w:val="single" w:sz="8" w:color="CCEEFF"/>
            </w:tcBorders>
            <w:shd w:val="clear" w:color="auto" w:fill="CCEEFF"/>
          </w:tcPr>
          <w:p>
            <w:pPr>
              <w:spacing w:after="0"/>
              <w:rPr>
                <w:sz w:val="12"/>
                <w:szCs w:val="12"/>
                <w:color w:val="auto"/>
              </w:rPr>
            </w:pPr>
          </w:p>
        </w:tc>
      </w:tr>
      <w:tr>
        <w:trPr>
          <w:trHeight w:val="152"/>
        </w:trPr>
        <w:tc>
          <w:tcPr>
            <w:tcW w:w="920" w:type="dxa"/>
            <w:vAlign w:val="bottom"/>
          </w:tcPr>
          <w:p>
            <w:pPr>
              <w:spacing w:after="0"/>
              <w:rPr>
                <w:sz w:val="13"/>
                <w:szCs w:val="13"/>
                <w:color w:val="auto"/>
              </w:rPr>
            </w:pPr>
          </w:p>
        </w:tc>
        <w:tc>
          <w:tcPr>
            <w:tcW w:w="3920" w:type="dxa"/>
            <w:vAlign w:val="bottom"/>
          </w:tcPr>
          <w:p>
            <w:pPr>
              <w:spacing w:after="0"/>
              <w:rPr>
                <w:sz w:val="20"/>
                <w:szCs w:val="20"/>
                <w:color w:val="auto"/>
              </w:rPr>
            </w:pPr>
            <w:r>
              <w:rPr>
                <w:rFonts w:ascii="Arial" w:cs="Arial" w:eastAsia="Arial" w:hAnsi="Arial"/>
                <w:sz w:val="13"/>
                <w:szCs w:val="13"/>
                <w:color w:val="auto"/>
              </w:rPr>
              <w:t>Service Options granted in 2023</w:t>
            </w:r>
          </w:p>
        </w:tc>
        <w:tc>
          <w:tcPr>
            <w:tcW w:w="1060" w:type="dxa"/>
            <w:vAlign w:val="bottom"/>
            <w:gridSpan w:val="4"/>
          </w:tcPr>
          <w:p>
            <w:pPr>
              <w:jc w:val="right"/>
              <w:ind w:right="140"/>
              <w:spacing w:after="0"/>
              <w:rPr>
                <w:sz w:val="20"/>
                <w:szCs w:val="20"/>
                <w:color w:val="auto"/>
              </w:rPr>
            </w:pPr>
            <w:r>
              <w:rPr>
                <w:rFonts w:ascii="Arial" w:cs="Arial" w:eastAsia="Arial" w:hAnsi="Arial"/>
                <w:sz w:val="13"/>
                <w:szCs w:val="13"/>
                <w:color w:val="auto"/>
              </w:rPr>
              <w:t>9.48</w:t>
            </w:r>
          </w:p>
        </w:tc>
        <w:tc>
          <w:tcPr>
            <w:tcW w:w="320" w:type="dxa"/>
            <w:vAlign w:val="bottom"/>
          </w:tcPr>
          <w:p>
            <w:pPr>
              <w:spacing w:after="0"/>
              <w:rPr>
                <w:sz w:val="13"/>
                <w:szCs w:val="13"/>
                <w:color w:val="auto"/>
              </w:rPr>
            </w:pPr>
          </w:p>
        </w:tc>
        <w:tc>
          <w:tcPr>
            <w:tcW w:w="580" w:type="dxa"/>
            <w:vAlign w:val="bottom"/>
            <w:gridSpan w:val="4"/>
          </w:tcPr>
          <w:p>
            <w:pPr>
              <w:jc w:val="right"/>
              <w:ind w:right="40"/>
              <w:spacing w:after="0"/>
              <w:rPr>
                <w:sz w:val="20"/>
                <w:szCs w:val="20"/>
                <w:color w:val="auto"/>
              </w:rPr>
            </w:pPr>
            <w:r>
              <w:rPr>
                <w:rFonts w:ascii="Arial" w:cs="Arial" w:eastAsia="Arial" w:hAnsi="Arial"/>
                <w:sz w:val="13"/>
                <w:szCs w:val="13"/>
                <w:color w:val="auto"/>
              </w:rPr>
              <w:t>506,163</w:t>
            </w:r>
          </w:p>
        </w:tc>
      </w:tr>
      <w:tr>
        <w:trPr>
          <w:trHeight w:val="152"/>
        </w:trPr>
        <w:tc>
          <w:tcPr>
            <w:tcW w:w="920" w:type="dxa"/>
            <w:vAlign w:val="bottom"/>
          </w:tcPr>
          <w:p>
            <w:pPr>
              <w:spacing w:after="0"/>
              <w:rPr>
                <w:sz w:val="13"/>
                <w:szCs w:val="13"/>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Service Options forfeited</w:t>
            </w:r>
          </w:p>
        </w:tc>
        <w:tc>
          <w:tcPr>
            <w:tcW w:w="106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rPr>
              <w:t>9.80</w:t>
            </w:r>
          </w:p>
        </w:tc>
        <w:tc>
          <w:tcPr>
            <w:tcW w:w="320" w:type="dxa"/>
            <w:vAlign w:val="bottom"/>
            <w:shd w:val="clear" w:color="auto" w:fill="CCEEFF"/>
          </w:tcPr>
          <w:p>
            <w:pPr>
              <w:spacing w:after="0"/>
              <w:rPr>
                <w:sz w:val="13"/>
                <w:szCs w:val="13"/>
                <w:color w:val="auto"/>
              </w:rPr>
            </w:pPr>
          </w:p>
        </w:tc>
        <w:tc>
          <w:tcPr>
            <w:tcW w:w="58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145,494</w:t>
            </w:r>
          </w:p>
        </w:tc>
      </w:tr>
      <w:tr>
        <w:trPr>
          <w:trHeight w:val="152"/>
        </w:trPr>
        <w:tc>
          <w:tcPr>
            <w:tcW w:w="920" w:type="dxa"/>
            <w:vAlign w:val="bottom"/>
          </w:tcPr>
          <w:p>
            <w:pPr>
              <w:spacing w:after="0"/>
              <w:rPr>
                <w:sz w:val="13"/>
                <w:szCs w:val="13"/>
                <w:color w:val="auto"/>
              </w:rPr>
            </w:pPr>
          </w:p>
        </w:tc>
        <w:tc>
          <w:tcPr>
            <w:tcW w:w="3920" w:type="dxa"/>
            <w:vAlign w:val="bottom"/>
          </w:tcPr>
          <w:p>
            <w:pPr>
              <w:spacing w:after="0"/>
              <w:rPr>
                <w:sz w:val="20"/>
                <w:szCs w:val="20"/>
                <w:color w:val="auto"/>
              </w:rPr>
            </w:pPr>
            <w:r>
              <w:rPr>
                <w:rFonts w:ascii="Arial" w:cs="Arial" w:eastAsia="Arial" w:hAnsi="Arial"/>
                <w:sz w:val="13"/>
                <w:szCs w:val="13"/>
                <w:color w:val="auto"/>
              </w:rPr>
              <w:t>Service Options exercised</w:t>
            </w:r>
          </w:p>
        </w:tc>
        <w:tc>
          <w:tcPr>
            <w:tcW w:w="1060" w:type="dxa"/>
            <w:vAlign w:val="bottom"/>
            <w:gridSpan w:val="4"/>
          </w:tcPr>
          <w:p>
            <w:pPr>
              <w:jc w:val="right"/>
              <w:ind w:right="140"/>
              <w:spacing w:after="0"/>
              <w:rPr>
                <w:sz w:val="20"/>
                <w:szCs w:val="20"/>
                <w:color w:val="auto"/>
              </w:rPr>
            </w:pPr>
            <w:r>
              <w:rPr>
                <w:rFonts w:ascii="Arial" w:cs="Arial" w:eastAsia="Arial" w:hAnsi="Arial"/>
                <w:sz w:val="13"/>
                <w:szCs w:val="13"/>
                <w:color w:val="auto"/>
              </w:rPr>
              <w:t>9.51</w:t>
            </w:r>
          </w:p>
        </w:tc>
        <w:tc>
          <w:tcPr>
            <w:tcW w:w="320" w:type="dxa"/>
            <w:vAlign w:val="bottom"/>
          </w:tcPr>
          <w:p>
            <w:pPr>
              <w:spacing w:after="0"/>
              <w:rPr>
                <w:sz w:val="13"/>
                <w:szCs w:val="13"/>
                <w:color w:val="auto"/>
              </w:rPr>
            </w:pPr>
          </w:p>
        </w:tc>
        <w:tc>
          <w:tcPr>
            <w:tcW w:w="580" w:type="dxa"/>
            <w:vAlign w:val="bottom"/>
            <w:gridSpan w:val="4"/>
          </w:tcPr>
          <w:p>
            <w:pPr>
              <w:jc w:val="right"/>
              <w:ind w:right="40"/>
              <w:spacing w:after="0"/>
              <w:rPr>
                <w:sz w:val="20"/>
                <w:szCs w:val="20"/>
                <w:color w:val="auto"/>
              </w:rPr>
            </w:pPr>
            <w:r>
              <w:rPr>
                <w:rFonts w:ascii="Arial" w:cs="Arial" w:eastAsia="Arial" w:hAnsi="Arial"/>
                <w:sz w:val="13"/>
                <w:szCs w:val="13"/>
                <w:color w:val="auto"/>
              </w:rPr>
              <w:t>2,707</w:t>
            </w:r>
          </w:p>
        </w:tc>
      </w:tr>
      <w:tr>
        <w:trPr>
          <w:trHeight w:val="152"/>
        </w:trPr>
        <w:tc>
          <w:tcPr>
            <w:tcW w:w="920" w:type="dxa"/>
            <w:vAlign w:val="bottom"/>
          </w:tcPr>
          <w:p>
            <w:pPr>
              <w:spacing w:after="0"/>
              <w:rPr>
                <w:sz w:val="13"/>
                <w:szCs w:val="13"/>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Service Options expired</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10.75</w:t>
            </w: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8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17,825</w:t>
            </w:r>
          </w:p>
        </w:tc>
      </w:tr>
      <w:tr>
        <w:trPr>
          <w:trHeight w:val="152"/>
        </w:trPr>
        <w:tc>
          <w:tcPr>
            <w:tcW w:w="920" w:type="dxa"/>
            <w:vAlign w:val="bottom"/>
          </w:tcPr>
          <w:p>
            <w:pPr>
              <w:spacing w:after="0"/>
              <w:rPr>
                <w:sz w:val="13"/>
                <w:szCs w:val="13"/>
                <w:color w:val="auto"/>
              </w:rPr>
            </w:pPr>
          </w:p>
        </w:tc>
        <w:tc>
          <w:tcPr>
            <w:tcW w:w="3920" w:type="dxa"/>
            <w:vAlign w:val="bottom"/>
          </w:tcPr>
          <w:p>
            <w:pPr>
              <w:spacing w:after="0"/>
              <w:rPr>
                <w:sz w:val="20"/>
                <w:szCs w:val="20"/>
                <w:color w:val="auto"/>
              </w:rPr>
            </w:pPr>
            <w:r>
              <w:rPr>
                <w:rFonts w:ascii="Arial" w:cs="Arial" w:eastAsia="Arial" w:hAnsi="Arial"/>
                <w:sz w:val="13"/>
                <w:szCs w:val="13"/>
                <w:color w:val="auto"/>
              </w:rPr>
              <w:t>Service Options outstanding on June 30,</w:t>
            </w:r>
          </w:p>
        </w:tc>
        <w:tc>
          <w:tcPr>
            <w:tcW w:w="920" w:type="dxa"/>
            <w:vAlign w:val="bottom"/>
            <w:gridSpan w:val="3"/>
          </w:tcPr>
          <w:p>
            <w:pPr>
              <w:jc w:val="right"/>
              <w:spacing w:after="0"/>
              <w:rPr>
                <w:sz w:val="20"/>
                <w:szCs w:val="20"/>
                <w:color w:val="auto"/>
              </w:rPr>
            </w:pPr>
            <w:r>
              <w:rPr>
                <w:rFonts w:ascii="Arial" w:cs="Arial" w:eastAsia="Arial" w:hAnsi="Arial"/>
                <w:sz w:val="13"/>
                <w:szCs w:val="13"/>
                <w:color w:val="auto"/>
              </w:rPr>
              <w:t>10.02</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gridSpan w:val="4"/>
          </w:tcPr>
          <w:p>
            <w:pPr>
              <w:jc w:val="right"/>
              <w:ind w:right="40"/>
              <w:spacing w:after="0"/>
              <w:rPr>
                <w:sz w:val="20"/>
                <w:szCs w:val="20"/>
                <w:color w:val="auto"/>
              </w:rPr>
            </w:pPr>
            <w:r>
              <w:rPr>
                <w:rFonts w:ascii="Arial" w:cs="Arial" w:eastAsia="Arial" w:hAnsi="Arial"/>
                <w:sz w:val="13"/>
                <w:szCs w:val="13"/>
                <w:color w:val="auto"/>
                <w:w w:val="89"/>
              </w:rPr>
              <w:t>6,469,297</w:t>
            </w:r>
          </w:p>
        </w:tc>
      </w:tr>
      <w:tr>
        <w:trPr>
          <w:trHeight w:val="152"/>
        </w:trPr>
        <w:tc>
          <w:tcPr>
            <w:tcW w:w="920" w:type="dxa"/>
            <w:vAlign w:val="bottom"/>
          </w:tcPr>
          <w:p>
            <w:pPr>
              <w:spacing w:after="0"/>
              <w:rPr>
                <w:sz w:val="13"/>
                <w:szCs w:val="13"/>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Service Options exercisable on June 30,</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10.07</w:t>
            </w: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8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w w:val="89"/>
              </w:rPr>
              <w:t>2,135,617</w:t>
            </w:r>
          </w:p>
        </w:tc>
      </w:tr>
      <w:tr>
        <w:trPr>
          <w:trHeight w:val="161"/>
        </w:trPr>
        <w:tc>
          <w:tcPr>
            <w:tcW w:w="920" w:type="dxa"/>
            <w:vAlign w:val="bottom"/>
          </w:tcPr>
          <w:p>
            <w:pPr>
              <w:spacing w:after="0"/>
              <w:rPr>
                <w:sz w:val="13"/>
                <w:szCs w:val="13"/>
                <w:color w:val="auto"/>
              </w:rPr>
            </w:pPr>
          </w:p>
        </w:tc>
        <w:tc>
          <w:tcPr>
            <w:tcW w:w="3920" w:type="dxa"/>
            <w:vAlign w:val="bottom"/>
          </w:tcPr>
          <w:p>
            <w:pPr>
              <w:spacing w:after="0"/>
              <w:rPr>
                <w:sz w:val="20"/>
                <w:szCs w:val="20"/>
                <w:color w:val="auto"/>
              </w:rPr>
            </w:pPr>
            <w:r>
              <w:rPr>
                <w:rFonts w:ascii="Arial" w:cs="Arial" w:eastAsia="Arial" w:hAnsi="Arial"/>
                <w:sz w:val="13"/>
                <w:szCs w:val="13"/>
                <w:color w:val="auto"/>
              </w:rPr>
              <w:t>Weighted average remaining contract life (years)</w:t>
            </w:r>
          </w:p>
        </w:tc>
        <w:tc>
          <w:tcPr>
            <w:tcW w:w="1060" w:type="dxa"/>
            <w:vAlign w:val="bottom"/>
            <w:gridSpan w:val="4"/>
          </w:tcPr>
          <w:p>
            <w:pPr>
              <w:jc w:val="right"/>
              <w:ind w:right="140"/>
              <w:spacing w:after="0"/>
              <w:rPr>
                <w:sz w:val="20"/>
                <w:szCs w:val="20"/>
                <w:color w:val="auto"/>
              </w:rPr>
            </w:pPr>
            <w:r>
              <w:rPr>
                <w:rFonts w:ascii="Arial" w:cs="Arial" w:eastAsia="Arial" w:hAnsi="Arial"/>
                <w:sz w:val="13"/>
                <w:szCs w:val="13"/>
                <w:color w:val="auto"/>
              </w:rPr>
              <w:t>8.57</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r>
    </w:tbl>
    <w:p>
      <w:pPr>
        <w:spacing w:after="0" w:line="134" w:lineRule="exact"/>
        <w:rPr>
          <w:sz w:val="20"/>
          <w:szCs w:val="20"/>
          <w:color w:val="auto"/>
        </w:rPr>
      </w:pPr>
    </w:p>
    <w:p>
      <w:pPr>
        <w:ind w:left="1780" w:right="839"/>
        <w:spacing w:after="0" w:line="276" w:lineRule="auto"/>
        <w:rPr>
          <w:sz w:val="20"/>
          <w:szCs w:val="20"/>
          <w:color w:val="auto"/>
        </w:rPr>
      </w:pPr>
      <w:r>
        <w:rPr>
          <w:rFonts w:ascii="Arial" w:cs="Arial" w:eastAsia="Arial" w:hAnsi="Arial"/>
          <w:sz w:val="12"/>
          <w:szCs w:val="12"/>
          <w:color w:val="auto"/>
        </w:rPr>
        <w:t>In addition, after the closing of the ARYA Merger certain executive officers and key personnel of the Group received under the 2020 Equity Plan performance-based options (“PSUs”), vesting based on both the achievement of market capitalization milestones and satisfaction of a four-year time-based vesting schedule. The PSUs are split into three equal tranches. The performance criteria for each of the three respective tranches requires Immatics to achieve a market capitalization of at least $1.5 billion, $2 billion and $3 billion, respectively.</w:t>
      </w:r>
    </w:p>
    <w:p>
      <w:pPr>
        <w:spacing w:after="0" w:line="123" w:lineRule="exact"/>
        <w:rPr>
          <w:sz w:val="20"/>
          <w:szCs w:val="20"/>
          <w:color w:val="auto"/>
        </w:rPr>
      </w:pPr>
    </w:p>
    <w:p>
      <w:pPr>
        <w:ind w:left="1780" w:right="1219"/>
        <w:spacing w:after="0" w:line="302" w:lineRule="auto"/>
        <w:rPr>
          <w:sz w:val="20"/>
          <w:szCs w:val="20"/>
          <w:color w:val="auto"/>
        </w:rPr>
      </w:pPr>
      <w:r>
        <w:rPr>
          <w:rFonts w:ascii="Arial" w:cs="Arial" w:eastAsia="Arial" w:hAnsi="Arial"/>
          <w:sz w:val="12"/>
          <w:szCs w:val="12"/>
          <w:color w:val="auto"/>
        </w:rPr>
        <w:t>A Monte-Carlo simulation model has been used to measure the fair value at grant date of the PSUs. This model incorporates the impact of the performance criteria regarding market capitalization in the calculation of the award’s fair value at grant date.</w:t>
      </w:r>
    </w:p>
    <w:p>
      <w:pPr>
        <w:sectPr>
          <w:pgSz w:w="11900" w:h="16838" w:orient="portrait"/>
          <w:cols w:equalWidth="0" w:num="1">
            <w:col w:w="10159"/>
          </w:cols>
          <w:pgMar w:left="300" w:top="383" w:right="1440" w:bottom="1440" w:gutter="0" w:footer="0" w:header="0"/>
        </w:sectPr>
      </w:pPr>
    </w:p>
    <w:bookmarkStart w:id="14" w:name="page15"/>
    <w:bookmarkEnd w:id="14"/>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42545"/>
                    </a:xfrm>
                    <a:prstGeom prst="rect">
                      <a:avLst/>
                    </a:prstGeom>
                    <a:noFill/>
                  </pic:spPr>
                </pic:pic>
              </a:graphicData>
            </a:graphic>
          </wp:anchor>
        </w:drawing>
        <w:t>Table of Contents</w:t>
      </w:r>
    </w:p>
    <w:p>
      <w:pPr>
        <w:spacing w:after="0" w:line="214" w:lineRule="exact"/>
        <w:rPr>
          <w:sz w:val="20"/>
          <w:szCs w:val="20"/>
          <w:color w:val="auto"/>
        </w:rPr>
      </w:pPr>
    </w:p>
    <w:p>
      <w:pPr>
        <w:ind w:left="1780"/>
        <w:spacing w:after="0"/>
        <w:rPr>
          <w:sz w:val="20"/>
          <w:szCs w:val="20"/>
          <w:color w:val="auto"/>
        </w:rPr>
      </w:pPr>
      <w:r>
        <w:rPr>
          <w:rFonts w:ascii="Arial" w:cs="Arial" w:eastAsia="Arial" w:hAnsi="Arial"/>
          <w:sz w:val="13"/>
          <w:szCs w:val="13"/>
          <w:color w:val="auto"/>
        </w:rPr>
        <w:t>PSUs outstanding as of June 30, 2023:</w:t>
      </w:r>
    </w:p>
    <w:p>
      <w:pPr>
        <w:spacing w:after="0" w:line="167" w:lineRule="exact"/>
        <w:rPr>
          <w:sz w:val="20"/>
          <w:szCs w:val="20"/>
          <w:color w:val="auto"/>
        </w:rPr>
      </w:pPr>
    </w:p>
    <w:tbl>
      <w:tblPr>
        <w:tblLayout w:type="fixed"/>
        <w:tblInd w:w="2700" w:type="dxa"/>
        <w:tblCellMar>
          <w:top w:w="0" w:type="dxa"/>
          <w:left w:w="0" w:type="dxa"/>
          <w:bottom w:w="0" w:type="dxa"/>
          <w:right w:w="0" w:type="dxa"/>
        </w:tblCellMar>
      </w:tblPr>
      <w:tr>
        <w:trPr>
          <w:trHeight w:val="119"/>
        </w:trPr>
        <w:tc>
          <w:tcPr>
            <w:tcW w:w="3920" w:type="dxa"/>
            <w:vAlign w:val="bottom"/>
          </w:tcPr>
          <w:p>
            <w:pPr>
              <w:spacing w:after="0"/>
              <w:rPr>
                <w:sz w:val="10"/>
                <w:szCs w:val="10"/>
                <w:color w:val="auto"/>
              </w:rPr>
            </w:pPr>
          </w:p>
        </w:tc>
        <w:tc>
          <w:tcPr>
            <w:tcW w:w="13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0"/>
                <w:szCs w:val="10"/>
                <w:b w:val="1"/>
                <w:bCs w:val="1"/>
                <w:color w:val="auto"/>
              </w:rPr>
              <w:t>2023</w:t>
            </w:r>
          </w:p>
        </w:tc>
        <w:tc>
          <w:tcPr>
            <w:tcW w:w="5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79"/>
        </w:trPr>
        <w:tc>
          <w:tcPr>
            <w:tcW w:w="3920" w:type="dxa"/>
            <w:vAlign w:val="bottom"/>
          </w:tcPr>
          <w:p>
            <w:pPr>
              <w:spacing w:after="0"/>
              <w:rPr>
                <w:sz w:val="6"/>
                <w:szCs w:val="6"/>
                <w:color w:val="auto"/>
              </w:rPr>
            </w:pPr>
          </w:p>
        </w:tc>
        <w:tc>
          <w:tcPr>
            <w:tcW w:w="1380" w:type="dxa"/>
            <w:vAlign w:val="bottom"/>
            <w:gridSpan w:val="2"/>
          </w:tcPr>
          <w:p>
            <w:pPr>
              <w:jc w:val="right"/>
              <w:ind w:right="520"/>
              <w:spacing w:after="0" w:line="79" w:lineRule="exact"/>
              <w:rPr>
                <w:sz w:val="20"/>
                <w:szCs w:val="20"/>
                <w:color w:val="auto"/>
              </w:rPr>
            </w:pPr>
            <w:r>
              <w:rPr>
                <w:rFonts w:ascii="Arial" w:cs="Arial" w:eastAsia="Arial" w:hAnsi="Arial"/>
                <w:sz w:val="9"/>
                <w:szCs w:val="9"/>
                <w:b w:val="1"/>
                <w:bCs w:val="1"/>
                <w:color w:val="auto"/>
              </w:rPr>
              <w:t>Weighted average</w:t>
            </w: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119"/>
        </w:trPr>
        <w:tc>
          <w:tcPr>
            <w:tcW w:w="3920" w:type="dxa"/>
            <w:vAlign w:val="bottom"/>
          </w:tcPr>
          <w:p>
            <w:pPr>
              <w:spacing w:after="0"/>
              <w:rPr>
                <w:sz w:val="10"/>
                <w:szCs w:val="10"/>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w w:val="87"/>
              </w:rPr>
              <w:t>exercise price in USD</w:t>
            </w:r>
          </w:p>
        </w:tc>
        <w:tc>
          <w:tcPr>
            <w:tcW w:w="58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Number</w:t>
            </w:r>
          </w:p>
        </w:tc>
      </w:tr>
      <w:tr>
        <w:trPr>
          <w:trHeight w:val="141"/>
        </w:trPr>
        <w:tc>
          <w:tcPr>
            <w:tcW w:w="392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PSUs outstanding on January 1,</w:t>
            </w:r>
          </w:p>
        </w:tc>
        <w:tc>
          <w:tcPr>
            <w:tcW w:w="9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10.08</w:t>
            </w:r>
          </w:p>
        </w:tc>
        <w:tc>
          <w:tcPr>
            <w:tcW w:w="4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89"/>
              </w:rPr>
              <w:t>3,666,000</w:t>
            </w:r>
          </w:p>
        </w:tc>
        <w:tc>
          <w:tcPr>
            <w:tcW w:w="40" w:type="dxa"/>
            <w:vAlign w:val="bottom"/>
            <w:tcBorders>
              <w:top w:val="single" w:sz="8" w:color="CCEEFF"/>
            </w:tcBorders>
            <w:shd w:val="clear" w:color="auto" w:fill="CCEEFF"/>
          </w:tcPr>
          <w:p>
            <w:pPr>
              <w:spacing w:after="0"/>
              <w:rPr>
                <w:sz w:val="12"/>
                <w:szCs w:val="12"/>
                <w:color w:val="auto"/>
              </w:rPr>
            </w:pPr>
          </w:p>
        </w:tc>
      </w:tr>
      <w:tr>
        <w:trPr>
          <w:trHeight w:val="152"/>
        </w:trPr>
        <w:tc>
          <w:tcPr>
            <w:tcW w:w="3920" w:type="dxa"/>
            <w:vAlign w:val="bottom"/>
          </w:tcPr>
          <w:p>
            <w:pPr>
              <w:spacing w:after="0"/>
              <w:rPr>
                <w:sz w:val="20"/>
                <w:szCs w:val="20"/>
                <w:color w:val="auto"/>
              </w:rPr>
            </w:pPr>
            <w:r>
              <w:rPr>
                <w:rFonts w:ascii="Arial" w:cs="Arial" w:eastAsia="Arial" w:hAnsi="Arial"/>
                <w:sz w:val="13"/>
                <w:szCs w:val="13"/>
                <w:color w:val="auto"/>
              </w:rPr>
              <w:t>PSUs granted in 2023</w:t>
            </w:r>
          </w:p>
        </w:tc>
        <w:tc>
          <w:tcPr>
            <w:tcW w:w="1380" w:type="dxa"/>
            <w:vAlign w:val="bottom"/>
            <w:gridSpan w:val="2"/>
          </w:tcPr>
          <w:p>
            <w:pPr>
              <w:jc w:val="right"/>
              <w:ind w:right="52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2"/>
        </w:trPr>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PSUs forfeited</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4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12,000</w:t>
            </w:r>
          </w:p>
        </w:tc>
      </w:tr>
      <w:tr>
        <w:trPr>
          <w:trHeight w:val="152"/>
        </w:trPr>
        <w:tc>
          <w:tcPr>
            <w:tcW w:w="3920" w:type="dxa"/>
            <w:vAlign w:val="bottom"/>
          </w:tcPr>
          <w:p>
            <w:pPr>
              <w:spacing w:after="0"/>
              <w:rPr>
                <w:sz w:val="20"/>
                <w:szCs w:val="20"/>
                <w:color w:val="auto"/>
              </w:rPr>
            </w:pPr>
            <w:r>
              <w:rPr>
                <w:rFonts w:ascii="Arial" w:cs="Arial" w:eastAsia="Arial" w:hAnsi="Arial"/>
                <w:sz w:val="13"/>
                <w:szCs w:val="13"/>
                <w:color w:val="auto"/>
              </w:rPr>
              <w:t>PSUs outstanding on June 30,</w:t>
            </w:r>
          </w:p>
        </w:tc>
        <w:tc>
          <w:tcPr>
            <w:tcW w:w="920" w:type="dxa"/>
            <w:vAlign w:val="bottom"/>
          </w:tcPr>
          <w:p>
            <w:pPr>
              <w:jc w:val="right"/>
              <w:spacing w:after="0"/>
              <w:rPr>
                <w:sz w:val="20"/>
                <w:szCs w:val="20"/>
                <w:color w:val="auto"/>
              </w:rPr>
            </w:pPr>
            <w:r>
              <w:rPr>
                <w:rFonts w:ascii="Arial" w:cs="Arial" w:eastAsia="Arial" w:hAnsi="Arial"/>
                <w:sz w:val="13"/>
                <w:szCs w:val="13"/>
                <w:color w:val="auto"/>
              </w:rPr>
              <w:t>10.08</w:t>
            </w:r>
          </w:p>
        </w:tc>
        <w:tc>
          <w:tcPr>
            <w:tcW w:w="46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w w:val="89"/>
              </w:rPr>
              <w:t>3,654,000</w:t>
            </w:r>
          </w:p>
        </w:tc>
      </w:tr>
      <w:tr>
        <w:trPr>
          <w:trHeight w:val="152"/>
        </w:trPr>
        <w:tc>
          <w:tcPr>
            <w:tcW w:w="3920" w:type="dxa"/>
            <w:vAlign w:val="bottom"/>
            <w:shd w:val="clear" w:color="auto" w:fill="CCEEFF"/>
          </w:tcPr>
          <w:p>
            <w:pPr>
              <w:spacing w:after="0"/>
              <w:rPr>
                <w:sz w:val="20"/>
                <w:szCs w:val="20"/>
                <w:color w:val="auto"/>
              </w:rPr>
            </w:pPr>
            <w:r>
              <w:rPr>
                <w:rFonts w:ascii="Arial" w:cs="Arial" w:eastAsia="Arial" w:hAnsi="Arial"/>
                <w:sz w:val="13"/>
                <w:szCs w:val="13"/>
                <w:color w:val="auto"/>
              </w:rPr>
              <w:t>PSUs exercisable on June 30,</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61"/>
        </w:trPr>
        <w:tc>
          <w:tcPr>
            <w:tcW w:w="3920" w:type="dxa"/>
            <w:vAlign w:val="bottom"/>
          </w:tcPr>
          <w:p>
            <w:pPr>
              <w:spacing w:after="0"/>
              <w:rPr>
                <w:sz w:val="20"/>
                <w:szCs w:val="20"/>
                <w:color w:val="auto"/>
              </w:rPr>
            </w:pPr>
            <w:r>
              <w:rPr>
                <w:rFonts w:ascii="Arial" w:cs="Arial" w:eastAsia="Arial" w:hAnsi="Arial"/>
                <w:sz w:val="13"/>
                <w:szCs w:val="13"/>
                <w:color w:val="auto"/>
              </w:rPr>
              <w:t>Weighted average remaining contract life (years)</w:t>
            </w:r>
          </w:p>
        </w:tc>
        <w:tc>
          <w:tcPr>
            <w:tcW w:w="1380" w:type="dxa"/>
            <w:vAlign w:val="bottom"/>
            <w:gridSpan w:val="2"/>
          </w:tcPr>
          <w:p>
            <w:pPr>
              <w:jc w:val="right"/>
              <w:ind w:right="460"/>
              <w:spacing w:after="0"/>
              <w:rPr>
                <w:sz w:val="20"/>
                <w:szCs w:val="20"/>
                <w:color w:val="auto"/>
              </w:rPr>
            </w:pPr>
            <w:r>
              <w:rPr>
                <w:rFonts w:ascii="Arial" w:cs="Arial" w:eastAsia="Arial" w:hAnsi="Arial"/>
                <w:sz w:val="13"/>
                <w:szCs w:val="13"/>
                <w:color w:val="auto"/>
              </w:rPr>
              <w:t>7.05</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r>
    </w:tbl>
    <w:p>
      <w:pPr>
        <w:spacing w:after="0" w:line="134" w:lineRule="exact"/>
        <w:rPr>
          <w:sz w:val="20"/>
          <w:szCs w:val="20"/>
          <w:color w:val="auto"/>
        </w:rPr>
      </w:pPr>
    </w:p>
    <w:p>
      <w:pPr>
        <w:ind w:left="1780" w:right="779"/>
        <w:spacing w:after="0" w:line="261" w:lineRule="auto"/>
        <w:rPr>
          <w:sz w:val="20"/>
          <w:szCs w:val="20"/>
          <w:color w:val="auto"/>
        </w:rPr>
      </w:pPr>
      <w:r>
        <w:rPr>
          <w:rFonts w:ascii="Arial" w:cs="Arial" w:eastAsia="Arial" w:hAnsi="Arial"/>
          <w:sz w:val="13"/>
          <w:szCs w:val="13"/>
          <w:color w:val="auto"/>
        </w:rPr>
        <w:t>The Group recognized total employee-related share-based compensation expenses from all plans, during the three and six months ended June 30, 2023 and 2022 as set out below:</w:t>
      </w:r>
    </w:p>
    <w:p>
      <w:pPr>
        <w:spacing w:after="0" w:line="143" w:lineRule="exact"/>
        <w:rPr>
          <w:sz w:val="20"/>
          <w:szCs w:val="20"/>
          <w:color w:val="auto"/>
        </w:rPr>
      </w:pPr>
    </w:p>
    <w:tbl>
      <w:tblPr>
        <w:tblLayout w:type="fixed"/>
        <w:tblInd w:w="1780" w:type="dxa"/>
        <w:tblCellMar>
          <w:top w:w="0" w:type="dxa"/>
          <w:left w:w="0" w:type="dxa"/>
          <w:bottom w:w="0" w:type="dxa"/>
          <w:right w:w="0" w:type="dxa"/>
        </w:tblCellMar>
      </w:tblPr>
      <w:tr>
        <w:trPr>
          <w:trHeight w:val="119"/>
        </w:trPr>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520" w:type="dxa"/>
            <w:vAlign w:val="bottom"/>
            <w:gridSpan w:val="8"/>
          </w:tcPr>
          <w:p>
            <w:pPr>
              <w:jc w:val="center"/>
              <w:ind w:right="149"/>
              <w:spacing w:after="0"/>
              <w:rPr>
                <w:sz w:val="20"/>
                <w:szCs w:val="20"/>
                <w:color w:val="auto"/>
              </w:rPr>
            </w:pPr>
            <w:r>
              <w:rPr>
                <w:rFonts w:ascii="Arial" w:cs="Arial" w:eastAsia="Arial" w:hAnsi="Arial"/>
                <w:sz w:val="10"/>
                <w:szCs w:val="10"/>
                <w:b w:val="1"/>
                <w:bCs w:val="1"/>
                <w:color w:val="auto"/>
                <w:w w:val="90"/>
              </w:rPr>
              <w:t>Three months ended June 30,</w:t>
            </w:r>
          </w:p>
        </w:tc>
        <w:tc>
          <w:tcPr>
            <w:tcW w:w="1300" w:type="dxa"/>
            <w:vAlign w:val="bottom"/>
            <w:gridSpan w:val="6"/>
          </w:tcPr>
          <w:p>
            <w:pPr>
              <w:jc w:val="right"/>
              <w:ind w:right="120"/>
              <w:spacing w:after="0"/>
              <w:rPr>
                <w:sz w:val="20"/>
                <w:szCs w:val="20"/>
                <w:color w:val="auto"/>
              </w:rPr>
            </w:pPr>
            <w:r>
              <w:rPr>
                <w:rFonts w:ascii="Arial" w:cs="Arial" w:eastAsia="Arial" w:hAnsi="Arial"/>
                <w:sz w:val="10"/>
                <w:szCs w:val="10"/>
                <w:b w:val="1"/>
                <w:bCs w:val="1"/>
                <w:color w:val="auto"/>
                <w:w w:val="89"/>
              </w:rPr>
              <w:t>Six months ended June 30,</w:t>
            </w:r>
          </w:p>
        </w:tc>
      </w:tr>
      <w:tr>
        <w:trPr>
          <w:trHeight w:val="94"/>
        </w:trPr>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80" w:type="dxa"/>
            <w:vAlign w:val="bottom"/>
          </w:tcPr>
          <w:p>
            <w:pPr>
              <w:spacing w:after="0"/>
              <w:rPr>
                <w:sz w:val="8"/>
                <w:szCs w:val="8"/>
                <w:color w:val="auto"/>
              </w:rPr>
            </w:pPr>
          </w:p>
        </w:tc>
        <w:tc>
          <w:tcPr>
            <w:tcW w:w="520" w:type="dxa"/>
            <w:vAlign w:val="bottom"/>
            <w:tcBorders>
              <w:top w:val="single" w:sz="8" w:color="auto"/>
              <w:bottom w:val="single" w:sz="8" w:color="auto"/>
            </w:tcBorders>
            <w:gridSpan w:val="2"/>
          </w:tcPr>
          <w:p>
            <w:pPr>
              <w:jc w:val="right"/>
              <w:ind w:right="103"/>
              <w:spacing w:after="0" w:line="94" w:lineRule="exact"/>
              <w:rPr>
                <w:sz w:val="20"/>
                <w:szCs w:val="20"/>
                <w:color w:val="auto"/>
              </w:rPr>
            </w:pPr>
            <w:r>
              <w:rPr>
                <w:rFonts w:ascii="Arial" w:cs="Arial" w:eastAsia="Arial" w:hAnsi="Arial"/>
                <w:sz w:val="10"/>
                <w:szCs w:val="10"/>
                <w:b w:val="1"/>
                <w:bCs w:val="1"/>
                <w:color w:val="auto"/>
              </w:rPr>
              <w:t>2023</w:t>
            </w:r>
          </w:p>
        </w:tc>
        <w:tc>
          <w:tcPr>
            <w:tcW w:w="24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22"/>
              <w:spacing w:after="0" w:line="94" w:lineRule="exact"/>
              <w:rPr>
                <w:sz w:val="20"/>
                <w:szCs w:val="20"/>
                <w:color w:val="auto"/>
              </w:rPr>
            </w:pPr>
            <w:r>
              <w:rPr>
                <w:rFonts w:ascii="Arial" w:cs="Arial" w:eastAsia="Arial" w:hAnsi="Arial"/>
                <w:sz w:val="10"/>
                <w:szCs w:val="10"/>
                <w:b w:val="1"/>
                <w:bCs w:val="1"/>
                <w:color w:val="auto"/>
              </w:rPr>
              <w:t>2022</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top w:val="single" w:sz="8" w:color="auto"/>
              <w:bottom w:val="single" w:sz="8" w:color="auto"/>
            </w:tcBorders>
          </w:tcPr>
          <w:p>
            <w:pPr>
              <w:jc w:val="right"/>
              <w:ind w:right="81"/>
              <w:spacing w:after="0" w:line="94" w:lineRule="exact"/>
              <w:rPr>
                <w:sz w:val="20"/>
                <w:szCs w:val="20"/>
                <w:color w:val="auto"/>
              </w:rPr>
            </w:pPr>
            <w:r>
              <w:rPr>
                <w:rFonts w:ascii="Arial" w:cs="Arial" w:eastAsia="Arial" w:hAnsi="Arial"/>
                <w:sz w:val="10"/>
                <w:szCs w:val="10"/>
                <w:b w:val="1"/>
                <w:bCs w:val="1"/>
                <w:color w:val="auto"/>
              </w:rPr>
              <w:t>2023</w:t>
            </w:r>
          </w:p>
        </w:tc>
        <w:tc>
          <w:tcPr>
            <w:tcW w:w="140" w:type="dxa"/>
            <w:vAlign w:val="bottom"/>
            <w:tcBorders>
              <w:top w:val="single" w:sz="8" w:color="auto"/>
              <w:bottom w:val="single" w:sz="8" w:color="auto"/>
            </w:tcBorders>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100"/>
              <w:spacing w:after="0" w:line="94" w:lineRule="exact"/>
              <w:rPr>
                <w:sz w:val="20"/>
                <w:szCs w:val="20"/>
                <w:color w:val="auto"/>
              </w:rPr>
            </w:pPr>
            <w:r>
              <w:rPr>
                <w:rFonts w:ascii="Arial" w:cs="Arial" w:eastAsia="Arial" w:hAnsi="Arial"/>
                <w:sz w:val="10"/>
                <w:szCs w:val="10"/>
                <w:b w:val="1"/>
                <w:bCs w:val="1"/>
                <w:color w:val="auto"/>
              </w:rPr>
              <w:t>2022</w:t>
            </w:r>
          </w:p>
        </w:tc>
        <w:tc>
          <w:tcPr>
            <w:tcW w:w="80" w:type="dxa"/>
            <w:vAlign w:val="bottom"/>
          </w:tcPr>
          <w:p>
            <w:pPr>
              <w:spacing w:after="0"/>
              <w:rPr>
                <w:sz w:val="8"/>
                <w:szCs w:val="8"/>
                <w:color w:val="auto"/>
              </w:rPr>
            </w:pPr>
          </w:p>
        </w:tc>
      </w:tr>
      <w:tr>
        <w:trPr>
          <w:trHeight w:val="94"/>
        </w:trPr>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320" w:type="dxa"/>
            <w:vAlign w:val="bottom"/>
            <w:gridSpan w:val="6"/>
          </w:tcPr>
          <w:p>
            <w:pPr>
              <w:jc w:val="center"/>
              <w:spacing w:after="0" w:line="94" w:lineRule="exact"/>
              <w:rPr>
                <w:sz w:val="20"/>
                <w:szCs w:val="20"/>
                <w:color w:val="auto"/>
              </w:rPr>
            </w:pPr>
            <w:r>
              <w:rPr>
                <w:rFonts w:ascii="Arial" w:cs="Arial" w:eastAsia="Arial" w:hAnsi="Arial"/>
                <w:sz w:val="10"/>
                <w:szCs w:val="10"/>
                <w:b w:val="1"/>
                <w:bCs w:val="1"/>
                <w:color w:val="auto"/>
                <w:w w:val="89"/>
              </w:rPr>
              <w:t>(Euros in thousands)</w:t>
            </w: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5"/>
          </w:tcPr>
          <w:p>
            <w:pPr>
              <w:jc w:val="right"/>
              <w:ind w:right="100"/>
              <w:spacing w:after="0" w:line="94" w:lineRule="exact"/>
              <w:rPr>
                <w:sz w:val="20"/>
                <w:szCs w:val="20"/>
                <w:color w:val="auto"/>
              </w:rPr>
            </w:pPr>
            <w:r>
              <w:rPr>
                <w:rFonts w:ascii="Arial" w:cs="Arial" w:eastAsia="Arial" w:hAnsi="Arial"/>
                <w:sz w:val="10"/>
                <w:szCs w:val="10"/>
                <w:b w:val="1"/>
                <w:bCs w:val="1"/>
                <w:color w:val="auto"/>
              </w:rPr>
              <w:t>(Euros in thousands)</w:t>
            </w:r>
          </w:p>
        </w:tc>
        <w:tc>
          <w:tcPr>
            <w:tcW w:w="80" w:type="dxa"/>
            <w:vAlign w:val="bottom"/>
          </w:tcPr>
          <w:p>
            <w:pPr>
              <w:spacing w:after="0"/>
              <w:rPr>
                <w:sz w:val="8"/>
                <w:szCs w:val="8"/>
                <w:color w:val="auto"/>
              </w:rPr>
            </w:pPr>
          </w:p>
        </w:tc>
      </w:tr>
      <w:tr>
        <w:trPr>
          <w:trHeight w:val="152"/>
        </w:trPr>
        <w:tc>
          <w:tcPr>
            <w:tcW w:w="320" w:type="dxa"/>
            <w:vAlign w:val="bottom"/>
          </w:tcPr>
          <w:p>
            <w:pPr>
              <w:spacing w:after="0"/>
              <w:rPr>
                <w:sz w:val="13"/>
                <w:szCs w:val="13"/>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Research and development expenses</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(3,282)</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109"/>
              <w:spacing w:after="0"/>
              <w:rPr>
                <w:sz w:val="20"/>
                <w:szCs w:val="20"/>
                <w:color w:val="auto"/>
              </w:rPr>
            </w:pPr>
            <w:r>
              <w:rPr>
                <w:rFonts w:ascii="Arial" w:cs="Arial" w:eastAsia="Arial" w:hAnsi="Arial"/>
                <w:sz w:val="13"/>
                <w:szCs w:val="13"/>
                <w:color w:val="auto"/>
              </w:rPr>
              <w:t>(3,107)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(6,815)</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(6,375)</w:t>
            </w:r>
          </w:p>
        </w:tc>
      </w:tr>
      <w:tr>
        <w:trPr>
          <w:trHeight w:val="152"/>
        </w:trPr>
        <w:tc>
          <w:tcPr>
            <w:tcW w:w="320" w:type="dxa"/>
            <w:vAlign w:val="bottom"/>
          </w:tcPr>
          <w:p>
            <w:pPr>
              <w:spacing w:after="0"/>
              <w:rPr>
                <w:sz w:val="13"/>
                <w:szCs w:val="13"/>
                <w:color w:val="auto"/>
              </w:rPr>
            </w:pPr>
          </w:p>
        </w:tc>
        <w:tc>
          <w:tcPr>
            <w:tcW w:w="4280" w:type="dxa"/>
            <w:vAlign w:val="bottom"/>
            <w:gridSpan w:val="2"/>
          </w:tcPr>
          <w:p>
            <w:pPr>
              <w:spacing w:after="0"/>
              <w:rPr>
                <w:sz w:val="20"/>
                <w:szCs w:val="20"/>
                <w:color w:val="auto"/>
              </w:rPr>
            </w:pPr>
            <w:r>
              <w:rPr>
                <w:rFonts w:ascii="Arial" w:cs="Arial" w:eastAsia="Arial" w:hAnsi="Arial"/>
                <w:sz w:val="13"/>
                <w:szCs w:val="13"/>
                <w:color w:val="auto"/>
              </w:rPr>
              <w:t>General and administrative expenses</w:t>
            </w:r>
          </w:p>
        </w:tc>
        <w:tc>
          <w:tcPr>
            <w:tcW w:w="760" w:type="dxa"/>
            <w:vAlign w:val="bottom"/>
            <w:gridSpan w:val="3"/>
          </w:tcPr>
          <w:p>
            <w:pPr>
              <w:jc w:val="right"/>
              <w:ind w:right="200"/>
              <w:spacing w:after="0"/>
              <w:rPr>
                <w:sz w:val="20"/>
                <w:szCs w:val="20"/>
                <w:color w:val="auto"/>
              </w:rPr>
            </w:pPr>
            <w:r>
              <w:rPr>
                <w:rFonts w:ascii="Arial" w:cs="Arial" w:eastAsia="Arial" w:hAnsi="Arial"/>
                <w:sz w:val="13"/>
                <w:szCs w:val="13"/>
                <w:color w:val="auto"/>
              </w:rPr>
              <w:t>(2,231)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3"/>
          </w:tcPr>
          <w:p>
            <w:pPr>
              <w:jc w:val="right"/>
              <w:ind w:right="109"/>
              <w:spacing w:after="0"/>
              <w:rPr>
                <w:sz w:val="20"/>
                <w:szCs w:val="20"/>
                <w:color w:val="auto"/>
              </w:rPr>
            </w:pPr>
            <w:r>
              <w:rPr>
                <w:rFonts w:ascii="Arial" w:cs="Arial" w:eastAsia="Arial" w:hAnsi="Arial"/>
                <w:sz w:val="13"/>
                <w:szCs w:val="13"/>
                <w:color w:val="auto"/>
              </w:rPr>
              <w:t>(2,453)</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(4,800)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(4,887)</w:t>
            </w:r>
          </w:p>
        </w:tc>
      </w:tr>
      <w:tr>
        <w:trPr>
          <w:trHeight w:val="20"/>
        </w:trPr>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9"/>
        </w:trPr>
        <w:tc>
          <w:tcPr>
            <w:tcW w:w="320" w:type="dxa"/>
            <w:vAlign w:val="bottom"/>
          </w:tcPr>
          <w:p>
            <w:pPr>
              <w:spacing w:after="0"/>
              <w:rPr>
                <w:sz w:val="13"/>
                <w:szCs w:val="13"/>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(5,513)</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109"/>
              <w:spacing w:after="0"/>
              <w:rPr>
                <w:sz w:val="20"/>
                <w:szCs w:val="20"/>
                <w:color w:val="auto"/>
              </w:rPr>
            </w:pPr>
            <w:r>
              <w:rPr>
                <w:rFonts w:ascii="Arial" w:cs="Arial" w:eastAsia="Arial" w:hAnsi="Arial"/>
                <w:sz w:val="13"/>
                <w:szCs w:val="13"/>
                <w:b w:val="1"/>
                <w:bCs w:val="1"/>
                <w:color w:val="auto"/>
              </w:rPr>
              <w:t>(5,560)</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(11,615)</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(11,262)</w:t>
            </w:r>
          </w:p>
        </w:tc>
      </w:tr>
      <w:tr>
        <w:trPr>
          <w:trHeight w:val="389"/>
        </w:trPr>
        <w:tc>
          <w:tcPr>
            <w:tcW w:w="4600" w:type="dxa"/>
            <w:vAlign w:val="bottom"/>
            <w:gridSpan w:val="3"/>
          </w:tcPr>
          <w:p>
            <w:pPr>
              <w:spacing w:after="0"/>
              <w:rPr>
                <w:sz w:val="20"/>
                <w:szCs w:val="20"/>
                <w:color w:val="auto"/>
              </w:rPr>
            </w:pPr>
            <w:r>
              <w:rPr>
                <w:rFonts w:ascii="Arial" w:cs="Arial" w:eastAsia="Arial" w:hAnsi="Arial"/>
                <w:sz w:val="13"/>
                <w:szCs w:val="13"/>
                <w:b w:val="1"/>
                <w:bCs w:val="1"/>
                <w:color w:val="auto"/>
              </w:rPr>
              <w:t>9. Other current and non-current assets</w:t>
            </w:r>
          </w:p>
        </w:tc>
        <w:tc>
          <w:tcPr>
            <w:tcW w:w="2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7"/>
        </w:trPr>
        <w:tc>
          <w:tcPr>
            <w:tcW w:w="4600" w:type="dxa"/>
            <w:vAlign w:val="bottom"/>
            <w:gridSpan w:val="3"/>
          </w:tcPr>
          <w:p>
            <w:pPr>
              <w:spacing w:after="0"/>
              <w:rPr>
                <w:sz w:val="20"/>
                <w:szCs w:val="20"/>
                <w:color w:val="auto"/>
              </w:rPr>
            </w:pPr>
            <w:r>
              <w:rPr>
                <w:rFonts w:ascii="Arial" w:cs="Arial" w:eastAsia="Arial" w:hAnsi="Arial"/>
                <w:sz w:val="13"/>
                <w:szCs w:val="13"/>
                <w:color w:val="auto"/>
              </w:rPr>
              <w:t>Other current assets consist of the following:</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75"/>
        </w:trPr>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gridSpan w:val="3"/>
          </w:tcPr>
          <w:p>
            <w:pPr>
              <w:jc w:val="right"/>
              <w:ind w:right="149"/>
              <w:spacing w:after="0"/>
              <w:rPr>
                <w:sz w:val="20"/>
                <w:szCs w:val="20"/>
                <w:color w:val="auto"/>
              </w:rPr>
            </w:pPr>
            <w:r>
              <w:rPr>
                <w:rFonts w:ascii="Arial" w:cs="Arial" w:eastAsia="Arial" w:hAnsi="Arial"/>
                <w:sz w:val="10"/>
                <w:szCs w:val="10"/>
                <w:b w:val="1"/>
                <w:bCs w:val="1"/>
                <w:color w:val="auto"/>
              </w:rPr>
              <w:t>As of</w:t>
            </w:r>
          </w:p>
        </w:tc>
        <w:tc>
          <w:tcPr>
            <w:tcW w:w="5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94"/>
        </w:trPr>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Borders>
              <w:bottom w:val="single" w:sz="8" w:color="auto"/>
            </w:tcBorders>
            <w:gridSpan w:val="4"/>
          </w:tcPr>
          <w:p>
            <w:pPr>
              <w:spacing w:after="0" w:line="94" w:lineRule="exact"/>
              <w:rPr>
                <w:sz w:val="20"/>
                <w:szCs w:val="20"/>
                <w:color w:val="auto"/>
              </w:rPr>
            </w:pPr>
            <w:r>
              <w:rPr>
                <w:rFonts w:ascii="Arial" w:cs="Arial" w:eastAsia="Arial" w:hAnsi="Arial"/>
                <w:sz w:val="10"/>
                <w:szCs w:val="10"/>
                <w:b w:val="1"/>
                <w:bCs w:val="1"/>
                <w:color w:val="auto"/>
                <w:w w:val="89"/>
              </w:rPr>
              <w:t>June 30, 2023</w:t>
            </w: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3"/>
          </w:tcPr>
          <w:p>
            <w:pPr>
              <w:jc w:val="right"/>
              <w:spacing w:after="0" w:line="94" w:lineRule="exact"/>
              <w:rPr>
                <w:sz w:val="20"/>
                <w:szCs w:val="20"/>
                <w:color w:val="auto"/>
              </w:rPr>
            </w:pPr>
            <w:r>
              <w:rPr>
                <w:rFonts w:ascii="Arial" w:cs="Arial" w:eastAsia="Arial" w:hAnsi="Arial"/>
                <w:sz w:val="10"/>
                <w:szCs w:val="10"/>
                <w:b w:val="1"/>
                <w:bCs w:val="1"/>
                <w:color w:val="auto"/>
                <w:w w:val="88"/>
              </w:rPr>
              <w:t>December 31, 2022</w:t>
            </w:r>
          </w:p>
        </w:tc>
        <w:tc>
          <w:tcPr>
            <w:tcW w:w="80" w:type="dxa"/>
            <w:vAlign w:val="bottom"/>
            <w:gridSpan w:val="2"/>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4"/>
        </w:trPr>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0" w:type="dxa"/>
            <w:vAlign w:val="bottom"/>
            <w:gridSpan w:val="7"/>
          </w:tcPr>
          <w:p>
            <w:pPr>
              <w:jc w:val="right"/>
              <w:ind w:right="500"/>
              <w:spacing w:after="0" w:line="94" w:lineRule="exact"/>
              <w:rPr>
                <w:sz w:val="20"/>
                <w:szCs w:val="20"/>
                <w:color w:val="auto"/>
              </w:rPr>
            </w:pPr>
            <w:r>
              <w:rPr>
                <w:rFonts w:ascii="Arial" w:cs="Arial" w:eastAsia="Arial" w:hAnsi="Arial"/>
                <w:sz w:val="10"/>
                <w:szCs w:val="10"/>
                <w:b w:val="1"/>
                <w:bCs w:val="1"/>
                <w:color w:val="auto"/>
                <w:w w:val="87"/>
              </w:rPr>
              <w:t>(Euros in thousands)</w:t>
            </w:r>
          </w:p>
        </w:tc>
        <w:tc>
          <w:tcPr>
            <w:tcW w:w="80" w:type="dxa"/>
            <w:vAlign w:val="bottom"/>
            <w:gridSpan w:val="2"/>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52"/>
        </w:trPr>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Prepaid expenses</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9,546</w:t>
            </w: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10,450</w:t>
            </w: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Value added tax receivables</w:t>
            </w:r>
          </w:p>
        </w:tc>
        <w:tc>
          <w:tcPr>
            <w:tcW w:w="840" w:type="dxa"/>
            <w:vAlign w:val="bottom"/>
            <w:gridSpan w:val="4"/>
          </w:tcPr>
          <w:p>
            <w:pPr>
              <w:jc w:val="right"/>
              <w:spacing w:after="0"/>
              <w:rPr>
                <w:sz w:val="20"/>
                <w:szCs w:val="20"/>
                <w:color w:val="auto"/>
              </w:rPr>
            </w:pPr>
            <w:r>
              <w:rPr>
                <w:rFonts w:ascii="Arial" w:cs="Arial" w:eastAsia="Arial" w:hAnsi="Arial"/>
                <w:sz w:val="13"/>
                <w:szCs w:val="13"/>
                <w:color w:val="auto"/>
              </w:rPr>
              <w:t>1,605</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3"/>
                <w:szCs w:val="13"/>
                <w:color w:val="auto"/>
              </w:rPr>
              <w:t>1,031</w:t>
            </w: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Other assets</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5,517</w:t>
            </w: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2,357</w:t>
            </w: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8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260" w:type="dxa"/>
            <w:vAlign w:val="bottom"/>
          </w:tcPr>
          <w:p>
            <w:pPr>
              <w:spacing w:after="0"/>
              <w:rPr>
                <w:sz w:val="13"/>
                <w:szCs w:val="13"/>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16,668</w:t>
            </w:r>
          </w:p>
        </w:tc>
        <w:tc>
          <w:tcPr>
            <w:tcW w:w="2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13,838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r>
    </w:tbl>
    <w:p>
      <w:pPr>
        <w:spacing w:after="0" w:line="152" w:lineRule="exact"/>
        <w:rPr>
          <w:sz w:val="20"/>
          <w:szCs w:val="20"/>
          <w:color w:val="auto"/>
        </w:rPr>
      </w:pPr>
    </w:p>
    <w:p>
      <w:pPr>
        <w:jc w:val="both"/>
        <w:ind w:left="1780" w:right="719"/>
        <w:spacing w:after="0" w:line="249" w:lineRule="auto"/>
        <w:rPr>
          <w:sz w:val="20"/>
          <w:szCs w:val="20"/>
          <w:color w:val="auto"/>
        </w:rPr>
      </w:pPr>
      <w:r>
        <w:rPr>
          <w:rFonts w:ascii="Arial" w:cs="Arial" w:eastAsia="Arial" w:hAnsi="Arial"/>
          <w:sz w:val="13"/>
          <w:szCs w:val="13"/>
          <w:color w:val="auto"/>
        </w:rPr>
        <w:t>Prepaid expenses include expenses for licenses and software of €6.7 million as of June 30, 2023 and €7.4 million as of December 31, 2022 and prepaid insurance expenses of €0.2 million as of June 30, 2023 and €1.2 million as of December 31, 2022. The Group accrued €0.3 million as of June 30, 2023 and €0.4 million as of December 31, 2022 of incremental cost for the successful arrangement of the BMS collaboration signed in 2019 and the Genmab collaboration agreement.</w:t>
      </w:r>
    </w:p>
    <w:p>
      <w:pPr>
        <w:spacing w:after="0" w:line="138" w:lineRule="exact"/>
        <w:rPr>
          <w:sz w:val="20"/>
          <w:szCs w:val="20"/>
          <w:color w:val="auto"/>
        </w:rPr>
      </w:pPr>
    </w:p>
    <w:p>
      <w:pPr>
        <w:ind w:left="1780" w:right="859"/>
        <w:spacing w:after="0" w:line="302" w:lineRule="auto"/>
        <w:rPr>
          <w:sz w:val="20"/>
          <w:szCs w:val="20"/>
          <w:color w:val="auto"/>
        </w:rPr>
      </w:pPr>
      <w:r>
        <w:rPr>
          <w:rFonts w:ascii="Arial" w:cs="Arial" w:eastAsia="Arial" w:hAnsi="Arial"/>
          <w:sz w:val="12"/>
          <w:szCs w:val="12"/>
          <w:color w:val="auto"/>
        </w:rPr>
        <w:t>Additionally, prepaid expenses include expenses for maintenance of €0.7 million as of June 30, 2023 and €0.7 million as of December 31, 2022. The remaining amount is mainly related to prepaid expenses for contract research organizations and travel expenses.</w:t>
      </w:r>
    </w:p>
    <w:p>
      <w:pPr>
        <w:spacing w:after="0" w:line="108" w:lineRule="exact"/>
        <w:rPr>
          <w:sz w:val="20"/>
          <w:szCs w:val="20"/>
          <w:color w:val="auto"/>
        </w:rPr>
      </w:pPr>
    </w:p>
    <w:p>
      <w:pPr>
        <w:ind w:left="1780"/>
        <w:spacing w:after="0"/>
        <w:rPr>
          <w:sz w:val="20"/>
          <w:szCs w:val="20"/>
          <w:color w:val="auto"/>
        </w:rPr>
      </w:pPr>
      <w:r>
        <w:rPr>
          <w:rFonts w:ascii="Arial" w:cs="Arial" w:eastAsia="Arial" w:hAnsi="Arial"/>
          <w:sz w:val="13"/>
          <w:szCs w:val="13"/>
          <w:color w:val="auto"/>
        </w:rPr>
        <w:t>Other assets include receivables from lease incentive, capital gains tax and prepaid deposit expenses.</w:t>
      </w:r>
    </w:p>
    <w:p>
      <w:pPr>
        <w:spacing w:after="0" w:line="154" w:lineRule="exact"/>
        <w:rPr>
          <w:sz w:val="20"/>
          <w:szCs w:val="20"/>
          <w:color w:val="auto"/>
        </w:rPr>
      </w:pPr>
    </w:p>
    <w:p>
      <w:pPr>
        <w:ind w:left="1780"/>
        <w:spacing w:after="0"/>
        <w:rPr>
          <w:sz w:val="20"/>
          <w:szCs w:val="20"/>
          <w:color w:val="auto"/>
        </w:rPr>
      </w:pPr>
      <w:r>
        <w:rPr>
          <w:rFonts w:ascii="Arial" w:cs="Arial" w:eastAsia="Arial" w:hAnsi="Arial"/>
          <w:sz w:val="13"/>
          <w:szCs w:val="13"/>
          <w:color w:val="auto"/>
        </w:rPr>
        <w:t>Other non-current assets consist of the following:</w:t>
      </w:r>
    </w:p>
    <w:p>
      <w:pPr>
        <w:spacing w:after="0" w:line="167" w:lineRule="exact"/>
        <w:rPr>
          <w:sz w:val="20"/>
          <w:szCs w:val="20"/>
          <w:color w:val="auto"/>
        </w:rPr>
      </w:pPr>
    </w:p>
    <w:tbl>
      <w:tblPr>
        <w:tblLayout w:type="fixed"/>
        <w:tblInd w:w="2700" w:type="dxa"/>
        <w:tblCellMar>
          <w:top w:w="0" w:type="dxa"/>
          <w:left w:w="0" w:type="dxa"/>
          <w:bottom w:w="0" w:type="dxa"/>
          <w:right w:w="0" w:type="dxa"/>
        </w:tblCellMar>
      </w:tblPr>
      <w:tr>
        <w:trPr>
          <w:trHeight w:val="119"/>
        </w:trPr>
        <w:tc>
          <w:tcPr>
            <w:tcW w:w="38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3"/>
          </w:tcPr>
          <w:p>
            <w:pPr>
              <w:jc w:val="right"/>
              <w:ind w:right="920"/>
              <w:spacing w:after="0"/>
              <w:rPr>
                <w:sz w:val="20"/>
                <w:szCs w:val="20"/>
                <w:color w:val="auto"/>
              </w:rPr>
            </w:pPr>
            <w:r>
              <w:rPr>
                <w:rFonts w:ascii="Arial" w:cs="Arial" w:eastAsia="Arial" w:hAnsi="Arial"/>
                <w:sz w:val="10"/>
                <w:szCs w:val="10"/>
                <w:b w:val="1"/>
                <w:bCs w:val="1"/>
                <w:color w:val="auto"/>
              </w:rPr>
              <w:t>As of</w:t>
            </w:r>
          </w:p>
        </w:tc>
      </w:tr>
      <w:tr>
        <w:trPr>
          <w:trHeight w:val="94"/>
        </w:trPr>
        <w:tc>
          <w:tcPr>
            <w:tcW w:w="3860" w:type="dxa"/>
            <w:vAlign w:val="bottom"/>
          </w:tcPr>
          <w:p>
            <w:pPr>
              <w:spacing w:after="0"/>
              <w:rPr>
                <w:sz w:val="8"/>
                <w:szCs w:val="8"/>
                <w:color w:val="auto"/>
              </w:rPr>
            </w:pPr>
          </w:p>
        </w:tc>
        <w:tc>
          <w:tcPr>
            <w:tcW w:w="720" w:type="dxa"/>
            <w:vAlign w:val="bottom"/>
            <w:tcBorders>
              <w:top w:val="single" w:sz="8" w:color="auto"/>
              <w:bottom w:val="single" w:sz="8" w:color="auto"/>
            </w:tcBorders>
            <w:gridSpan w:val="2"/>
          </w:tcPr>
          <w:p>
            <w:pPr>
              <w:jc w:val="right"/>
              <w:ind w:right="140"/>
              <w:spacing w:after="0" w:line="94" w:lineRule="exact"/>
              <w:rPr>
                <w:sz w:val="20"/>
                <w:szCs w:val="20"/>
                <w:color w:val="auto"/>
              </w:rPr>
            </w:pPr>
            <w:r>
              <w:rPr>
                <w:rFonts w:ascii="Arial" w:cs="Arial" w:eastAsia="Arial" w:hAnsi="Arial"/>
                <w:sz w:val="10"/>
                <w:szCs w:val="10"/>
                <w:b w:val="1"/>
                <w:bCs w:val="1"/>
                <w:color w:val="auto"/>
                <w:w w:val="86"/>
              </w:rPr>
              <w:t>June 30, 2023</w:t>
            </w:r>
          </w:p>
        </w:tc>
        <w:tc>
          <w:tcPr>
            <w:tcW w:w="440" w:type="dxa"/>
            <w:vAlign w:val="bottom"/>
            <w:tcBorders>
              <w:top w:val="single" w:sz="8" w:color="auto"/>
              <w:bottom w:val="single" w:sz="8" w:color="auto"/>
            </w:tcBorders>
          </w:tcPr>
          <w:p>
            <w:pPr>
              <w:spacing w:after="0"/>
              <w:rPr>
                <w:sz w:val="8"/>
                <w:szCs w:val="8"/>
                <w:color w:val="auto"/>
              </w:rPr>
            </w:pPr>
          </w:p>
        </w:tc>
        <w:tc>
          <w:tcPr>
            <w:tcW w:w="820" w:type="dxa"/>
            <w:vAlign w:val="bottom"/>
            <w:tcBorders>
              <w:top w:val="single" w:sz="8" w:color="auto"/>
              <w:bottom w:val="single" w:sz="8" w:color="auto"/>
            </w:tcBorders>
          </w:tcPr>
          <w:p>
            <w:pPr>
              <w:spacing w:after="0" w:line="94" w:lineRule="exact"/>
              <w:rPr>
                <w:sz w:val="20"/>
                <w:szCs w:val="20"/>
                <w:color w:val="auto"/>
              </w:rPr>
            </w:pPr>
            <w:r>
              <w:rPr>
                <w:rFonts w:ascii="Arial" w:cs="Arial" w:eastAsia="Arial" w:hAnsi="Arial"/>
                <w:sz w:val="10"/>
                <w:szCs w:val="10"/>
                <w:b w:val="1"/>
                <w:bCs w:val="1"/>
                <w:color w:val="auto"/>
                <w:w w:val="88"/>
              </w:rPr>
              <w:t>December 31, 2022</w:t>
            </w:r>
          </w:p>
        </w:tc>
        <w:tc>
          <w:tcPr>
            <w:tcW w:w="40" w:type="dxa"/>
            <w:vAlign w:val="bottom"/>
          </w:tcPr>
          <w:p>
            <w:pPr>
              <w:spacing w:after="0"/>
              <w:rPr>
                <w:sz w:val="8"/>
                <w:szCs w:val="8"/>
                <w:color w:val="auto"/>
              </w:rPr>
            </w:pPr>
          </w:p>
        </w:tc>
      </w:tr>
      <w:tr>
        <w:trPr>
          <w:trHeight w:val="94"/>
        </w:trPr>
        <w:tc>
          <w:tcPr>
            <w:tcW w:w="3860" w:type="dxa"/>
            <w:vAlign w:val="bottom"/>
          </w:tcPr>
          <w:p>
            <w:pPr>
              <w:spacing w:after="0"/>
              <w:rPr>
                <w:sz w:val="8"/>
                <w:szCs w:val="8"/>
                <w:color w:val="auto"/>
              </w:rPr>
            </w:pPr>
          </w:p>
        </w:tc>
        <w:tc>
          <w:tcPr>
            <w:tcW w:w="1980" w:type="dxa"/>
            <w:vAlign w:val="bottom"/>
            <w:gridSpan w:val="4"/>
          </w:tcPr>
          <w:p>
            <w:pPr>
              <w:ind w:left="540"/>
              <w:spacing w:after="0" w:line="94" w:lineRule="exact"/>
              <w:rPr>
                <w:sz w:val="20"/>
                <w:szCs w:val="20"/>
                <w:color w:val="auto"/>
              </w:rPr>
            </w:pPr>
            <w:r>
              <w:rPr>
                <w:rFonts w:ascii="Arial" w:cs="Arial" w:eastAsia="Arial" w:hAnsi="Arial"/>
                <w:sz w:val="10"/>
                <w:szCs w:val="10"/>
                <w:b w:val="1"/>
                <w:bCs w:val="1"/>
                <w:color w:val="auto"/>
              </w:rPr>
              <w:t>(Euros in thousands)</w:t>
            </w:r>
          </w:p>
        </w:tc>
        <w:tc>
          <w:tcPr>
            <w:tcW w:w="40" w:type="dxa"/>
            <w:vAlign w:val="bottom"/>
          </w:tcPr>
          <w:p>
            <w:pPr>
              <w:spacing w:after="0"/>
              <w:rPr>
                <w:sz w:val="8"/>
                <w:szCs w:val="8"/>
                <w:color w:val="auto"/>
              </w:rPr>
            </w:pPr>
          </w:p>
        </w:tc>
      </w:tr>
      <w:tr>
        <w:trPr>
          <w:trHeight w:val="152"/>
        </w:trPr>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Prepaid expenses</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1,365</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1,906</w:t>
            </w:r>
          </w:p>
        </w:tc>
      </w:tr>
      <w:tr>
        <w:trPr>
          <w:trHeight w:val="152"/>
        </w:trPr>
        <w:tc>
          <w:tcPr>
            <w:tcW w:w="3860" w:type="dxa"/>
            <w:vAlign w:val="bottom"/>
          </w:tcPr>
          <w:p>
            <w:pPr>
              <w:spacing w:after="0"/>
              <w:rPr>
                <w:sz w:val="20"/>
                <w:szCs w:val="20"/>
                <w:color w:val="auto"/>
              </w:rPr>
            </w:pPr>
            <w:r>
              <w:rPr>
                <w:rFonts w:ascii="Arial" w:cs="Arial" w:eastAsia="Arial" w:hAnsi="Arial"/>
                <w:sz w:val="13"/>
                <w:szCs w:val="13"/>
                <w:color w:val="auto"/>
              </w:rPr>
              <w:t>Other assets</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607</w:t>
            </w:r>
          </w:p>
        </w:tc>
        <w:tc>
          <w:tcPr>
            <w:tcW w:w="1300" w:type="dxa"/>
            <w:vAlign w:val="bottom"/>
            <w:gridSpan w:val="3"/>
          </w:tcPr>
          <w:p>
            <w:pPr>
              <w:jc w:val="right"/>
              <w:ind w:right="40"/>
              <w:spacing w:after="0"/>
              <w:rPr>
                <w:sz w:val="20"/>
                <w:szCs w:val="20"/>
                <w:color w:val="auto"/>
              </w:rPr>
            </w:pPr>
            <w:r>
              <w:rPr>
                <w:rFonts w:ascii="Arial" w:cs="Arial" w:eastAsia="Arial" w:hAnsi="Arial"/>
                <w:sz w:val="13"/>
                <w:szCs w:val="13"/>
                <w:color w:val="auto"/>
              </w:rPr>
              <w:t>639</w:t>
            </w:r>
          </w:p>
        </w:tc>
      </w:tr>
      <w:tr>
        <w:trPr>
          <w:trHeight w:val="20"/>
        </w:trPr>
        <w:tc>
          <w:tcPr>
            <w:tcW w:w="38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1"/>
        </w:trPr>
        <w:tc>
          <w:tcPr>
            <w:tcW w:w="38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1,972</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2,545</w:t>
            </w:r>
          </w:p>
        </w:tc>
      </w:tr>
      <w:tr>
        <w:trPr>
          <w:trHeight w:val="28"/>
        </w:trPr>
        <w:tc>
          <w:tcPr>
            <w:tcW w:w="38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ectPr>
          <w:pgSz w:w="11900" w:h="16838" w:orient="portrait"/>
          <w:cols w:equalWidth="0" w:num="1">
            <w:col w:w="10159"/>
          </w:cols>
          <w:pgMar w:left="300" w:top="383" w:right="1440" w:bottom="1440" w:gutter="0" w:footer="0" w:header="0"/>
        </w:sectPr>
      </w:pPr>
    </w:p>
    <w:bookmarkStart w:id="15" w:name="page16"/>
    <w:bookmarkEnd w:id="15"/>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42545"/>
                    </a:xfrm>
                    <a:prstGeom prst="rect">
                      <a:avLst/>
                    </a:prstGeom>
                    <a:noFill/>
                  </pic:spPr>
                </pic:pic>
              </a:graphicData>
            </a:graphic>
          </wp:anchor>
        </w:drawing>
        <w:t>Table of Contents</w:t>
      </w:r>
    </w:p>
    <w:p>
      <w:pPr>
        <w:spacing w:after="0" w:line="214" w:lineRule="exact"/>
        <w:rPr>
          <w:sz w:val="20"/>
          <w:szCs w:val="20"/>
          <w:color w:val="auto"/>
        </w:rPr>
      </w:pPr>
    </w:p>
    <w:p>
      <w:pPr>
        <w:ind w:left="1780" w:right="699"/>
        <w:spacing w:after="0" w:line="249" w:lineRule="auto"/>
        <w:rPr>
          <w:sz w:val="20"/>
          <w:szCs w:val="20"/>
          <w:color w:val="auto"/>
        </w:rPr>
      </w:pPr>
      <w:r>
        <w:rPr>
          <w:rFonts w:ascii="Arial" w:cs="Arial" w:eastAsia="Arial" w:hAnsi="Arial"/>
          <w:sz w:val="13"/>
          <w:szCs w:val="13"/>
          <w:color w:val="auto"/>
        </w:rPr>
        <w:t>Prepaid expenses include the non-current portion of prepayments for licensing agreements of €1.1 million as of June 30, 2023 and €1.5 million as of December 31, 2022 , prepaid maintenance expenses of €0.2 million as of June 30, 2023 and €0.3 million as of December 31, 2022 and accrued incremental cost of the BMS and Genmab collaboration agreement of €0.1 million as of June 30, 2023 and €0.1 million as of December 31, 2022. Other assets include the non-current portion for prepaid deposit expenses.</w:t>
      </w:r>
    </w:p>
    <w:p>
      <w:pPr>
        <w:spacing w:after="0" w:line="210" w:lineRule="exact"/>
        <w:rPr>
          <w:sz w:val="20"/>
          <w:szCs w:val="20"/>
          <w:color w:val="auto"/>
        </w:rPr>
      </w:pPr>
    </w:p>
    <w:p>
      <w:pPr>
        <w:ind w:left="1780"/>
        <w:spacing w:after="0"/>
        <w:rPr>
          <w:sz w:val="20"/>
          <w:szCs w:val="20"/>
          <w:color w:val="auto"/>
        </w:rPr>
      </w:pPr>
      <w:r>
        <w:rPr>
          <w:rFonts w:ascii="Arial" w:cs="Arial" w:eastAsia="Arial" w:hAnsi="Arial"/>
          <w:sz w:val="13"/>
          <w:szCs w:val="13"/>
          <w:b w:val="1"/>
          <w:bCs w:val="1"/>
          <w:color w:val="auto"/>
        </w:rPr>
        <w:t>10. Property, plant and equipment, intangible assets and Right-of-use assets</w:t>
      </w:r>
    </w:p>
    <w:p>
      <w:pPr>
        <w:spacing w:after="0" w:line="82" w:lineRule="exact"/>
        <w:rPr>
          <w:sz w:val="20"/>
          <w:szCs w:val="20"/>
          <w:color w:val="auto"/>
        </w:rPr>
      </w:pPr>
    </w:p>
    <w:p>
      <w:pPr>
        <w:ind w:left="1780" w:right="739"/>
        <w:spacing w:after="0" w:line="261" w:lineRule="auto"/>
        <w:rPr>
          <w:sz w:val="20"/>
          <w:szCs w:val="20"/>
          <w:color w:val="auto"/>
        </w:rPr>
      </w:pPr>
      <w:r>
        <w:rPr>
          <w:rFonts w:ascii="Arial" w:cs="Arial" w:eastAsia="Arial" w:hAnsi="Arial"/>
          <w:sz w:val="13"/>
          <w:szCs w:val="13"/>
          <w:color w:val="auto"/>
        </w:rPr>
        <w:t>During the three months ended June 30, 2023 and June 30, 2022, the Group acquired property, plant and equipment and intangible assets in the amount of €11.6 million and €1.1 million, respectively.</w:t>
      </w:r>
    </w:p>
    <w:p>
      <w:pPr>
        <w:spacing w:after="0" w:line="130" w:lineRule="exact"/>
        <w:rPr>
          <w:sz w:val="20"/>
          <w:szCs w:val="20"/>
          <w:color w:val="auto"/>
        </w:rPr>
      </w:pPr>
    </w:p>
    <w:p>
      <w:pPr>
        <w:ind w:left="1780" w:right="719"/>
        <w:spacing w:after="0" w:line="261" w:lineRule="auto"/>
        <w:rPr>
          <w:sz w:val="20"/>
          <w:szCs w:val="20"/>
          <w:color w:val="auto"/>
        </w:rPr>
      </w:pPr>
      <w:r>
        <w:rPr>
          <w:rFonts w:ascii="Arial" w:cs="Arial" w:eastAsia="Arial" w:hAnsi="Arial"/>
          <w:sz w:val="13"/>
          <w:szCs w:val="13"/>
          <w:color w:val="auto"/>
        </w:rPr>
        <w:t>During the six months ended June 30, 2023 and June 30, 2022, the Group acquired property, plant and equipment and intangible assets in the amount of €15.7 million and €2.2 million, respectively.</w:t>
      </w:r>
    </w:p>
    <w:p>
      <w:pPr>
        <w:spacing w:after="0" w:line="130" w:lineRule="exact"/>
        <w:rPr>
          <w:sz w:val="20"/>
          <w:szCs w:val="20"/>
          <w:color w:val="auto"/>
        </w:rPr>
      </w:pPr>
    </w:p>
    <w:p>
      <w:pPr>
        <w:jc w:val="both"/>
        <w:ind w:left="1780" w:right="679"/>
        <w:spacing w:after="0" w:line="249" w:lineRule="auto"/>
        <w:rPr>
          <w:sz w:val="20"/>
          <w:szCs w:val="20"/>
          <w:color w:val="auto"/>
        </w:rPr>
      </w:pPr>
      <w:r>
        <w:rPr>
          <w:rFonts w:ascii="Arial" w:cs="Arial" w:eastAsia="Arial" w:hAnsi="Arial"/>
          <w:sz w:val="13"/>
          <w:szCs w:val="13"/>
          <w:color w:val="auto"/>
        </w:rPr>
        <w:t>The Group’s additions include leasehold improvements for the research and commercial GMP manufacturing facility construction in Houston, Texas of €9.8 million for the six months ended June 30, 2023. During the six months ended June 30, 2023, a new office space in Tübingen, Germany, lease term extensions and rent increases to existing lease agreements resulted in an addition in right-of-use assets and corresponding lease liability in the amount of €3.8 million.</w:t>
      </w:r>
    </w:p>
    <w:p>
      <w:pPr>
        <w:spacing w:after="0" w:line="210" w:lineRule="exact"/>
        <w:rPr>
          <w:sz w:val="20"/>
          <w:szCs w:val="20"/>
          <w:color w:val="auto"/>
        </w:rPr>
      </w:pPr>
    </w:p>
    <w:p>
      <w:pPr>
        <w:ind w:left="1780"/>
        <w:spacing w:after="0"/>
        <w:rPr>
          <w:sz w:val="20"/>
          <w:szCs w:val="20"/>
          <w:color w:val="auto"/>
        </w:rPr>
      </w:pPr>
      <w:r>
        <w:rPr>
          <w:rFonts w:ascii="Arial" w:cs="Arial" w:eastAsia="Arial" w:hAnsi="Arial"/>
          <w:sz w:val="13"/>
          <w:szCs w:val="13"/>
          <w:b w:val="1"/>
          <w:bCs w:val="1"/>
          <w:color w:val="auto"/>
        </w:rPr>
        <w:t>11. Provisions</w:t>
      </w:r>
    </w:p>
    <w:p>
      <w:pPr>
        <w:spacing w:after="0" w:line="82" w:lineRule="exact"/>
        <w:rPr>
          <w:sz w:val="20"/>
          <w:szCs w:val="20"/>
          <w:color w:val="auto"/>
        </w:rPr>
      </w:pPr>
    </w:p>
    <w:p>
      <w:pPr>
        <w:ind w:left="1780"/>
        <w:spacing w:after="0"/>
        <w:rPr>
          <w:sz w:val="20"/>
          <w:szCs w:val="20"/>
          <w:color w:val="auto"/>
        </w:rPr>
      </w:pPr>
      <w:r>
        <w:rPr>
          <w:rFonts w:ascii="Arial" w:cs="Arial" w:eastAsia="Arial" w:hAnsi="Arial"/>
          <w:sz w:val="13"/>
          <w:szCs w:val="13"/>
          <w:color w:val="auto"/>
        </w:rPr>
        <w:t>Provisions consist of the following:</w:t>
      </w:r>
    </w:p>
    <w:p>
      <w:pPr>
        <w:spacing w:after="0" w:line="167" w:lineRule="exact"/>
        <w:rPr>
          <w:sz w:val="20"/>
          <w:szCs w:val="20"/>
          <w:color w:val="auto"/>
        </w:rPr>
      </w:pPr>
    </w:p>
    <w:tbl>
      <w:tblPr>
        <w:tblLayout w:type="fixed"/>
        <w:tblInd w:w="1780" w:type="dxa"/>
        <w:tblCellMar>
          <w:top w:w="0" w:type="dxa"/>
          <w:left w:w="0" w:type="dxa"/>
          <w:bottom w:w="0" w:type="dxa"/>
          <w:right w:w="0" w:type="dxa"/>
        </w:tblCellMar>
      </w:tblPr>
      <w:tr>
        <w:trPr>
          <w:trHeight w:val="119"/>
        </w:trPr>
        <w:tc>
          <w:tcPr>
            <w:tcW w:w="9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0"/>
                <w:szCs w:val="10"/>
                <w:b w:val="1"/>
                <w:bCs w:val="1"/>
                <w:color w:val="auto"/>
              </w:rPr>
              <w:t>As of</w:t>
            </w:r>
          </w:p>
        </w:tc>
        <w:tc>
          <w:tcPr>
            <w:tcW w:w="2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4"/>
        </w:trPr>
        <w:tc>
          <w:tcPr>
            <w:tcW w:w="9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160" w:type="dxa"/>
            <w:vAlign w:val="bottom"/>
            <w:tcBorders>
              <w:bottom w:val="single" w:sz="8" w:color="auto"/>
            </w:tcBorders>
            <w:gridSpan w:val="7"/>
          </w:tcPr>
          <w:p>
            <w:pPr>
              <w:jc w:val="right"/>
              <w:ind w:right="560"/>
              <w:spacing w:after="0" w:line="94" w:lineRule="exact"/>
              <w:rPr>
                <w:sz w:val="20"/>
                <w:szCs w:val="20"/>
                <w:color w:val="auto"/>
              </w:rPr>
            </w:pPr>
            <w:r>
              <w:rPr>
                <w:rFonts w:ascii="Arial" w:cs="Arial" w:eastAsia="Arial" w:hAnsi="Arial"/>
                <w:sz w:val="10"/>
                <w:szCs w:val="10"/>
                <w:b w:val="1"/>
                <w:bCs w:val="1"/>
                <w:color w:val="auto"/>
                <w:w w:val="89"/>
              </w:rPr>
              <w:t>June 30, 2023</w:t>
            </w:r>
          </w:p>
        </w:tc>
        <w:tc>
          <w:tcPr>
            <w:tcW w:w="820" w:type="dxa"/>
            <w:vAlign w:val="bottom"/>
            <w:tcBorders>
              <w:bottom w:val="single" w:sz="8" w:color="auto"/>
            </w:tcBorders>
            <w:gridSpan w:val="2"/>
          </w:tcPr>
          <w:p>
            <w:pPr>
              <w:jc w:val="right"/>
              <w:spacing w:after="0" w:line="94" w:lineRule="exact"/>
              <w:rPr>
                <w:sz w:val="20"/>
                <w:szCs w:val="20"/>
                <w:color w:val="auto"/>
              </w:rPr>
            </w:pPr>
            <w:r>
              <w:rPr>
                <w:rFonts w:ascii="Arial" w:cs="Arial" w:eastAsia="Arial" w:hAnsi="Arial"/>
                <w:sz w:val="10"/>
                <w:szCs w:val="10"/>
                <w:b w:val="1"/>
                <w:bCs w:val="1"/>
                <w:color w:val="auto"/>
                <w:w w:val="88"/>
              </w:rPr>
              <w:t>December 31, 2022</w:t>
            </w:r>
          </w:p>
        </w:tc>
        <w:tc>
          <w:tcPr>
            <w:tcW w:w="40" w:type="dxa"/>
            <w:vAlign w:val="bottom"/>
          </w:tcPr>
          <w:p>
            <w:pPr>
              <w:spacing w:after="0"/>
              <w:rPr>
                <w:sz w:val="8"/>
                <w:szCs w:val="8"/>
                <w:color w:val="auto"/>
              </w:rPr>
            </w:pPr>
          </w:p>
        </w:tc>
      </w:tr>
      <w:tr>
        <w:trPr>
          <w:trHeight w:val="94"/>
        </w:trPr>
        <w:tc>
          <w:tcPr>
            <w:tcW w:w="9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980" w:type="dxa"/>
            <w:vAlign w:val="bottom"/>
            <w:gridSpan w:val="9"/>
          </w:tcPr>
          <w:p>
            <w:pPr>
              <w:jc w:val="right"/>
              <w:ind w:right="484"/>
              <w:spacing w:after="0" w:line="94" w:lineRule="exact"/>
              <w:rPr>
                <w:sz w:val="20"/>
                <w:szCs w:val="20"/>
                <w:color w:val="auto"/>
              </w:rPr>
            </w:pPr>
            <w:r>
              <w:rPr>
                <w:rFonts w:ascii="Arial" w:cs="Arial" w:eastAsia="Arial" w:hAnsi="Arial"/>
                <w:sz w:val="10"/>
                <w:szCs w:val="10"/>
                <w:b w:val="1"/>
                <w:bCs w:val="1"/>
                <w:color w:val="auto"/>
              </w:rPr>
              <w:t>(Euros in thousands)</w:t>
            </w:r>
          </w:p>
        </w:tc>
        <w:tc>
          <w:tcPr>
            <w:tcW w:w="40" w:type="dxa"/>
            <w:vAlign w:val="bottom"/>
          </w:tcPr>
          <w:p>
            <w:pPr>
              <w:spacing w:after="0"/>
              <w:rPr>
                <w:sz w:val="8"/>
                <w:szCs w:val="8"/>
                <w:color w:val="auto"/>
              </w:rPr>
            </w:pPr>
          </w:p>
        </w:tc>
      </w:tr>
      <w:tr>
        <w:trPr>
          <w:trHeight w:val="152"/>
        </w:trPr>
        <w:tc>
          <w:tcPr>
            <w:tcW w:w="92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bonuses</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3,117</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9"/>
        </w:trPr>
        <w:tc>
          <w:tcPr>
            <w:tcW w:w="920" w:type="dxa"/>
            <w:vAlign w:val="bottom"/>
          </w:tcPr>
          <w:p>
            <w:pPr>
              <w:spacing w:after="0"/>
              <w:rPr>
                <w:sz w:val="13"/>
                <w:szCs w:val="13"/>
                <w:color w:val="auto"/>
              </w:rPr>
            </w:pPr>
          </w:p>
        </w:tc>
        <w:tc>
          <w:tcPr>
            <w:tcW w:w="386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3,117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3"/>
                <w:szCs w:val="13"/>
                <w:color w:val="auto"/>
              </w:rPr>
            </w:pPr>
          </w:p>
        </w:tc>
      </w:tr>
      <w:tr>
        <w:trPr>
          <w:trHeight w:val="313"/>
        </w:trPr>
        <w:tc>
          <w:tcPr>
            <w:tcW w:w="4780" w:type="dxa"/>
            <w:vAlign w:val="bottom"/>
            <w:gridSpan w:val="2"/>
          </w:tcPr>
          <w:p>
            <w:pPr>
              <w:spacing w:after="0"/>
              <w:rPr>
                <w:sz w:val="20"/>
                <w:szCs w:val="20"/>
                <w:color w:val="auto"/>
              </w:rPr>
            </w:pPr>
            <w:r>
              <w:rPr>
                <w:rFonts w:ascii="Arial" w:cs="Arial" w:eastAsia="Arial" w:hAnsi="Arial"/>
                <w:sz w:val="13"/>
                <w:szCs w:val="13"/>
                <w:color w:val="auto"/>
              </w:rPr>
              <w:t>These amounts include provisions for the Group’s annual employee bonuses.</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9"/>
        </w:trPr>
        <w:tc>
          <w:tcPr>
            <w:tcW w:w="4780" w:type="dxa"/>
            <w:vAlign w:val="bottom"/>
            <w:gridSpan w:val="2"/>
          </w:tcPr>
          <w:p>
            <w:pPr>
              <w:spacing w:after="0"/>
              <w:rPr>
                <w:sz w:val="20"/>
                <w:szCs w:val="20"/>
                <w:color w:val="auto"/>
              </w:rPr>
            </w:pPr>
            <w:r>
              <w:rPr>
                <w:rFonts w:ascii="Arial" w:cs="Arial" w:eastAsia="Arial" w:hAnsi="Arial"/>
                <w:sz w:val="13"/>
                <w:szCs w:val="13"/>
                <w:b w:val="1"/>
                <w:bCs w:val="1"/>
                <w:color w:val="auto"/>
              </w:rPr>
              <w:t>12. Accounts payables</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7"/>
        </w:trPr>
        <w:tc>
          <w:tcPr>
            <w:tcW w:w="4780" w:type="dxa"/>
            <w:vAlign w:val="bottom"/>
            <w:gridSpan w:val="2"/>
          </w:tcPr>
          <w:p>
            <w:pPr>
              <w:spacing w:after="0"/>
              <w:rPr>
                <w:sz w:val="20"/>
                <w:szCs w:val="20"/>
                <w:color w:val="auto"/>
              </w:rPr>
            </w:pPr>
            <w:r>
              <w:rPr>
                <w:rFonts w:ascii="Arial" w:cs="Arial" w:eastAsia="Arial" w:hAnsi="Arial"/>
                <w:sz w:val="13"/>
                <w:szCs w:val="13"/>
                <w:color w:val="auto"/>
              </w:rPr>
              <w:t>Accounts payables consist of the following:</w:t>
            </w: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75"/>
        </w:trPr>
        <w:tc>
          <w:tcPr>
            <w:tcW w:w="92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0" w:type="dxa"/>
            <w:vAlign w:val="bottom"/>
            <w:gridSpan w:val="3"/>
          </w:tcPr>
          <w:p>
            <w:pPr>
              <w:jc w:val="right"/>
              <w:ind w:right="560"/>
              <w:spacing w:after="0"/>
              <w:rPr>
                <w:sz w:val="20"/>
                <w:szCs w:val="20"/>
                <w:color w:val="auto"/>
              </w:rPr>
            </w:pPr>
            <w:r>
              <w:rPr>
                <w:rFonts w:ascii="Arial" w:cs="Arial" w:eastAsia="Arial" w:hAnsi="Arial"/>
                <w:sz w:val="10"/>
                <w:szCs w:val="10"/>
                <w:b w:val="1"/>
                <w:bCs w:val="1"/>
                <w:color w:val="auto"/>
              </w:rPr>
              <w:t>As of</w:t>
            </w:r>
          </w:p>
        </w:tc>
      </w:tr>
      <w:tr>
        <w:trPr>
          <w:trHeight w:val="79"/>
        </w:trPr>
        <w:tc>
          <w:tcPr>
            <w:tcW w:w="920" w:type="dxa"/>
            <w:vAlign w:val="bottom"/>
          </w:tcPr>
          <w:p>
            <w:pPr>
              <w:spacing w:after="0"/>
              <w:rPr>
                <w:sz w:val="6"/>
                <w:szCs w:val="6"/>
                <w:color w:val="auto"/>
              </w:rPr>
            </w:pPr>
          </w:p>
        </w:tc>
        <w:tc>
          <w:tcPr>
            <w:tcW w:w="38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Borders>
              <w:top w:val="single" w:sz="8" w:color="auto"/>
            </w:tcBorders>
            <w:gridSpan w:val="4"/>
          </w:tcPr>
          <w:p>
            <w:pPr>
              <w:jc w:val="right"/>
              <w:ind w:right="60"/>
              <w:spacing w:after="0" w:line="79" w:lineRule="exact"/>
              <w:rPr>
                <w:sz w:val="20"/>
                <w:szCs w:val="20"/>
                <w:color w:val="auto"/>
              </w:rPr>
            </w:pPr>
            <w:r>
              <w:rPr>
                <w:rFonts w:ascii="Arial" w:cs="Arial" w:eastAsia="Arial" w:hAnsi="Arial"/>
                <w:sz w:val="9"/>
                <w:szCs w:val="9"/>
                <w:b w:val="1"/>
                <w:bCs w:val="1"/>
                <w:color w:val="auto"/>
                <w:w w:val="94"/>
              </w:rPr>
              <w:t>June 30,</w:t>
            </w:r>
          </w:p>
        </w:tc>
        <w:tc>
          <w:tcPr>
            <w:tcW w:w="22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9"/>
                <w:szCs w:val="9"/>
                <w:b w:val="1"/>
                <w:bCs w:val="1"/>
                <w:color w:val="auto"/>
                <w:w w:val="99"/>
              </w:rPr>
              <w:t>December 31,</w:t>
            </w:r>
          </w:p>
        </w:tc>
        <w:tc>
          <w:tcPr>
            <w:tcW w:w="40" w:type="dxa"/>
            <w:vAlign w:val="bottom"/>
          </w:tcPr>
          <w:p>
            <w:pPr>
              <w:spacing w:after="0"/>
              <w:rPr>
                <w:sz w:val="6"/>
                <w:szCs w:val="6"/>
                <w:color w:val="auto"/>
              </w:rPr>
            </w:pPr>
          </w:p>
        </w:tc>
      </w:tr>
      <w:tr>
        <w:trPr>
          <w:trHeight w:val="119"/>
        </w:trPr>
        <w:tc>
          <w:tcPr>
            <w:tcW w:w="9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120" w:type="dxa"/>
            <w:vAlign w:val="bottom"/>
            <w:gridSpan w:val="6"/>
          </w:tcPr>
          <w:p>
            <w:pPr>
              <w:ind w:left="820"/>
              <w:spacing w:after="0"/>
              <w:rPr>
                <w:sz w:val="20"/>
                <w:szCs w:val="20"/>
                <w:color w:val="auto"/>
              </w:rPr>
            </w:pPr>
            <w:r>
              <w:rPr>
                <w:rFonts w:ascii="Arial" w:cs="Arial" w:eastAsia="Arial" w:hAnsi="Arial"/>
                <w:sz w:val="10"/>
                <w:szCs w:val="10"/>
                <w:b w:val="1"/>
                <w:bCs w:val="1"/>
                <w:color w:val="auto"/>
              </w:rPr>
              <w:t>2023</w:t>
            </w:r>
          </w:p>
        </w:tc>
        <w:tc>
          <w:tcPr>
            <w:tcW w:w="40" w:type="dxa"/>
            <w:vAlign w:val="bottom"/>
          </w:tcPr>
          <w:p>
            <w:pPr>
              <w:spacing w:after="0"/>
              <w:rPr>
                <w:sz w:val="10"/>
                <w:szCs w:val="10"/>
                <w:color w:val="auto"/>
              </w:rPr>
            </w:pPr>
          </w:p>
        </w:tc>
        <w:tc>
          <w:tcPr>
            <w:tcW w:w="820" w:type="dxa"/>
            <w:vAlign w:val="bottom"/>
            <w:gridSpan w:val="2"/>
          </w:tcPr>
          <w:p>
            <w:pPr>
              <w:jc w:val="center"/>
              <w:ind w:left="162"/>
              <w:spacing w:after="0"/>
              <w:rPr>
                <w:sz w:val="20"/>
                <w:szCs w:val="20"/>
                <w:color w:val="auto"/>
              </w:rPr>
            </w:pPr>
            <w:r>
              <w:rPr>
                <w:rFonts w:ascii="Arial" w:cs="Arial" w:eastAsia="Arial" w:hAnsi="Arial"/>
                <w:sz w:val="10"/>
                <w:szCs w:val="10"/>
                <w:b w:val="1"/>
                <w:bCs w:val="1"/>
                <w:color w:val="auto"/>
                <w:w w:val="89"/>
              </w:rPr>
              <w:t>2022</w:t>
            </w:r>
          </w:p>
        </w:tc>
        <w:tc>
          <w:tcPr>
            <w:tcW w:w="40" w:type="dxa"/>
            <w:vAlign w:val="bottom"/>
          </w:tcPr>
          <w:p>
            <w:pPr>
              <w:spacing w:after="0"/>
              <w:rPr>
                <w:sz w:val="10"/>
                <w:szCs w:val="10"/>
                <w:color w:val="auto"/>
              </w:rPr>
            </w:pPr>
          </w:p>
        </w:tc>
      </w:tr>
      <w:tr>
        <w:trPr>
          <w:trHeight w:val="94"/>
        </w:trPr>
        <w:tc>
          <w:tcPr>
            <w:tcW w:w="9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Borders>
              <w:top w:val="single" w:sz="8" w:color="auto"/>
            </w:tcBorders>
            <w:gridSpan w:val="6"/>
          </w:tcPr>
          <w:p>
            <w:pPr>
              <w:jc w:val="right"/>
              <w:ind w:right="124"/>
              <w:spacing w:after="0" w:line="94" w:lineRule="exact"/>
              <w:rPr>
                <w:sz w:val="20"/>
                <w:szCs w:val="20"/>
                <w:color w:val="auto"/>
              </w:rPr>
            </w:pPr>
            <w:r>
              <w:rPr>
                <w:rFonts w:ascii="Arial" w:cs="Arial" w:eastAsia="Arial" w:hAnsi="Arial"/>
                <w:sz w:val="10"/>
                <w:szCs w:val="10"/>
                <w:b w:val="1"/>
                <w:bCs w:val="1"/>
                <w:color w:val="auto"/>
              </w:rPr>
              <w:t>(Euros in thousands)</w:t>
            </w:r>
          </w:p>
        </w:tc>
        <w:tc>
          <w:tcPr>
            <w:tcW w:w="40" w:type="dxa"/>
            <w:vAlign w:val="bottom"/>
          </w:tcPr>
          <w:p>
            <w:pPr>
              <w:spacing w:after="0"/>
              <w:rPr>
                <w:sz w:val="8"/>
                <w:szCs w:val="8"/>
                <w:color w:val="auto"/>
              </w:rPr>
            </w:pPr>
          </w:p>
        </w:tc>
      </w:tr>
      <w:tr>
        <w:trPr>
          <w:trHeight w:val="152"/>
        </w:trPr>
        <w:tc>
          <w:tcPr>
            <w:tcW w:w="92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Accounts payables</w:t>
            </w:r>
          </w:p>
        </w:tc>
        <w:tc>
          <w:tcPr>
            <w:tcW w:w="1160" w:type="dxa"/>
            <w:vAlign w:val="bottom"/>
            <w:gridSpan w:val="7"/>
            <w:shd w:val="clear" w:color="auto" w:fill="CCEEFF"/>
          </w:tcPr>
          <w:p>
            <w:pPr>
              <w:jc w:val="right"/>
              <w:ind w:right="40"/>
              <w:spacing w:after="0"/>
              <w:rPr>
                <w:sz w:val="20"/>
                <w:szCs w:val="20"/>
                <w:color w:val="auto"/>
              </w:rPr>
            </w:pPr>
            <w:r>
              <w:rPr>
                <w:rFonts w:ascii="Arial" w:cs="Arial" w:eastAsia="Arial" w:hAnsi="Arial"/>
                <w:sz w:val="13"/>
                <w:szCs w:val="13"/>
                <w:color w:val="auto"/>
              </w:rPr>
              <w:t>5,473</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4,025</w:t>
            </w:r>
          </w:p>
        </w:tc>
      </w:tr>
      <w:tr>
        <w:trPr>
          <w:trHeight w:val="152"/>
        </w:trPr>
        <w:tc>
          <w:tcPr>
            <w:tcW w:w="920" w:type="dxa"/>
            <w:vAlign w:val="bottom"/>
          </w:tcPr>
          <w:p>
            <w:pPr>
              <w:spacing w:after="0"/>
              <w:rPr>
                <w:sz w:val="13"/>
                <w:szCs w:val="13"/>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Accrued liabilities</w:t>
            </w:r>
          </w:p>
        </w:tc>
        <w:tc>
          <w:tcPr>
            <w:tcW w:w="740" w:type="dxa"/>
            <w:vAlign w:val="bottom"/>
            <w:gridSpan w:val="3"/>
          </w:tcPr>
          <w:p>
            <w:pPr>
              <w:spacing w:after="0"/>
              <w:rPr>
                <w:sz w:val="13"/>
                <w:szCs w:val="13"/>
                <w:color w:val="auto"/>
              </w:rPr>
            </w:pPr>
          </w:p>
        </w:tc>
        <w:tc>
          <w:tcPr>
            <w:tcW w:w="420" w:type="dxa"/>
            <w:vAlign w:val="bottom"/>
            <w:gridSpan w:val="4"/>
          </w:tcPr>
          <w:p>
            <w:pPr>
              <w:jc w:val="right"/>
              <w:ind w:right="40"/>
              <w:spacing w:after="0"/>
              <w:rPr>
                <w:sz w:val="20"/>
                <w:szCs w:val="20"/>
                <w:color w:val="auto"/>
              </w:rPr>
            </w:pPr>
            <w:r>
              <w:rPr>
                <w:rFonts w:ascii="Arial" w:cs="Arial" w:eastAsia="Arial" w:hAnsi="Arial"/>
                <w:sz w:val="13"/>
                <w:szCs w:val="13"/>
                <w:color w:val="auto"/>
                <w:w w:val="90"/>
              </w:rPr>
              <w:t>14,431</w:t>
            </w:r>
          </w:p>
        </w:tc>
        <w:tc>
          <w:tcPr>
            <w:tcW w:w="860" w:type="dxa"/>
            <w:vAlign w:val="bottom"/>
            <w:gridSpan w:val="3"/>
          </w:tcPr>
          <w:p>
            <w:pPr>
              <w:jc w:val="right"/>
              <w:ind w:right="40"/>
              <w:spacing w:after="0"/>
              <w:rPr>
                <w:sz w:val="20"/>
                <w:szCs w:val="20"/>
                <w:color w:val="auto"/>
              </w:rPr>
            </w:pPr>
            <w:r>
              <w:rPr>
                <w:rFonts w:ascii="Arial" w:cs="Arial" w:eastAsia="Arial" w:hAnsi="Arial"/>
                <w:sz w:val="13"/>
                <w:szCs w:val="13"/>
                <w:color w:val="auto"/>
              </w:rPr>
              <w:t>9,031</w:t>
            </w:r>
          </w:p>
        </w:tc>
      </w:tr>
      <w:tr>
        <w:trPr>
          <w:trHeight w:val="20"/>
        </w:trPr>
        <w:tc>
          <w:tcPr>
            <w:tcW w:w="9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9"/>
        </w:trPr>
        <w:tc>
          <w:tcPr>
            <w:tcW w:w="92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w:t>
            </w:r>
          </w:p>
        </w:tc>
        <w:tc>
          <w:tcPr>
            <w:tcW w:w="740" w:type="dxa"/>
            <w:vAlign w:val="bottom"/>
            <w:gridSpan w:val="3"/>
            <w:shd w:val="clear" w:color="auto" w:fill="CCEEFF"/>
          </w:tcPr>
          <w:p>
            <w:pPr>
              <w:spacing w:after="0"/>
              <w:rPr>
                <w:sz w:val="13"/>
                <w:szCs w:val="13"/>
                <w:color w:val="auto"/>
              </w:rPr>
            </w:pPr>
          </w:p>
        </w:tc>
        <w:tc>
          <w:tcPr>
            <w:tcW w:w="42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b w:val="1"/>
                <w:bCs w:val="1"/>
                <w:color w:val="auto"/>
                <w:w w:val="90"/>
              </w:rPr>
              <w:t>19,904</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13,056</w:t>
            </w:r>
          </w:p>
        </w:tc>
      </w:tr>
      <w:tr>
        <w:trPr>
          <w:trHeight w:val="389"/>
        </w:trPr>
        <w:tc>
          <w:tcPr>
            <w:tcW w:w="4780" w:type="dxa"/>
            <w:vAlign w:val="bottom"/>
            <w:gridSpan w:val="2"/>
          </w:tcPr>
          <w:p>
            <w:pPr>
              <w:spacing w:after="0"/>
              <w:rPr>
                <w:sz w:val="20"/>
                <w:szCs w:val="20"/>
                <w:color w:val="auto"/>
              </w:rPr>
            </w:pPr>
            <w:r>
              <w:rPr>
                <w:rFonts w:ascii="Arial" w:cs="Arial" w:eastAsia="Arial" w:hAnsi="Arial"/>
                <w:sz w:val="13"/>
                <w:szCs w:val="13"/>
                <w:b w:val="1"/>
                <w:bCs w:val="1"/>
                <w:color w:val="auto"/>
              </w:rPr>
              <w:t>13. Other current liabilities</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7"/>
        </w:trPr>
        <w:tc>
          <w:tcPr>
            <w:tcW w:w="4780" w:type="dxa"/>
            <w:vAlign w:val="bottom"/>
            <w:gridSpan w:val="2"/>
          </w:tcPr>
          <w:p>
            <w:pPr>
              <w:spacing w:after="0"/>
              <w:rPr>
                <w:sz w:val="20"/>
                <w:szCs w:val="20"/>
                <w:color w:val="auto"/>
              </w:rPr>
            </w:pPr>
            <w:r>
              <w:rPr>
                <w:rFonts w:ascii="Arial" w:cs="Arial" w:eastAsia="Arial" w:hAnsi="Arial"/>
                <w:sz w:val="13"/>
                <w:szCs w:val="13"/>
                <w:color w:val="auto"/>
              </w:rPr>
              <w:t>Other current liabilities consist of the following:</w:t>
            </w: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75"/>
        </w:trPr>
        <w:tc>
          <w:tcPr>
            <w:tcW w:w="92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0" w:type="dxa"/>
            <w:vAlign w:val="bottom"/>
            <w:gridSpan w:val="3"/>
          </w:tcPr>
          <w:p>
            <w:pPr>
              <w:jc w:val="right"/>
              <w:ind w:right="580"/>
              <w:spacing w:after="0"/>
              <w:rPr>
                <w:sz w:val="20"/>
                <w:szCs w:val="20"/>
                <w:color w:val="auto"/>
              </w:rPr>
            </w:pPr>
            <w:r>
              <w:rPr>
                <w:rFonts w:ascii="Arial" w:cs="Arial" w:eastAsia="Arial" w:hAnsi="Arial"/>
                <w:sz w:val="10"/>
                <w:szCs w:val="10"/>
                <w:b w:val="1"/>
                <w:bCs w:val="1"/>
                <w:color w:val="auto"/>
              </w:rPr>
              <w:t>As of</w:t>
            </w:r>
          </w:p>
        </w:tc>
      </w:tr>
      <w:tr>
        <w:trPr>
          <w:trHeight w:val="79"/>
        </w:trPr>
        <w:tc>
          <w:tcPr>
            <w:tcW w:w="920" w:type="dxa"/>
            <w:vAlign w:val="bottom"/>
          </w:tcPr>
          <w:p>
            <w:pPr>
              <w:spacing w:after="0"/>
              <w:rPr>
                <w:sz w:val="6"/>
                <w:szCs w:val="6"/>
                <w:color w:val="auto"/>
              </w:rPr>
            </w:pPr>
          </w:p>
        </w:tc>
        <w:tc>
          <w:tcPr>
            <w:tcW w:w="38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Borders>
              <w:top w:val="single" w:sz="8" w:color="auto"/>
            </w:tcBorders>
            <w:gridSpan w:val="5"/>
          </w:tcPr>
          <w:p>
            <w:pPr>
              <w:jc w:val="right"/>
              <w:ind w:right="140"/>
              <w:spacing w:after="0" w:line="79" w:lineRule="exact"/>
              <w:rPr>
                <w:sz w:val="20"/>
                <w:szCs w:val="20"/>
                <w:color w:val="auto"/>
              </w:rPr>
            </w:pPr>
            <w:r>
              <w:rPr>
                <w:rFonts w:ascii="Arial" w:cs="Arial" w:eastAsia="Arial" w:hAnsi="Arial"/>
                <w:sz w:val="9"/>
                <w:szCs w:val="9"/>
                <w:b w:val="1"/>
                <w:bCs w:val="1"/>
                <w:color w:val="auto"/>
                <w:w w:val="94"/>
              </w:rPr>
              <w:t>June 30,</w:t>
            </w:r>
          </w:p>
        </w:tc>
        <w:tc>
          <w:tcPr>
            <w:tcW w:w="22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9"/>
                <w:szCs w:val="9"/>
                <w:b w:val="1"/>
                <w:bCs w:val="1"/>
                <w:color w:val="auto"/>
                <w:w w:val="99"/>
              </w:rPr>
              <w:t>December 31,</w:t>
            </w:r>
          </w:p>
        </w:tc>
        <w:tc>
          <w:tcPr>
            <w:tcW w:w="40" w:type="dxa"/>
            <w:vAlign w:val="bottom"/>
          </w:tcPr>
          <w:p>
            <w:pPr>
              <w:spacing w:after="0"/>
              <w:rPr>
                <w:sz w:val="6"/>
                <w:szCs w:val="6"/>
                <w:color w:val="auto"/>
              </w:rPr>
            </w:pPr>
          </w:p>
        </w:tc>
      </w:tr>
      <w:tr>
        <w:trPr>
          <w:trHeight w:val="119"/>
        </w:trPr>
        <w:tc>
          <w:tcPr>
            <w:tcW w:w="9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020" w:type="dxa"/>
            <w:vAlign w:val="bottom"/>
            <w:gridSpan w:val="4"/>
          </w:tcPr>
          <w:p>
            <w:pPr>
              <w:jc w:val="right"/>
              <w:ind w:right="25"/>
              <w:spacing w:after="0"/>
              <w:rPr>
                <w:sz w:val="20"/>
                <w:szCs w:val="20"/>
                <w:color w:val="auto"/>
              </w:rPr>
            </w:pPr>
            <w:r>
              <w:rPr>
                <w:rFonts w:ascii="Arial" w:cs="Arial" w:eastAsia="Arial" w:hAnsi="Arial"/>
                <w:sz w:val="10"/>
                <w:szCs w:val="10"/>
                <w:b w:val="1"/>
                <w:bCs w:val="1"/>
                <w:color w:val="auto"/>
              </w:rPr>
              <w:t>2023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2"/>
          </w:tcPr>
          <w:p>
            <w:pPr>
              <w:jc w:val="center"/>
              <w:ind w:left="162"/>
              <w:spacing w:after="0"/>
              <w:rPr>
                <w:sz w:val="20"/>
                <w:szCs w:val="20"/>
                <w:color w:val="auto"/>
              </w:rPr>
            </w:pPr>
            <w:r>
              <w:rPr>
                <w:rFonts w:ascii="Arial" w:cs="Arial" w:eastAsia="Arial" w:hAnsi="Arial"/>
                <w:sz w:val="10"/>
                <w:szCs w:val="10"/>
                <w:b w:val="1"/>
                <w:bCs w:val="1"/>
                <w:color w:val="auto"/>
                <w:w w:val="89"/>
              </w:rPr>
              <w:t>2022</w:t>
            </w:r>
          </w:p>
        </w:tc>
        <w:tc>
          <w:tcPr>
            <w:tcW w:w="40" w:type="dxa"/>
            <w:vAlign w:val="bottom"/>
          </w:tcPr>
          <w:p>
            <w:pPr>
              <w:spacing w:after="0"/>
              <w:rPr>
                <w:sz w:val="10"/>
                <w:szCs w:val="10"/>
                <w:color w:val="auto"/>
              </w:rPr>
            </w:pPr>
          </w:p>
        </w:tc>
      </w:tr>
      <w:tr>
        <w:trPr>
          <w:trHeight w:val="94"/>
        </w:trPr>
        <w:tc>
          <w:tcPr>
            <w:tcW w:w="9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gridSpan w:val="6"/>
          </w:tcPr>
          <w:p>
            <w:pPr>
              <w:jc w:val="right"/>
              <w:ind w:right="164"/>
              <w:spacing w:after="0" w:line="94" w:lineRule="exact"/>
              <w:rPr>
                <w:sz w:val="20"/>
                <w:szCs w:val="20"/>
                <w:color w:val="auto"/>
              </w:rPr>
            </w:pPr>
            <w:r>
              <w:rPr>
                <w:rFonts w:ascii="Arial" w:cs="Arial" w:eastAsia="Arial" w:hAnsi="Arial"/>
                <w:sz w:val="10"/>
                <w:szCs w:val="10"/>
                <w:b w:val="1"/>
                <w:bCs w:val="1"/>
                <w:color w:val="auto"/>
                <w:w w:val="99"/>
              </w:rPr>
              <w:t>(Euros in thousands)</w:t>
            </w:r>
          </w:p>
        </w:tc>
        <w:tc>
          <w:tcPr>
            <w:tcW w:w="40" w:type="dxa"/>
            <w:vAlign w:val="bottom"/>
          </w:tcPr>
          <w:p>
            <w:pPr>
              <w:spacing w:after="0"/>
              <w:rPr>
                <w:sz w:val="8"/>
                <w:szCs w:val="8"/>
                <w:color w:val="auto"/>
              </w:rPr>
            </w:pPr>
          </w:p>
        </w:tc>
      </w:tr>
      <w:tr>
        <w:trPr>
          <w:trHeight w:val="152"/>
        </w:trPr>
        <w:tc>
          <w:tcPr>
            <w:tcW w:w="92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Income tax liability</w:t>
            </w:r>
          </w:p>
        </w:tc>
        <w:tc>
          <w:tcPr>
            <w:tcW w:w="1040" w:type="dxa"/>
            <w:vAlign w:val="bottom"/>
            <w:gridSpan w:val="5"/>
            <w:shd w:val="clear" w:color="auto" w:fill="CCEEFF"/>
          </w:tcPr>
          <w:p>
            <w:pPr>
              <w:jc w:val="right"/>
              <w:ind w:right="20"/>
              <w:spacing w:after="0"/>
              <w:rPr>
                <w:sz w:val="20"/>
                <w:szCs w:val="20"/>
                <w:color w:val="auto"/>
              </w:rPr>
            </w:pPr>
            <w:r>
              <w:rPr>
                <w:rFonts w:ascii="Arial" w:cs="Arial" w:eastAsia="Arial" w:hAnsi="Arial"/>
                <w:sz w:val="13"/>
                <w:szCs w:val="13"/>
                <w:color w:val="auto"/>
              </w:rPr>
              <w:t>4,298</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4,298</w:t>
            </w:r>
          </w:p>
        </w:tc>
      </w:tr>
      <w:tr>
        <w:trPr>
          <w:trHeight w:val="152"/>
        </w:trPr>
        <w:tc>
          <w:tcPr>
            <w:tcW w:w="920" w:type="dxa"/>
            <w:vAlign w:val="bottom"/>
          </w:tcPr>
          <w:p>
            <w:pPr>
              <w:spacing w:after="0"/>
              <w:rPr>
                <w:sz w:val="13"/>
                <w:szCs w:val="13"/>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Payroll tax</w:t>
            </w:r>
          </w:p>
        </w:tc>
        <w:tc>
          <w:tcPr>
            <w:tcW w:w="1040" w:type="dxa"/>
            <w:vAlign w:val="bottom"/>
            <w:gridSpan w:val="5"/>
          </w:tcPr>
          <w:p>
            <w:pPr>
              <w:jc w:val="right"/>
              <w:ind w:right="20"/>
              <w:spacing w:after="0"/>
              <w:rPr>
                <w:sz w:val="20"/>
                <w:szCs w:val="20"/>
                <w:color w:val="auto"/>
              </w:rPr>
            </w:pPr>
            <w:r>
              <w:rPr>
                <w:rFonts w:ascii="Arial" w:cs="Arial" w:eastAsia="Arial" w:hAnsi="Arial"/>
                <w:sz w:val="13"/>
                <w:szCs w:val="13"/>
                <w:color w:val="auto"/>
              </w:rPr>
              <w:t>1,840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3"/>
                <w:szCs w:val="13"/>
                <w:color w:val="auto"/>
              </w:rPr>
              <w:t>3,426</w:t>
            </w:r>
          </w:p>
        </w:tc>
      </w:tr>
      <w:tr>
        <w:trPr>
          <w:trHeight w:val="152"/>
        </w:trPr>
        <w:tc>
          <w:tcPr>
            <w:tcW w:w="92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Accrual for vacation</w:t>
            </w:r>
          </w:p>
        </w:tc>
        <w:tc>
          <w:tcPr>
            <w:tcW w:w="1040" w:type="dxa"/>
            <w:vAlign w:val="bottom"/>
            <w:gridSpan w:val="5"/>
            <w:shd w:val="clear" w:color="auto" w:fill="CCEEFF"/>
          </w:tcPr>
          <w:p>
            <w:pPr>
              <w:jc w:val="right"/>
              <w:ind w:right="20"/>
              <w:spacing w:after="0"/>
              <w:rPr>
                <w:sz w:val="20"/>
                <w:szCs w:val="20"/>
                <w:color w:val="auto"/>
              </w:rPr>
            </w:pPr>
            <w:r>
              <w:rPr>
                <w:rFonts w:ascii="Arial" w:cs="Arial" w:eastAsia="Arial" w:hAnsi="Arial"/>
                <w:sz w:val="13"/>
                <w:szCs w:val="13"/>
                <w:color w:val="auto"/>
              </w:rPr>
              <w:t>1,400</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806</w:t>
            </w:r>
          </w:p>
        </w:tc>
      </w:tr>
      <w:tr>
        <w:trPr>
          <w:trHeight w:val="152"/>
        </w:trPr>
        <w:tc>
          <w:tcPr>
            <w:tcW w:w="920" w:type="dxa"/>
            <w:vAlign w:val="bottom"/>
          </w:tcPr>
          <w:p>
            <w:pPr>
              <w:spacing w:after="0"/>
              <w:rPr>
                <w:sz w:val="13"/>
                <w:szCs w:val="13"/>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Accrued bonuses</w:t>
            </w: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4"/>
          </w:tcPr>
          <w:p>
            <w:pPr>
              <w:ind w:left="8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3"/>
                <w:szCs w:val="13"/>
                <w:color w:val="auto"/>
              </w:rPr>
              <w:t>680</w:t>
            </w:r>
          </w:p>
        </w:tc>
      </w:tr>
      <w:tr>
        <w:trPr>
          <w:trHeight w:val="152"/>
        </w:trPr>
        <w:tc>
          <w:tcPr>
            <w:tcW w:w="92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Other liabilities</w:t>
            </w:r>
          </w:p>
        </w:tc>
        <w:tc>
          <w:tcPr>
            <w:tcW w:w="1040" w:type="dxa"/>
            <w:vAlign w:val="bottom"/>
            <w:gridSpan w:val="5"/>
            <w:shd w:val="clear" w:color="auto" w:fill="CCEEFF"/>
          </w:tcPr>
          <w:p>
            <w:pPr>
              <w:jc w:val="right"/>
              <w:ind w:right="20"/>
              <w:spacing w:after="0"/>
              <w:rPr>
                <w:sz w:val="20"/>
                <w:szCs w:val="20"/>
                <w:color w:val="auto"/>
              </w:rPr>
            </w:pPr>
            <w:r>
              <w:rPr>
                <w:rFonts w:ascii="Arial" w:cs="Arial" w:eastAsia="Arial" w:hAnsi="Arial"/>
                <w:sz w:val="13"/>
                <w:szCs w:val="13"/>
                <w:color w:val="auto"/>
              </w:rPr>
              <w:t>391</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156</w:t>
            </w:r>
          </w:p>
        </w:tc>
      </w:tr>
      <w:tr>
        <w:trPr>
          <w:trHeight w:val="159"/>
        </w:trPr>
        <w:tc>
          <w:tcPr>
            <w:tcW w:w="920" w:type="dxa"/>
            <w:vAlign w:val="bottom"/>
          </w:tcPr>
          <w:p>
            <w:pPr>
              <w:spacing w:after="0"/>
              <w:rPr>
                <w:sz w:val="13"/>
                <w:szCs w:val="13"/>
                <w:color w:val="auto"/>
              </w:rPr>
            </w:pPr>
          </w:p>
        </w:tc>
        <w:tc>
          <w:tcPr>
            <w:tcW w:w="386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660" w:type="dxa"/>
            <w:vAlign w:val="bottom"/>
            <w:gridSpan w:val="2"/>
          </w:tcPr>
          <w:p>
            <w:pPr>
              <w:spacing w:after="0"/>
              <w:rPr>
                <w:sz w:val="13"/>
                <w:szCs w:val="13"/>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7,929</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9,366</w:t>
            </w:r>
          </w:p>
        </w:tc>
        <w:tc>
          <w:tcPr>
            <w:tcW w:w="40" w:type="dxa"/>
            <w:vAlign w:val="bottom"/>
          </w:tcPr>
          <w:p>
            <w:pPr>
              <w:spacing w:after="0"/>
              <w:rPr>
                <w:sz w:val="13"/>
                <w:szCs w:val="13"/>
                <w:color w:val="auto"/>
              </w:rPr>
            </w:pPr>
          </w:p>
        </w:tc>
      </w:tr>
    </w:tbl>
    <w:p>
      <w:pPr>
        <w:spacing w:after="0" w:line="152" w:lineRule="exact"/>
        <w:rPr>
          <w:sz w:val="20"/>
          <w:szCs w:val="20"/>
          <w:color w:val="auto"/>
        </w:rPr>
      </w:pPr>
    </w:p>
    <w:p>
      <w:pPr>
        <w:ind w:left="1780" w:right="719"/>
        <w:spacing w:after="0" w:line="261" w:lineRule="auto"/>
        <w:rPr>
          <w:sz w:val="20"/>
          <w:szCs w:val="20"/>
          <w:color w:val="auto"/>
        </w:rPr>
      </w:pPr>
      <w:r>
        <w:rPr>
          <w:rFonts w:ascii="Arial" w:cs="Arial" w:eastAsia="Arial" w:hAnsi="Arial"/>
          <w:sz w:val="13"/>
          <w:szCs w:val="13"/>
          <w:color w:val="auto"/>
        </w:rPr>
        <w:t>Other current liabilities are non-interest-bearing and are due within one year. The carrying amounts of other current liabilities represents fair values due to their short-term nature.</w:t>
      </w:r>
    </w:p>
    <w:p>
      <w:pPr>
        <w:sectPr>
          <w:pgSz w:w="11900" w:h="16838" w:orient="portrait"/>
          <w:cols w:equalWidth="0" w:num="1">
            <w:col w:w="10159"/>
          </w:cols>
          <w:pgMar w:left="300" w:top="383" w:right="1440" w:bottom="1440" w:gutter="0" w:footer="0" w:header="0"/>
        </w:sectPr>
      </w:pPr>
    </w:p>
    <w:bookmarkStart w:id="16" w:name="page17"/>
    <w:bookmarkEnd w:id="16"/>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42545"/>
                    </a:xfrm>
                    <a:prstGeom prst="rect">
                      <a:avLst/>
                    </a:prstGeom>
                    <a:noFill/>
                  </pic:spPr>
                </pic:pic>
              </a:graphicData>
            </a:graphic>
          </wp:anchor>
        </w:drawing>
        <w:t>Table of Contents</w:t>
      </w:r>
    </w:p>
    <w:p>
      <w:pPr>
        <w:spacing w:after="0" w:line="210" w:lineRule="exact"/>
        <w:rPr>
          <w:sz w:val="20"/>
          <w:szCs w:val="20"/>
          <w:color w:val="auto"/>
        </w:rPr>
      </w:pPr>
    </w:p>
    <w:p>
      <w:pPr>
        <w:ind w:left="1780"/>
        <w:spacing w:after="0"/>
        <w:rPr>
          <w:sz w:val="20"/>
          <w:szCs w:val="20"/>
          <w:color w:val="auto"/>
        </w:rPr>
      </w:pPr>
      <w:r>
        <w:rPr>
          <w:rFonts w:ascii="Arial" w:cs="Arial" w:eastAsia="Arial" w:hAnsi="Arial"/>
          <w:sz w:val="13"/>
          <w:szCs w:val="13"/>
          <w:b w:val="1"/>
          <w:bCs w:val="1"/>
          <w:color w:val="auto"/>
        </w:rPr>
        <w:t>14. Shareholders’ equity</w:t>
      </w:r>
    </w:p>
    <w:p>
      <w:pPr>
        <w:spacing w:after="0" w:line="82" w:lineRule="exact"/>
        <w:rPr>
          <w:sz w:val="20"/>
          <w:szCs w:val="20"/>
          <w:color w:val="auto"/>
        </w:rPr>
      </w:pPr>
    </w:p>
    <w:p>
      <w:pPr>
        <w:ind w:left="1780" w:right="699"/>
        <w:spacing w:after="0" w:line="261" w:lineRule="auto"/>
        <w:rPr>
          <w:sz w:val="20"/>
          <w:szCs w:val="20"/>
          <w:color w:val="auto"/>
        </w:rPr>
      </w:pPr>
      <w:r>
        <w:rPr>
          <w:rFonts w:ascii="Arial" w:cs="Arial" w:eastAsia="Arial" w:hAnsi="Arial"/>
          <w:sz w:val="13"/>
          <w:szCs w:val="13"/>
          <w:color w:val="auto"/>
        </w:rPr>
        <w:t>As of June 30, 2023 and December 31, 2022, the total number of ordinary shares of Immatics N.V. outstanding is 80,397,851 and 76,670,699 with a par value of €0.01, respectively.</w:t>
      </w:r>
    </w:p>
    <w:p>
      <w:pPr>
        <w:spacing w:after="0" w:line="130" w:lineRule="exact"/>
        <w:rPr>
          <w:sz w:val="20"/>
          <w:szCs w:val="20"/>
          <w:color w:val="auto"/>
        </w:rPr>
      </w:pPr>
    </w:p>
    <w:p>
      <w:pPr>
        <w:ind w:left="1780"/>
        <w:spacing w:after="0"/>
        <w:rPr>
          <w:sz w:val="20"/>
          <w:szCs w:val="20"/>
          <w:color w:val="auto"/>
        </w:rPr>
      </w:pPr>
      <w:r>
        <w:rPr>
          <w:rFonts w:ascii="Arial" w:cs="Arial" w:eastAsia="Arial" w:hAnsi="Arial"/>
          <w:sz w:val="11"/>
          <w:szCs w:val="11"/>
          <w:color w:val="auto"/>
        </w:rPr>
        <w:t>During the three months ended June 30, 2023, the Group issued 3.7 million shares under the ATM agreement with SVB Securities LLC and collected a</w:t>
      </w:r>
    </w:p>
    <w:p>
      <w:pPr>
        <w:spacing w:after="0" w:line="34" w:lineRule="exact"/>
        <w:rPr>
          <w:sz w:val="20"/>
          <w:szCs w:val="20"/>
          <w:color w:val="auto"/>
        </w:rPr>
      </w:pPr>
    </w:p>
    <w:p>
      <w:pPr>
        <w:ind w:left="1780"/>
        <w:spacing w:after="0"/>
        <w:rPr>
          <w:sz w:val="20"/>
          <w:szCs w:val="20"/>
          <w:color w:val="auto"/>
        </w:rPr>
      </w:pPr>
      <w:r>
        <w:rPr>
          <w:rFonts w:ascii="Arial" w:cs="Arial" w:eastAsia="Arial" w:hAnsi="Arial"/>
          <w:sz w:val="11"/>
          <w:szCs w:val="11"/>
          <w:color w:val="auto"/>
        </w:rPr>
        <w:t>gross amount of €38.6 million less transaction costs of €1.2 million, resulting in an increase in share capital of €37 thousand and share premium of</w:t>
      </w:r>
    </w:p>
    <w:p>
      <w:pPr>
        <w:spacing w:after="0" w:line="25" w:lineRule="exact"/>
        <w:rPr>
          <w:sz w:val="20"/>
          <w:szCs w:val="20"/>
          <w:color w:val="auto"/>
        </w:rPr>
      </w:pPr>
    </w:p>
    <w:p>
      <w:pPr>
        <w:ind w:left="1780"/>
        <w:spacing w:after="0"/>
        <w:rPr>
          <w:sz w:val="20"/>
          <w:szCs w:val="20"/>
          <w:color w:val="auto"/>
        </w:rPr>
      </w:pPr>
      <w:r>
        <w:rPr>
          <w:rFonts w:ascii="Arial" w:cs="Arial" w:eastAsia="Arial" w:hAnsi="Arial"/>
          <w:sz w:val="11"/>
          <w:szCs w:val="11"/>
          <w:color w:val="auto"/>
        </w:rPr>
        <w:t>€37.4 million. Additionally, the number of ordinary shares increased during the six months ended June 30, 2023, due to exercised share options from the</w:t>
      </w:r>
    </w:p>
    <w:p>
      <w:pPr>
        <w:spacing w:after="0" w:line="25" w:lineRule="exact"/>
        <w:rPr>
          <w:sz w:val="20"/>
          <w:szCs w:val="20"/>
          <w:color w:val="auto"/>
        </w:rPr>
      </w:pPr>
    </w:p>
    <w:p>
      <w:pPr>
        <w:ind w:left="1780"/>
        <w:spacing w:after="0"/>
        <w:rPr>
          <w:sz w:val="20"/>
          <w:szCs w:val="20"/>
          <w:color w:val="auto"/>
        </w:rPr>
      </w:pPr>
      <w:r>
        <w:rPr>
          <w:rFonts w:ascii="Arial" w:cs="Arial" w:eastAsia="Arial" w:hAnsi="Arial"/>
          <w:sz w:val="13"/>
          <w:szCs w:val="13"/>
          <w:color w:val="auto"/>
        </w:rPr>
        <w:t>Group’s equity incentive plan.</w:t>
      </w:r>
    </w:p>
    <w:p>
      <w:pPr>
        <w:spacing w:after="0" w:line="145" w:lineRule="exact"/>
        <w:rPr>
          <w:sz w:val="20"/>
          <w:szCs w:val="20"/>
          <w:color w:val="auto"/>
        </w:rPr>
      </w:pPr>
    </w:p>
    <w:p>
      <w:pPr>
        <w:ind w:left="1780"/>
        <w:spacing w:after="0"/>
        <w:rPr>
          <w:sz w:val="20"/>
          <w:szCs w:val="20"/>
          <w:color w:val="auto"/>
        </w:rPr>
      </w:pPr>
      <w:r>
        <w:rPr>
          <w:rFonts w:ascii="Arial" w:cs="Arial" w:eastAsia="Arial" w:hAnsi="Arial"/>
          <w:sz w:val="13"/>
          <w:szCs w:val="13"/>
          <w:color w:val="auto"/>
        </w:rPr>
        <w:t>Other reserves are related to accumulated foreign currency translation amounts associated with the Group’s U.S. operations.</w:t>
      </w:r>
    </w:p>
    <w:p>
      <w:pPr>
        <w:spacing w:after="0" w:line="226" w:lineRule="exact"/>
        <w:rPr>
          <w:sz w:val="20"/>
          <w:szCs w:val="20"/>
          <w:color w:val="auto"/>
        </w:rPr>
      </w:pPr>
    </w:p>
    <w:p>
      <w:pPr>
        <w:ind w:left="1780"/>
        <w:spacing w:after="0"/>
        <w:rPr>
          <w:sz w:val="20"/>
          <w:szCs w:val="20"/>
          <w:color w:val="auto"/>
        </w:rPr>
      </w:pPr>
      <w:r>
        <w:rPr>
          <w:rFonts w:ascii="Arial" w:cs="Arial" w:eastAsia="Arial" w:hAnsi="Arial"/>
          <w:sz w:val="13"/>
          <w:szCs w:val="13"/>
          <w:b w:val="1"/>
          <w:bCs w:val="1"/>
          <w:color w:val="auto"/>
        </w:rPr>
        <w:t>15. Related party disclosures</w:t>
      </w:r>
    </w:p>
    <w:p>
      <w:pPr>
        <w:spacing w:after="0" w:line="82" w:lineRule="exact"/>
        <w:rPr>
          <w:sz w:val="20"/>
          <w:szCs w:val="20"/>
          <w:color w:val="auto"/>
        </w:rPr>
      </w:pPr>
    </w:p>
    <w:p>
      <w:pPr>
        <w:ind w:left="1780" w:right="979"/>
        <w:spacing w:after="0" w:line="252" w:lineRule="auto"/>
        <w:rPr>
          <w:sz w:val="20"/>
          <w:szCs w:val="20"/>
          <w:color w:val="auto"/>
        </w:rPr>
      </w:pPr>
      <w:r>
        <w:rPr>
          <w:rFonts w:ascii="Arial" w:cs="Arial" w:eastAsia="Arial" w:hAnsi="Arial"/>
          <w:sz w:val="13"/>
          <w:szCs w:val="13"/>
          <w:color w:val="auto"/>
        </w:rPr>
        <w:t>During the three and six months ended June 30, 2023, the Group did not enter into any new related-party transactions with its key management personnel or with related entities other than the granting of a total of 175,000 Service options to its Board of Directors for the three and six months ended June 30, 2023.</w:t>
      </w:r>
    </w:p>
    <w:p>
      <w:pPr>
        <w:sectPr>
          <w:pgSz w:w="11900" w:h="16838" w:orient="portrait"/>
          <w:cols w:equalWidth="0" w:num="1">
            <w:col w:w="10159"/>
          </w:cols>
          <w:pgMar w:left="300" w:top="383" w:right="1440" w:bottom="1440" w:gutter="0" w:footer="0" w:header="0"/>
        </w:sectPr>
      </w:pPr>
    </w:p>
    <w:bookmarkStart w:id="17" w:name="page18"/>
    <w:bookmarkEnd w:id="17"/>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42545"/>
                    </a:xfrm>
                    <a:prstGeom prst="rect">
                      <a:avLst/>
                    </a:prstGeom>
                    <a:noFill/>
                  </pic:spPr>
                </pic:pic>
              </a:graphicData>
            </a:graphic>
          </wp:anchor>
        </w:drawing>
        <w:t>Table of Contents</w:t>
      </w:r>
    </w:p>
    <w:p>
      <w:pPr>
        <w:spacing w:after="0" w:line="210" w:lineRule="exact"/>
        <w:rPr>
          <w:sz w:val="20"/>
          <w:szCs w:val="20"/>
          <w:color w:val="auto"/>
        </w:rPr>
      </w:pPr>
    </w:p>
    <w:p>
      <w:pPr>
        <w:ind w:left="1780"/>
        <w:spacing w:after="0"/>
        <w:rPr>
          <w:sz w:val="20"/>
          <w:szCs w:val="20"/>
          <w:color w:val="auto"/>
        </w:rPr>
      </w:pPr>
      <w:r>
        <w:rPr>
          <w:rFonts w:ascii="Arial" w:cs="Arial" w:eastAsia="Arial" w:hAnsi="Arial"/>
          <w:sz w:val="13"/>
          <w:szCs w:val="13"/>
          <w:b w:val="1"/>
          <w:bCs w:val="1"/>
          <w:color w:val="auto"/>
        </w:rPr>
        <w:t>16. Financial Instruments</w:t>
      </w:r>
    </w:p>
    <w:p>
      <w:pPr>
        <w:spacing w:after="0" w:line="82" w:lineRule="exact"/>
        <w:rPr>
          <w:sz w:val="20"/>
          <w:szCs w:val="20"/>
          <w:color w:val="auto"/>
        </w:rPr>
      </w:pPr>
    </w:p>
    <w:p>
      <w:pPr>
        <w:ind w:left="1780" w:right="1039"/>
        <w:spacing w:after="0" w:line="261" w:lineRule="auto"/>
        <w:rPr>
          <w:sz w:val="20"/>
          <w:szCs w:val="20"/>
          <w:color w:val="auto"/>
        </w:rPr>
      </w:pPr>
      <w:r>
        <w:rPr>
          <w:rFonts w:ascii="Arial" w:cs="Arial" w:eastAsia="Arial" w:hAnsi="Arial"/>
          <w:sz w:val="13"/>
          <w:szCs w:val="13"/>
          <w:color w:val="auto"/>
        </w:rPr>
        <w:t>Set out below are the carrying amounts and fair values of the Group’s financial instruments that are carried in the interim condensed consolidated financial statements.</w:t>
      </w:r>
    </w:p>
    <w:p>
      <w:pPr>
        <w:spacing w:after="0" w:line="143" w:lineRule="exact"/>
        <w:rPr>
          <w:sz w:val="20"/>
          <w:szCs w:val="20"/>
          <w:color w:val="auto"/>
        </w:rPr>
      </w:pPr>
    </w:p>
    <w:tbl>
      <w:tblPr>
        <w:tblLayout w:type="fixed"/>
        <w:tblInd w:w="1780" w:type="dxa"/>
        <w:tblCellMar>
          <w:top w:w="0" w:type="dxa"/>
          <w:left w:w="0" w:type="dxa"/>
          <w:bottom w:w="0" w:type="dxa"/>
          <w:right w:w="0" w:type="dxa"/>
        </w:tblCellMar>
      </w:tblPr>
      <w:tr>
        <w:trPr>
          <w:trHeight w:val="119"/>
        </w:trPr>
        <w:tc>
          <w:tcPr>
            <w:tcW w:w="3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gridSpan w:val="11"/>
          </w:tcPr>
          <w:p>
            <w:pPr>
              <w:ind w:left="120"/>
              <w:spacing w:after="0"/>
              <w:rPr>
                <w:sz w:val="20"/>
                <w:szCs w:val="20"/>
                <w:color w:val="auto"/>
              </w:rPr>
            </w:pPr>
            <w:r>
              <w:rPr>
                <w:rFonts w:ascii="Arial" w:cs="Arial" w:eastAsia="Arial" w:hAnsi="Arial"/>
                <w:sz w:val="10"/>
                <w:szCs w:val="10"/>
                <w:b w:val="1"/>
                <w:bCs w:val="1"/>
                <w:color w:val="auto"/>
              </w:rPr>
              <w:t>Carrying amount per measurement category</w:t>
            </w: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4"/>
        </w:trPr>
        <w:tc>
          <w:tcPr>
            <w:tcW w:w="3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40" w:type="dxa"/>
            <w:vAlign w:val="bottom"/>
            <w:gridSpan w:val="7"/>
          </w:tcPr>
          <w:p>
            <w:pPr>
              <w:ind w:left="400"/>
              <w:spacing w:after="0" w:line="94" w:lineRule="exact"/>
              <w:rPr>
                <w:sz w:val="20"/>
                <w:szCs w:val="20"/>
                <w:color w:val="auto"/>
              </w:rPr>
            </w:pPr>
            <w:r>
              <w:rPr>
                <w:rFonts w:ascii="Arial" w:cs="Arial" w:eastAsia="Arial" w:hAnsi="Arial"/>
                <w:sz w:val="10"/>
                <w:szCs w:val="10"/>
                <w:b w:val="1"/>
                <w:bCs w:val="1"/>
                <w:color w:val="auto"/>
              </w:rPr>
              <w:t>Financial assets</w:t>
            </w: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gridSpan w:val="5"/>
          </w:tcPr>
          <w:p>
            <w:pPr>
              <w:ind w:left="60"/>
              <w:spacing w:after="0" w:line="94" w:lineRule="exact"/>
              <w:rPr>
                <w:sz w:val="20"/>
                <w:szCs w:val="20"/>
                <w:color w:val="auto"/>
              </w:rPr>
            </w:pPr>
            <w:r>
              <w:rPr>
                <w:rFonts w:ascii="Arial" w:cs="Arial" w:eastAsia="Arial" w:hAnsi="Arial"/>
                <w:sz w:val="10"/>
                <w:szCs w:val="10"/>
                <w:b w:val="1"/>
                <w:bCs w:val="1"/>
                <w:color w:val="auto"/>
              </w:rPr>
              <w:t>Financial liabilities</w:t>
            </w: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79"/>
        </w:trPr>
        <w:tc>
          <w:tcPr>
            <w:tcW w:w="3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top w:val="single" w:sz="8" w:color="auto"/>
            </w:tcBorders>
            <w:gridSpan w:val="2"/>
          </w:tcPr>
          <w:p>
            <w:pPr>
              <w:jc w:val="center"/>
              <w:spacing w:after="0" w:line="79" w:lineRule="exact"/>
              <w:rPr>
                <w:sz w:val="20"/>
                <w:szCs w:val="20"/>
                <w:color w:val="auto"/>
              </w:rPr>
            </w:pPr>
            <w:r>
              <w:rPr>
                <w:rFonts w:ascii="Arial" w:cs="Arial" w:eastAsia="Arial" w:hAnsi="Arial"/>
                <w:sz w:val="9"/>
                <w:szCs w:val="9"/>
                <w:b w:val="1"/>
                <w:bCs w:val="1"/>
                <w:color w:val="auto"/>
              </w:rPr>
              <w:t>At fair value</w:t>
            </w:r>
          </w:p>
        </w:tc>
        <w:tc>
          <w:tcPr>
            <w:tcW w:w="16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top w:val="single" w:sz="8" w:color="auto"/>
            </w:tcBorders>
            <w:gridSpan w:val="2"/>
          </w:tcPr>
          <w:p>
            <w:pPr>
              <w:ind w:left="40"/>
              <w:spacing w:after="0" w:line="79" w:lineRule="exact"/>
              <w:rPr>
                <w:sz w:val="20"/>
                <w:szCs w:val="20"/>
                <w:color w:val="auto"/>
              </w:rPr>
            </w:pPr>
            <w:r>
              <w:rPr>
                <w:rFonts w:ascii="Arial" w:cs="Arial" w:eastAsia="Arial" w:hAnsi="Arial"/>
                <w:sz w:val="9"/>
                <w:szCs w:val="9"/>
                <w:b w:val="1"/>
                <w:bCs w:val="1"/>
                <w:color w:val="auto"/>
              </w:rPr>
              <w:t>At fair value</w:t>
            </w:r>
          </w:p>
        </w:tc>
        <w:tc>
          <w:tcPr>
            <w:tcW w:w="14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r>
      <w:tr>
        <w:trPr>
          <w:trHeight w:val="104"/>
        </w:trPr>
        <w:tc>
          <w:tcPr>
            <w:tcW w:w="3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2"/>
          </w:tcPr>
          <w:p>
            <w:pPr>
              <w:jc w:val="center"/>
              <w:spacing w:after="0" w:line="104" w:lineRule="exact"/>
              <w:rPr>
                <w:sz w:val="20"/>
                <w:szCs w:val="20"/>
                <w:color w:val="auto"/>
              </w:rPr>
            </w:pPr>
            <w:r>
              <w:rPr>
                <w:rFonts w:ascii="Arial" w:cs="Arial" w:eastAsia="Arial" w:hAnsi="Arial"/>
                <w:sz w:val="10"/>
                <w:szCs w:val="10"/>
                <w:b w:val="1"/>
                <w:bCs w:val="1"/>
                <w:color w:val="auto"/>
                <w:w w:val="93"/>
              </w:rPr>
              <w:t>through profit</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3"/>
          </w:tcPr>
          <w:p>
            <w:pPr>
              <w:spacing w:after="0" w:line="104" w:lineRule="exact"/>
              <w:rPr>
                <w:sz w:val="20"/>
                <w:szCs w:val="20"/>
                <w:color w:val="auto"/>
              </w:rPr>
            </w:pPr>
            <w:r>
              <w:rPr>
                <w:rFonts w:ascii="Arial" w:cs="Arial" w:eastAsia="Arial" w:hAnsi="Arial"/>
                <w:sz w:val="10"/>
                <w:szCs w:val="10"/>
                <w:b w:val="1"/>
                <w:bCs w:val="1"/>
                <w:color w:val="auto"/>
              </w:rPr>
              <w:t>At amortized</w:t>
            </w:r>
          </w:p>
        </w:tc>
        <w:tc>
          <w:tcPr>
            <w:tcW w:w="120" w:type="dxa"/>
            <w:vAlign w:val="bottom"/>
          </w:tcPr>
          <w:p>
            <w:pPr>
              <w:spacing w:after="0"/>
              <w:rPr>
                <w:sz w:val="9"/>
                <w:szCs w:val="9"/>
                <w:color w:val="auto"/>
              </w:rPr>
            </w:pPr>
          </w:p>
        </w:tc>
        <w:tc>
          <w:tcPr>
            <w:tcW w:w="640" w:type="dxa"/>
            <w:vAlign w:val="bottom"/>
            <w:gridSpan w:val="2"/>
          </w:tcPr>
          <w:p>
            <w:pPr>
              <w:jc w:val="right"/>
              <w:ind w:right="20"/>
              <w:spacing w:after="0" w:line="104" w:lineRule="exact"/>
              <w:rPr>
                <w:sz w:val="20"/>
                <w:szCs w:val="20"/>
                <w:color w:val="auto"/>
              </w:rPr>
            </w:pPr>
            <w:r>
              <w:rPr>
                <w:rFonts w:ascii="Arial" w:cs="Arial" w:eastAsia="Arial" w:hAnsi="Arial"/>
                <w:sz w:val="10"/>
                <w:szCs w:val="10"/>
                <w:b w:val="1"/>
                <w:bCs w:val="1"/>
                <w:color w:val="auto"/>
                <w:w w:val="90"/>
              </w:rPr>
              <w:t>through profit</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3"/>
          </w:tcPr>
          <w:p>
            <w:pPr>
              <w:spacing w:after="0" w:line="104" w:lineRule="exact"/>
              <w:rPr>
                <w:sz w:val="20"/>
                <w:szCs w:val="20"/>
                <w:color w:val="auto"/>
              </w:rPr>
            </w:pPr>
            <w:r>
              <w:rPr>
                <w:rFonts w:ascii="Arial" w:cs="Arial" w:eastAsia="Arial" w:hAnsi="Arial"/>
                <w:sz w:val="10"/>
                <w:szCs w:val="10"/>
                <w:b w:val="1"/>
                <w:bCs w:val="1"/>
                <w:color w:val="auto"/>
              </w:rPr>
              <w:t>At amortized</w:t>
            </w:r>
          </w:p>
        </w:tc>
        <w:tc>
          <w:tcPr>
            <w:tcW w:w="140" w:type="dxa"/>
            <w:vAlign w:val="bottom"/>
          </w:tcPr>
          <w:p>
            <w:pPr>
              <w:spacing w:after="0"/>
              <w:rPr>
                <w:sz w:val="9"/>
                <w:szCs w:val="9"/>
                <w:color w:val="auto"/>
              </w:rPr>
            </w:pPr>
          </w:p>
        </w:tc>
        <w:tc>
          <w:tcPr>
            <w:tcW w:w="500" w:type="dxa"/>
            <w:vAlign w:val="bottom"/>
            <w:gridSpan w:val="2"/>
          </w:tcPr>
          <w:p>
            <w:pPr>
              <w:ind w:left="40"/>
              <w:spacing w:after="0" w:line="104" w:lineRule="exact"/>
              <w:rPr>
                <w:sz w:val="20"/>
                <w:szCs w:val="20"/>
                <w:color w:val="auto"/>
              </w:rPr>
            </w:pPr>
            <w:r>
              <w:rPr>
                <w:rFonts w:ascii="Arial" w:cs="Arial" w:eastAsia="Arial" w:hAnsi="Arial"/>
                <w:sz w:val="10"/>
                <w:szCs w:val="10"/>
                <w:b w:val="1"/>
                <w:bCs w:val="1"/>
                <w:color w:val="auto"/>
              </w:rPr>
              <w:t>June 30,</w:t>
            </w:r>
          </w:p>
        </w:tc>
      </w:tr>
      <w:tr>
        <w:trPr>
          <w:trHeight w:val="119"/>
        </w:trPr>
        <w:tc>
          <w:tcPr>
            <w:tcW w:w="3580" w:type="dxa"/>
            <w:vAlign w:val="bottom"/>
          </w:tcPr>
          <w:p>
            <w:pPr>
              <w:spacing w:after="0"/>
              <w:rPr>
                <w:sz w:val="20"/>
                <w:szCs w:val="20"/>
                <w:color w:val="auto"/>
              </w:rPr>
            </w:pPr>
            <w:r>
              <w:rPr>
                <w:rFonts w:ascii="Arial" w:cs="Arial" w:eastAsia="Arial" w:hAnsi="Arial"/>
                <w:sz w:val="10"/>
                <w:szCs w:val="10"/>
                <w:b w:val="1"/>
                <w:bCs w:val="1"/>
                <w:color w:val="auto"/>
              </w:rPr>
              <w:t>Euros in thousands</w:t>
            </w:r>
          </w:p>
        </w:tc>
        <w:tc>
          <w:tcPr>
            <w:tcW w:w="120" w:type="dxa"/>
            <w:vAlign w:val="bottom"/>
          </w:tcPr>
          <w:p>
            <w:pPr>
              <w:spacing w:after="0"/>
              <w:rPr>
                <w:sz w:val="10"/>
                <w:szCs w:val="10"/>
                <w:color w:val="auto"/>
              </w:rPr>
            </w:pPr>
          </w:p>
        </w:tc>
        <w:tc>
          <w:tcPr>
            <w:tcW w:w="620" w:type="dxa"/>
            <w:vAlign w:val="bottom"/>
            <w:gridSpan w:val="2"/>
          </w:tcPr>
          <w:p>
            <w:pPr>
              <w:jc w:val="center"/>
              <w:spacing w:after="0"/>
              <w:rPr>
                <w:sz w:val="20"/>
                <w:szCs w:val="20"/>
                <w:color w:val="auto"/>
              </w:rPr>
            </w:pPr>
            <w:r>
              <w:rPr>
                <w:rFonts w:ascii="Arial" w:cs="Arial" w:eastAsia="Arial" w:hAnsi="Arial"/>
                <w:sz w:val="10"/>
                <w:szCs w:val="10"/>
                <w:b w:val="1"/>
                <w:bCs w:val="1"/>
                <w:color w:val="auto"/>
                <w:w w:val="83"/>
              </w:rPr>
              <w:t>and loss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3"/>
          </w:tcPr>
          <w:p>
            <w:pPr>
              <w:ind w:left="200"/>
              <w:spacing w:after="0"/>
              <w:rPr>
                <w:sz w:val="20"/>
                <w:szCs w:val="20"/>
                <w:color w:val="auto"/>
              </w:rPr>
            </w:pPr>
            <w:r>
              <w:rPr>
                <w:rFonts w:ascii="Arial" w:cs="Arial" w:eastAsia="Arial" w:hAnsi="Arial"/>
                <w:sz w:val="10"/>
                <w:szCs w:val="10"/>
                <w:b w:val="1"/>
                <w:bCs w:val="1"/>
                <w:color w:val="auto"/>
              </w:rPr>
              <w:t>cost</w:t>
            </w:r>
          </w:p>
        </w:tc>
        <w:tc>
          <w:tcPr>
            <w:tcW w:w="120" w:type="dxa"/>
            <w:vAlign w:val="bottom"/>
          </w:tcPr>
          <w:p>
            <w:pPr>
              <w:spacing w:after="0"/>
              <w:rPr>
                <w:sz w:val="10"/>
                <w:szCs w:val="10"/>
                <w:color w:val="auto"/>
              </w:rPr>
            </w:pPr>
          </w:p>
        </w:tc>
        <w:tc>
          <w:tcPr>
            <w:tcW w:w="640" w:type="dxa"/>
            <w:vAlign w:val="bottom"/>
            <w:gridSpan w:val="2"/>
          </w:tcPr>
          <w:p>
            <w:pPr>
              <w:ind w:left="140"/>
              <w:spacing w:after="0"/>
              <w:rPr>
                <w:sz w:val="20"/>
                <w:szCs w:val="20"/>
                <w:color w:val="auto"/>
              </w:rPr>
            </w:pPr>
            <w:r>
              <w:rPr>
                <w:rFonts w:ascii="Arial" w:cs="Arial" w:eastAsia="Arial" w:hAnsi="Arial"/>
                <w:sz w:val="10"/>
                <w:szCs w:val="10"/>
                <w:b w:val="1"/>
                <w:bCs w:val="1"/>
                <w:color w:val="auto"/>
              </w:rPr>
              <w:t>and loss</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3"/>
          </w:tcPr>
          <w:p>
            <w:pPr>
              <w:ind w:left="200"/>
              <w:spacing w:after="0"/>
              <w:rPr>
                <w:sz w:val="20"/>
                <w:szCs w:val="20"/>
                <w:color w:val="auto"/>
              </w:rPr>
            </w:pPr>
            <w:r>
              <w:rPr>
                <w:rFonts w:ascii="Arial" w:cs="Arial" w:eastAsia="Arial" w:hAnsi="Arial"/>
                <w:sz w:val="10"/>
                <w:szCs w:val="10"/>
                <w:b w:val="1"/>
                <w:bCs w:val="1"/>
                <w:color w:val="auto"/>
              </w:rPr>
              <w:t>cost</w:t>
            </w:r>
          </w:p>
        </w:tc>
        <w:tc>
          <w:tcPr>
            <w:tcW w:w="600" w:type="dxa"/>
            <w:vAlign w:val="bottom"/>
            <w:gridSpan w:val="2"/>
          </w:tcPr>
          <w:p>
            <w:pPr>
              <w:jc w:val="right"/>
              <w:ind w:right="79"/>
              <w:spacing w:after="0"/>
              <w:rPr>
                <w:sz w:val="20"/>
                <w:szCs w:val="20"/>
                <w:color w:val="auto"/>
              </w:rPr>
            </w:pPr>
            <w:r>
              <w:rPr>
                <w:rFonts w:ascii="Arial" w:cs="Arial" w:eastAsia="Arial" w:hAnsi="Arial"/>
                <w:sz w:val="10"/>
                <w:szCs w:val="10"/>
                <w:b w:val="1"/>
                <w:bCs w:val="1"/>
                <w:color w:val="auto"/>
              </w:rPr>
              <w:t>2023</w:t>
            </w:r>
          </w:p>
        </w:tc>
        <w:tc>
          <w:tcPr>
            <w:tcW w:w="40" w:type="dxa"/>
            <w:vAlign w:val="bottom"/>
          </w:tcPr>
          <w:p>
            <w:pPr>
              <w:spacing w:after="0"/>
              <w:rPr>
                <w:sz w:val="10"/>
                <w:szCs w:val="10"/>
                <w:color w:val="auto"/>
              </w:rPr>
            </w:pPr>
          </w:p>
        </w:tc>
      </w:tr>
      <w:tr>
        <w:trPr>
          <w:trHeight w:val="141"/>
        </w:trPr>
        <w:tc>
          <w:tcPr>
            <w:tcW w:w="358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Current/non-current assets</w:t>
            </w:r>
          </w:p>
        </w:tc>
        <w:tc>
          <w:tcPr>
            <w:tcW w:w="1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52"/>
        </w:trPr>
        <w:tc>
          <w:tcPr>
            <w:tcW w:w="3580" w:type="dxa"/>
            <w:vAlign w:val="bottom"/>
          </w:tcPr>
          <w:p>
            <w:pPr>
              <w:spacing w:after="0"/>
              <w:rPr>
                <w:sz w:val="20"/>
                <w:szCs w:val="20"/>
                <w:color w:val="auto"/>
              </w:rPr>
            </w:pPr>
            <w:r>
              <w:rPr>
                <w:rFonts w:ascii="Arial" w:cs="Arial" w:eastAsia="Arial" w:hAnsi="Arial"/>
                <w:sz w:val="13"/>
                <w:szCs w:val="13"/>
                <w:color w:val="auto"/>
              </w:rPr>
              <w:t>Cash and cash equivalents</w:t>
            </w:r>
          </w:p>
        </w:tc>
        <w:tc>
          <w:tcPr>
            <w:tcW w:w="120" w:type="dxa"/>
            <w:vAlign w:val="bottom"/>
          </w:tcPr>
          <w:p>
            <w:pPr>
              <w:spacing w:after="0"/>
              <w:rPr>
                <w:sz w:val="13"/>
                <w:szCs w:val="13"/>
                <w:color w:val="auto"/>
              </w:rPr>
            </w:pPr>
          </w:p>
        </w:tc>
        <w:tc>
          <w:tcPr>
            <w:tcW w:w="62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020" w:type="dxa"/>
            <w:vAlign w:val="bottom"/>
            <w:gridSpan w:val="5"/>
          </w:tcPr>
          <w:p>
            <w:pPr>
              <w:jc w:val="right"/>
              <w:ind w:right="160"/>
              <w:spacing w:after="0"/>
              <w:rPr>
                <w:sz w:val="20"/>
                <w:szCs w:val="20"/>
                <w:color w:val="auto"/>
              </w:rPr>
            </w:pPr>
            <w:r>
              <w:rPr>
                <w:rFonts w:ascii="Arial" w:cs="Arial" w:eastAsia="Arial" w:hAnsi="Arial"/>
                <w:sz w:val="13"/>
                <w:szCs w:val="13"/>
                <w:color w:val="auto"/>
              </w:rPr>
              <w:t>130,405</w:t>
            </w:r>
          </w:p>
        </w:tc>
        <w:tc>
          <w:tcPr>
            <w:tcW w:w="120" w:type="dxa"/>
            <w:vAlign w:val="bottom"/>
          </w:tcPr>
          <w:p>
            <w:pPr>
              <w:spacing w:after="0"/>
              <w:rPr>
                <w:sz w:val="13"/>
                <w:szCs w:val="13"/>
                <w:color w:val="auto"/>
              </w:rPr>
            </w:pPr>
          </w:p>
        </w:tc>
        <w:tc>
          <w:tcPr>
            <w:tcW w:w="6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3"/>
          </w:tcPr>
          <w:p>
            <w:pPr>
              <w:ind w:left="38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rPr>
              <w:t>130,405</w:t>
            </w:r>
          </w:p>
        </w:tc>
        <w:tc>
          <w:tcPr>
            <w:tcW w:w="40" w:type="dxa"/>
            <w:vAlign w:val="bottom"/>
          </w:tcPr>
          <w:p>
            <w:pPr>
              <w:spacing w:after="0"/>
              <w:rPr>
                <w:sz w:val="13"/>
                <w:szCs w:val="13"/>
                <w:color w:val="auto"/>
              </w:rPr>
            </w:pPr>
          </w:p>
        </w:tc>
      </w:tr>
      <w:tr>
        <w:trPr>
          <w:trHeight w:val="152"/>
        </w:trPr>
        <w:tc>
          <w:tcPr>
            <w:tcW w:w="3580" w:type="dxa"/>
            <w:vAlign w:val="bottom"/>
            <w:shd w:val="clear" w:color="auto" w:fill="CCEEFF"/>
          </w:tcPr>
          <w:p>
            <w:pPr>
              <w:spacing w:after="0"/>
              <w:rPr>
                <w:sz w:val="20"/>
                <w:szCs w:val="20"/>
                <w:color w:val="auto"/>
              </w:rPr>
            </w:pPr>
            <w:r>
              <w:rPr>
                <w:rFonts w:ascii="Arial" w:cs="Arial" w:eastAsia="Arial" w:hAnsi="Arial"/>
                <w:sz w:val="13"/>
                <w:szCs w:val="13"/>
                <w:color w:val="auto"/>
              </w:rPr>
              <w:t>Short-term deposits*</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20" w:type="dxa"/>
            <w:vAlign w:val="bottom"/>
            <w:gridSpan w:val="5"/>
            <w:shd w:val="clear" w:color="auto" w:fill="CCEEFF"/>
          </w:tcPr>
          <w:p>
            <w:pPr>
              <w:jc w:val="right"/>
              <w:ind w:right="160"/>
              <w:spacing w:after="0"/>
              <w:rPr>
                <w:sz w:val="20"/>
                <w:szCs w:val="20"/>
                <w:color w:val="auto"/>
              </w:rPr>
            </w:pPr>
            <w:r>
              <w:rPr>
                <w:rFonts w:ascii="Arial" w:cs="Arial" w:eastAsia="Arial" w:hAnsi="Arial"/>
                <w:sz w:val="13"/>
                <w:szCs w:val="13"/>
                <w:color w:val="auto"/>
              </w:rPr>
              <w:t>217,222</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3"/>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217,222</w:t>
            </w:r>
          </w:p>
        </w:tc>
        <w:tc>
          <w:tcPr>
            <w:tcW w:w="40" w:type="dxa"/>
            <w:vAlign w:val="bottom"/>
            <w:shd w:val="clear" w:color="auto" w:fill="CCEEFF"/>
          </w:tcPr>
          <w:p>
            <w:pPr>
              <w:spacing w:after="0"/>
              <w:rPr>
                <w:sz w:val="13"/>
                <w:szCs w:val="13"/>
                <w:color w:val="auto"/>
              </w:rPr>
            </w:pPr>
          </w:p>
        </w:tc>
      </w:tr>
      <w:tr>
        <w:trPr>
          <w:trHeight w:val="152"/>
        </w:trPr>
        <w:tc>
          <w:tcPr>
            <w:tcW w:w="3580" w:type="dxa"/>
            <w:vAlign w:val="bottom"/>
          </w:tcPr>
          <w:p>
            <w:pPr>
              <w:spacing w:after="0"/>
              <w:rPr>
                <w:sz w:val="20"/>
                <w:szCs w:val="20"/>
                <w:color w:val="auto"/>
              </w:rPr>
            </w:pPr>
            <w:r>
              <w:rPr>
                <w:rFonts w:ascii="Arial" w:cs="Arial" w:eastAsia="Arial" w:hAnsi="Arial"/>
                <w:sz w:val="13"/>
                <w:szCs w:val="13"/>
                <w:color w:val="auto"/>
              </w:rPr>
              <w:t>Bonds*</w:t>
            </w:r>
          </w:p>
        </w:tc>
        <w:tc>
          <w:tcPr>
            <w:tcW w:w="120" w:type="dxa"/>
            <w:vAlign w:val="bottom"/>
          </w:tcPr>
          <w:p>
            <w:pPr>
              <w:spacing w:after="0"/>
              <w:rPr>
                <w:sz w:val="13"/>
                <w:szCs w:val="13"/>
                <w:color w:val="auto"/>
              </w:rPr>
            </w:pPr>
          </w:p>
        </w:tc>
        <w:tc>
          <w:tcPr>
            <w:tcW w:w="62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tcPr>
          <w:p>
            <w:pPr>
              <w:ind w:lef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3"/>
          </w:tcPr>
          <w:p>
            <w:pPr>
              <w:ind w:left="3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500" w:type="dxa"/>
            <w:vAlign w:val="bottom"/>
            <w:gridSpan w:val="2"/>
          </w:tcPr>
          <w:p>
            <w:pPr>
              <w:ind w:left="260"/>
              <w:spacing w:after="0"/>
              <w:rPr>
                <w:sz w:val="20"/>
                <w:szCs w:val="20"/>
                <w:color w:val="auto"/>
              </w:rPr>
            </w:pPr>
            <w:r>
              <w:rPr>
                <w:rFonts w:ascii="Arial" w:cs="Arial" w:eastAsia="Arial" w:hAnsi="Arial"/>
                <w:sz w:val="13"/>
                <w:szCs w:val="13"/>
                <w:b w:val="1"/>
                <w:bCs w:val="1"/>
                <w:color w:val="auto"/>
              </w:rPr>
              <w:t>—</w:t>
            </w:r>
          </w:p>
        </w:tc>
      </w:tr>
      <w:tr>
        <w:trPr>
          <w:trHeight w:val="152"/>
        </w:trPr>
        <w:tc>
          <w:tcPr>
            <w:tcW w:w="3580" w:type="dxa"/>
            <w:vAlign w:val="bottom"/>
            <w:shd w:val="clear" w:color="auto" w:fill="CCEEFF"/>
          </w:tcPr>
          <w:p>
            <w:pPr>
              <w:spacing w:after="0"/>
              <w:rPr>
                <w:sz w:val="20"/>
                <w:szCs w:val="20"/>
                <w:color w:val="auto"/>
              </w:rPr>
            </w:pPr>
            <w:r>
              <w:rPr>
                <w:rFonts w:ascii="Arial" w:cs="Arial" w:eastAsia="Arial" w:hAnsi="Arial"/>
                <w:sz w:val="13"/>
                <w:szCs w:val="13"/>
                <w:color w:val="auto"/>
              </w:rPr>
              <w:t>Accounts receivables</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20" w:type="dxa"/>
            <w:vAlign w:val="bottom"/>
            <w:gridSpan w:val="5"/>
            <w:shd w:val="clear" w:color="auto" w:fill="CCEEFF"/>
          </w:tcPr>
          <w:p>
            <w:pPr>
              <w:ind w:left="680"/>
              <w:spacing w:after="0"/>
              <w:rPr>
                <w:sz w:val="20"/>
                <w:szCs w:val="20"/>
                <w:color w:val="auto"/>
              </w:rPr>
            </w:pPr>
            <w:r>
              <w:rPr>
                <w:rFonts w:ascii="Arial" w:cs="Arial" w:eastAsia="Arial" w:hAnsi="Arial"/>
                <w:sz w:val="13"/>
                <w:szCs w:val="13"/>
                <w:color w:val="auto"/>
              </w:rPr>
              <w:t>330</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3"/>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330</w:t>
            </w:r>
          </w:p>
        </w:tc>
      </w:tr>
      <w:tr>
        <w:trPr>
          <w:trHeight w:val="152"/>
        </w:trPr>
        <w:tc>
          <w:tcPr>
            <w:tcW w:w="3580" w:type="dxa"/>
            <w:vAlign w:val="bottom"/>
          </w:tcPr>
          <w:p>
            <w:pPr>
              <w:spacing w:after="0"/>
              <w:rPr>
                <w:sz w:val="20"/>
                <w:szCs w:val="20"/>
                <w:color w:val="auto"/>
              </w:rPr>
            </w:pPr>
            <w:r>
              <w:rPr>
                <w:rFonts w:ascii="Arial" w:cs="Arial" w:eastAsia="Arial" w:hAnsi="Arial"/>
                <w:sz w:val="13"/>
                <w:szCs w:val="13"/>
                <w:color w:val="auto"/>
              </w:rPr>
              <w:t>Other current/non-current assets</w:t>
            </w:r>
          </w:p>
        </w:tc>
        <w:tc>
          <w:tcPr>
            <w:tcW w:w="120" w:type="dxa"/>
            <w:vAlign w:val="bottom"/>
          </w:tcPr>
          <w:p>
            <w:pPr>
              <w:spacing w:after="0"/>
              <w:rPr>
                <w:sz w:val="13"/>
                <w:szCs w:val="13"/>
                <w:color w:val="auto"/>
              </w:rPr>
            </w:pPr>
          </w:p>
        </w:tc>
        <w:tc>
          <w:tcPr>
            <w:tcW w:w="62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020" w:type="dxa"/>
            <w:vAlign w:val="bottom"/>
            <w:gridSpan w:val="5"/>
          </w:tcPr>
          <w:p>
            <w:pPr>
              <w:jc w:val="right"/>
              <w:ind w:right="160"/>
              <w:spacing w:after="0"/>
              <w:rPr>
                <w:sz w:val="20"/>
                <w:szCs w:val="20"/>
                <w:color w:val="auto"/>
              </w:rPr>
            </w:pPr>
            <w:r>
              <w:rPr>
                <w:rFonts w:ascii="Arial" w:cs="Arial" w:eastAsia="Arial" w:hAnsi="Arial"/>
                <w:sz w:val="13"/>
                <w:szCs w:val="13"/>
                <w:color w:val="auto"/>
              </w:rPr>
              <w:t>5,158</w:t>
            </w:r>
          </w:p>
        </w:tc>
        <w:tc>
          <w:tcPr>
            <w:tcW w:w="120" w:type="dxa"/>
            <w:vAlign w:val="bottom"/>
          </w:tcPr>
          <w:p>
            <w:pPr>
              <w:spacing w:after="0"/>
              <w:rPr>
                <w:sz w:val="13"/>
                <w:szCs w:val="13"/>
                <w:color w:val="auto"/>
              </w:rPr>
            </w:pPr>
          </w:p>
        </w:tc>
        <w:tc>
          <w:tcPr>
            <w:tcW w:w="6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3"/>
          </w:tcPr>
          <w:p>
            <w:pPr>
              <w:ind w:left="38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rPr>
              <w:t>5,158</w:t>
            </w:r>
          </w:p>
        </w:tc>
        <w:tc>
          <w:tcPr>
            <w:tcW w:w="40" w:type="dxa"/>
            <w:vAlign w:val="bottom"/>
          </w:tcPr>
          <w:p>
            <w:pPr>
              <w:spacing w:after="0"/>
              <w:rPr>
                <w:sz w:val="13"/>
                <w:szCs w:val="13"/>
                <w:color w:val="auto"/>
              </w:rPr>
            </w:pPr>
          </w:p>
        </w:tc>
      </w:tr>
      <w:tr>
        <w:trPr>
          <w:trHeight w:val="152"/>
        </w:trPr>
        <w:tc>
          <w:tcPr>
            <w:tcW w:w="35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Current/non-current liabilities</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2"/>
        </w:trPr>
        <w:tc>
          <w:tcPr>
            <w:tcW w:w="3580" w:type="dxa"/>
            <w:vAlign w:val="bottom"/>
          </w:tcPr>
          <w:p>
            <w:pPr>
              <w:spacing w:after="0"/>
              <w:rPr>
                <w:sz w:val="20"/>
                <w:szCs w:val="20"/>
                <w:color w:val="auto"/>
              </w:rPr>
            </w:pPr>
            <w:r>
              <w:rPr>
                <w:rFonts w:ascii="Arial" w:cs="Arial" w:eastAsia="Arial" w:hAnsi="Arial"/>
                <w:sz w:val="13"/>
                <w:szCs w:val="13"/>
                <w:color w:val="auto"/>
              </w:rPr>
              <w:t>Accounts payable</w:t>
            </w:r>
          </w:p>
        </w:tc>
        <w:tc>
          <w:tcPr>
            <w:tcW w:w="120" w:type="dxa"/>
            <w:vAlign w:val="bottom"/>
          </w:tcPr>
          <w:p>
            <w:pPr>
              <w:spacing w:after="0"/>
              <w:rPr>
                <w:sz w:val="13"/>
                <w:szCs w:val="13"/>
                <w:color w:val="auto"/>
              </w:rPr>
            </w:pPr>
          </w:p>
        </w:tc>
        <w:tc>
          <w:tcPr>
            <w:tcW w:w="62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tcPr>
          <w:p>
            <w:pPr>
              <w:ind w:lef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4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000" w:type="dxa"/>
            <w:vAlign w:val="bottom"/>
            <w:gridSpan w:val="5"/>
          </w:tcPr>
          <w:p>
            <w:pPr>
              <w:jc w:val="right"/>
              <w:ind w:right="140"/>
              <w:spacing w:after="0"/>
              <w:rPr>
                <w:sz w:val="20"/>
                <w:szCs w:val="20"/>
                <w:color w:val="auto"/>
              </w:rPr>
            </w:pPr>
            <w:r>
              <w:rPr>
                <w:rFonts w:ascii="Arial" w:cs="Arial" w:eastAsia="Arial" w:hAnsi="Arial"/>
                <w:sz w:val="13"/>
                <w:szCs w:val="13"/>
                <w:color w:val="auto"/>
              </w:rPr>
              <w:t>19,212</w:t>
            </w:r>
          </w:p>
        </w:tc>
        <w:tc>
          <w:tcPr>
            <w:tcW w:w="64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19,212</w:t>
            </w:r>
          </w:p>
        </w:tc>
      </w:tr>
      <w:tr>
        <w:trPr>
          <w:trHeight w:val="152"/>
        </w:trPr>
        <w:tc>
          <w:tcPr>
            <w:tcW w:w="3580" w:type="dxa"/>
            <w:vAlign w:val="bottom"/>
            <w:shd w:val="clear" w:color="auto" w:fill="CCEEFF"/>
          </w:tcPr>
          <w:p>
            <w:pPr>
              <w:spacing w:after="0"/>
              <w:rPr>
                <w:sz w:val="20"/>
                <w:szCs w:val="20"/>
                <w:color w:val="auto"/>
              </w:rPr>
            </w:pPr>
            <w:r>
              <w:rPr>
                <w:rFonts w:ascii="Arial" w:cs="Arial" w:eastAsia="Arial" w:hAnsi="Arial"/>
                <w:sz w:val="13"/>
                <w:szCs w:val="13"/>
                <w:color w:val="auto"/>
              </w:rPr>
              <w:t>Other current liabilities</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3"/>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58</w:t>
            </w:r>
          </w:p>
        </w:tc>
        <w:tc>
          <w:tcPr>
            <w:tcW w:w="40" w:type="dxa"/>
            <w:vAlign w:val="bottom"/>
            <w:shd w:val="clear" w:color="auto" w:fill="CCEEFF"/>
          </w:tcPr>
          <w:p>
            <w:pPr>
              <w:spacing w:after="0"/>
              <w:rPr>
                <w:sz w:val="13"/>
                <w:szCs w:val="13"/>
                <w:color w:val="auto"/>
              </w:rPr>
            </w:pPr>
          </w:p>
        </w:tc>
      </w:tr>
      <w:tr>
        <w:trPr>
          <w:trHeight w:val="152"/>
        </w:trPr>
        <w:tc>
          <w:tcPr>
            <w:tcW w:w="3580" w:type="dxa"/>
            <w:vAlign w:val="bottom"/>
          </w:tcPr>
          <w:p>
            <w:pPr>
              <w:spacing w:after="0"/>
              <w:rPr>
                <w:sz w:val="20"/>
                <w:szCs w:val="20"/>
                <w:color w:val="auto"/>
              </w:rPr>
            </w:pPr>
            <w:r>
              <w:rPr>
                <w:rFonts w:ascii="Arial" w:cs="Arial" w:eastAsia="Arial" w:hAnsi="Arial"/>
                <w:sz w:val="13"/>
                <w:szCs w:val="13"/>
                <w:color w:val="auto"/>
              </w:rPr>
              <w:t>Liabilities for warrants</w:t>
            </w:r>
          </w:p>
        </w:tc>
        <w:tc>
          <w:tcPr>
            <w:tcW w:w="120" w:type="dxa"/>
            <w:vAlign w:val="bottom"/>
          </w:tcPr>
          <w:p>
            <w:pPr>
              <w:spacing w:after="0"/>
              <w:rPr>
                <w:sz w:val="13"/>
                <w:szCs w:val="13"/>
                <w:color w:val="auto"/>
              </w:rPr>
            </w:pPr>
          </w:p>
        </w:tc>
        <w:tc>
          <w:tcPr>
            <w:tcW w:w="62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tcPr>
          <w:p>
            <w:pPr>
              <w:ind w:left="400"/>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22,622</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3"/>
          </w:tcPr>
          <w:p>
            <w:pPr>
              <w:ind w:left="380"/>
              <w:spacing w:after="0"/>
              <w:rPr>
                <w:sz w:val="20"/>
                <w:szCs w:val="20"/>
                <w:color w:val="auto"/>
              </w:rPr>
            </w:pPr>
            <w:r>
              <w:rPr>
                <w:rFonts w:ascii="Arial" w:cs="Arial" w:eastAsia="Arial" w:hAnsi="Arial"/>
                <w:sz w:val="13"/>
                <w:szCs w:val="13"/>
                <w:color w:val="auto"/>
              </w:rPr>
              <w:t>—</w:t>
            </w:r>
          </w:p>
        </w:tc>
        <w:tc>
          <w:tcPr>
            <w:tcW w:w="64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22,622</w:t>
            </w:r>
          </w:p>
        </w:tc>
      </w:tr>
      <w:tr>
        <w:trPr>
          <w:trHeight w:val="152"/>
        </w:trPr>
        <w:tc>
          <w:tcPr>
            <w:tcW w:w="3580" w:type="dxa"/>
            <w:vAlign w:val="bottom"/>
            <w:shd w:val="clear" w:color="auto" w:fill="CCEEFF"/>
          </w:tcPr>
          <w:p>
            <w:pPr>
              <w:spacing w:after="0"/>
              <w:rPr>
                <w:sz w:val="20"/>
                <w:szCs w:val="20"/>
                <w:color w:val="auto"/>
              </w:rPr>
            </w:pPr>
            <w:r>
              <w:rPr>
                <w:rFonts w:ascii="Arial" w:cs="Arial" w:eastAsia="Arial" w:hAnsi="Arial"/>
                <w:sz w:val="13"/>
                <w:szCs w:val="13"/>
                <w:color w:val="auto"/>
              </w:rPr>
              <w:t>Lease liabilities</w:t>
            </w:r>
          </w:p>
        </w:tc>
        <w:tc>
          <w:tcPr>
            <w:tcW w:w="120" w:type="dxa"/>
            <w:vAlign w:val="bottom"/>
            <w:shd w:val="clear" w:color="auto" w:fill="CCEEFF"/>
          </w:tcPr>
          <w:p>
            <w:pPr>
              <w:spacing w:after="0"/>
              <w:rPr>
                <w:sz w:val="13"/>
                <w:szCs w:val="13"/>
                <w:color w:val="auto"/>
              </w:rPr>
            </w:pPr>
          </w:p>
        </w:tc>
        <w:tc>
          <w:tcPr>
            <w:tcW w:w="620" w:type="dxa"/>
            <w:vAlign w:val="bottom"/>
            <w:tcBorders>
              <w:bottom w:val="single" w:sz="8" w:color="auto"/>
            </w:tcBorders>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tcBorders>
              <w:bottom w:val="single" w:sz="8" w:color="auto"/>
            </w:tcBorders>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tcBorders>
              <w:bottom w:val="single" w:sz="8" w:color="auto"/>
            </w:tcBorders>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spacing w:after="0"/>
              <w:rPr>
                <w:sz w:val="13"/>
                <w:szCs w:val="13"/>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16,822</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16,822</w:t>
            </w:r>
          </w:p>
        </w:tc>
        <w:tc>
          <w:tcPr>
            <w:tcW w:w="40" w:type="dxa"/>
            <w:vAlign w:val="bottom"/>
            <w:shd w:val="clear" w:color="auto" w:fill="CCEEFF"/>
          </w:tcPr>
          <w:p>
            <w:pPr>
              <w:spacing w:after="0"/>
              <w:rPr>
                <w:sz w:val="13"/>
                <w:szCs w:val="13"/>
                <w:color w:val="auto"/>
              </w:rPr>
            </w:pPr>
          </w:p>
        </w:tc>
      </w:tr>
      <w:tr>
        <w:trPr>
          <w:trHeight w:val="159"/>
        </w:trPr>
        <w:tc>
          <w:tcPr>
            <w:tcW w:w="358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3"/>
                <w:szCs w:val="13"/>
                <w:color w:val="auto"/>
              </w:rPr>
            </w:pPr>
          </w:p>
        </w:tc>
        <w:tc>
          <w:tcPr>
            <w:tcW w:w="620" w:type="dxa"/>
            <w:vAlign w:val="bottom"/>
            <w:tcBorders>
              <w:bottom w:val="single" w:sz="8" w:color="auto"/>
            </w:tcBorders>
            <w:gridSpan w:val="2"/>
          </w:tcPr>
          <w:p>
            <w:pPr>
              <w:ind w:left="4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353,115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22,622</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36,092</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r>
      <w:tr>
        <w:trPr>
          <w:trHeight w:val="284"/>
        </w:trPr>
        <w:tc>
          <w:tcPr>
            <w:tcW w:w="35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11"/>
          </w:tcPr>
          <w:p>
            <w:pPr>
              <w:jc w:val="center"/>
              <w:ind w:right="420"/>
              <w:spacing w:after="0"/>
              <w:rPr>
                <w:sz w:val="20"/>
                <w:szCs w:val="20"/>
                <w:color w:val="auto"/>
              </w:rPr>
            </w:pPr>
            <w:r>
              <w:rPr>
                <w:rFonts w:ascii="Arial" w:cs="Arial" w:eastAsia="Arial" w:hAnsi="Arial"/>
                <w:sz w:val="10"/>
                <w:szCs w:val="10"/>
                <w:b w:val="1"/>
                <w:bCs w:val="1"/>
                <w:color w:val="auto"/>
                <w:w w:val="91"/>
              </w:rPr>
              <w:t>Carrying amount per measurement category</w:t>
            </w: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94"/>
        </w:trPr>
        <w:tc>
          <w:tcPr>
            <w:tcW w:w="3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40" w:type="dxa"/>
            <w:vAlign w:val="bottom"/>
            <w:gridSpan w:val="7"/>
          </w:tcPr>
          <w:p>
            <w:pPr>
              <w:ind w:left="300"/>
              <w:spacing w:after="0" w:line="94" w:lineRule="exact"/>
              <w:rPr>
                <w:sz w:val="20"/>
                <w:szCs w:val="20"/>
                <w:color w:val="auto"/>
              </w:rPr>
            </w:pPr>
            <w:r>
              <w:rPr>
                <w:rFonts w:ascii="Arial" w:cs="Arial" w:eastAsia="Arial" w:hAnsi="Arial"/>
                <w:sz w:val="10"/>
                <w:szCs w:val="10"/>
                <w:b w:val="1"/>
                <w:bCs w:val="1"/>
                <w:color w:val="auto"/>
              </w:rPr>
              <w:t>Financial assets</w:t>
            </w: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gridSpan w:val="5"/>
          </w:tcPr>
          <w:p>
            <w:pPr>
              <w:jc w:val="center"/>
              <w:ind w:right="180"/>
              <w:spacing w:after="0" w:line="94" w:lineRule="exact"/>
              <w:rPr>
                <w:sz w:val="20"/>
                <w:szCs w:val="20"/>
                <w:color w:val="auto"/>
              </w:rPr>
            </w:pPr>
            <w:r>
              <w:rPr>
                <w:rFonts w:ascii="Arial" w:cs="Arial" w:eastAsia="Arial" w:hAnsi="Arial"/>
                <w:sz w:val="10"/>
                <w:szCs w:val="10"/>
                <w:b w:val="1"/>
                <w:bCs w:val="1"/>
                <w:color w:val="auto"/>
                <w:w w:val="92"/>
              </w:rPr>
              <w:t>Financial liabilities</w:t>
            </w: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79"/>
        </w:trPr>
        <w:tc>
          <w:tcPr>
            <w:tcW w:w="3580" w:type="dxa"/>
            <w:vAlign w:val="bottom"/>
          </w:tcPr>
          <w:p>
            <w:pPr>
              <w:spacing w:after="0"/>
              <w:rPr>
                <w:sz w:val="6"/>
                <w:szCs w:val="6"/>
                <w:color w:val="auto"/>
              </w:rPr>
            </w:pPr>
          </w:p>
        </w:tc>
        <w:tc>
          <w:tcPr>
            <w:tcW w:w="740" w:type="dxa"/>
            <w:vAlign w:val="bottom"/>
            <w:tcBorders>
              <w:top w:val="single" w:sz="8" w:color="auto"/>
            </w:tcBorders>
            <w:gridSpan w:val="3"/>
          </w:tcPr>
          <w:p>
            <w:pPr>
              <w:jc w:val="center"/>
              <w:ind w:right="100"/>
              <w:spacing w:after="0" w:line="79" w:lineRule="exact"/>
              <w:rPr>
                <w:sz w:val="20"/>
                <w:szCs w:val="20"/>
                <w:color w:val="auto"/>
              </w:rPr>
            </w:pPr>
            <w:r>
              <w:rPr>
                <w:rFonts w:ascii="Arial" w:cs="Arial" w:eastAsia="Arial" w:hAnsi="Arial"/>
                <w:sz w:val="9"/>
                <w:szCs w:val="9"/>
                <w:b w:val="1"/>
                <w:bCs w:val="1"/>
                <w:color w:val="auto"/>
              </w:rPr>
              <w:t>At fair value</w:t>
            </w:r>
          </w:p>
        </w:tc>
        <w:tc>
          <w:tcPr>
            <w:tcW w:w="16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Borders>
              <w:top w:val="single" w:sz="8" w:color="auto"/>
            </w:tcBorders>
            <w:gridSpan w:val="3"/>
          </w:tcPr>
          <w:p>
            <w:pPr>
              <w:jc w:val="center"/>
              <w:ind w:right="140"/>
              <w:spacing w:after="0" w:line="79" w:lineRule="exact"/>
              <w:rPr>
                <w:sz w:val="20"/>
                <w:szCs w:val="20"/>
                <w:color w:val="auto"/>
              </w:rPr>
            </w:pPr>
            <w:r>
              <w:rPr>
                <w:rFonts w:ascii="Arial" w:cs="Arial" w:eastAsia="Arial" w:hAnsi="Arial"/>
                <w:sz w:val="9"/>
                <w:szCs w:val="9"/>
                <w:b w:val="1"/>
                <w:bCs w:val="1"/>
                <w:color w:val="auto"/>
              </w:rPr>
              <w:t>At fair value</w:t>
            </w:r>
          </w:p>
        </w:tc>
        <w:tc>
          <w:tcPr>
            <w:tcW w:w="14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r>
      <w:tr>
        <w:trPr>
          <w:trHeight w:val="104"/>
        </w:trPr>
        <w:tc>
          <w:tcPr>
            <w:tcW w:w="3580" w:type="dxa"/>
            <w:vAlign w:val="bottom"/>
          </w:tcPr>
          <w:p>
            <w:pPr>
              <w:spacing w:after="0"/>
              <w:rPr>
                <w:sz w:val="9"/>
                <w:szCs w:val="9"/>
                <w:color w:val="auto"/>
              </w:rPr>
            </w:pPr>
          </w:p>
        </w:tc>
        <w:tc>
          <w:tcPr>
            <w:tcW w:w="740" w:type="dxa"/>
            <w:vAlign w:val="bottom"/>
            <w:gridSpan w:val="3"/>
          </w:tcPr>
          <w:p>
            <w:pPr>
              <w:jc w:val="center"/>
              <w:ind w:right="80"/>
              <w:spacing w:after="0" w:line="104" w:lineRule="exact"/>
              <w:rPr>
                <w:sz w:val="20"/>
                <w:szCs w:val="20"/>
                <w:color w:val="auto"/>
              </w:rPr>
            </w:pPr>
            <w:r>
              <w:rPr>
                <w:rFonts w:ascii="Arial" w:cs="Arial" w:eastAsia="Arial" w:hAnsi="Arial"/>
                <w:sz w:val="10"/>
                <w:szCs w:val="10"/>
                <w:b w:val="1"/>
                <w:bCs w:val="1"/>
                <w:color w:val="auto"/>
                <w:w w:val="93"/>
              </w:rPr>
              <w:t>through profit</w:t>
            </w:r>
          </w:p>
        </w:tc>
        <w:tc>
          <w:tcPr>
            <w:tcW w:w="160" w:type="dxa"/>
            <w:vAlign w:val="bottom"/>
          </w:tcPr>
          <w:p>
            <w:pPr>
              <w:spacing w:after="0"/>
              <w:rPr>
                <w:sz w:val="9"/>
                <w:szCs w:val="9"/>
                <w:color w:val="auto"/>
              </w:rPr>
            </w:pPr>
          </w:p>
        </w:tc>
        <w:tc>
          <w:tcPr>
            <w:tcW w:w="860" w:type="dxa"/>
            <w:vAlign w:val="bottom"/>
            <w:gridSpan w:val="4"/>
          </w:tcPr>
          <w:p>
            <w:pPr>
              <w:jc w:val="right"/>
              <w:ind w:right="280"/>
              <w:spacing w:after="0" w:line="104" w:lineRule="exact"/>
              <w:rPr>
                <w:sz w:val="20"/>
                <w:szCs w:val="20"/>
                <w:color w:val="auto"/>
              </w:rPr>
            </w:pPr>
            <w:r>
              <w:rPr>
                <w:rFonts w:ascii="Arial" w:cs="Arial" w:eastAsia="Arial" w:hAnsi="Arial"/>
                <w:sz w:val="10"/>
                <w:szCs w:val="10"/>
                <w:b w:val="1"/>
                <w:bCs w:val="1"/>
                <w:color w:val="auto"/>
                <w:w w:val="92"/>
              </w:rPr>
              <w:t>At amortized</w:t>
            </w:r>
          </w:p>
        </w:tc>
        <w:tc>
          <w:tcPr>
            <w:tcW w:w="760" w:type="dxa"/>
            <w:vAlign w:val="bottom"/>
            <w:gridSpan w:val="3"/>
          </w:tcPr>
          <w:p>
            <w:pPr>
              <w:jc w:val="center"/>
              <w:ind w:right="140"/>
              <w:spacing w:after="0" w:line="104" w:lineRule="exact"/>
              <w:rPr>
                <w:sz w:val="20"/>
                <w:szCs w:val="20"/>
                <w:color w:val="auto"/>
              </w:rPr>
            </w:pPr>
            <w:r>
              <w:rPr>
                <w:rFonts w:ascii="Arial" w:cs="Arial" w:eastAsia="Arial" w:hAnsi="Arial"/>
                <w:sz w:val="10"/>
                <w:szCs w:val="10"/>
                <w:b w:val="1"/>
                <w:bCs w:val="1"/>
                <w:color w:val="auto"/>
                <w:w w:val="93"/>
              </w:rPr>
              <w:t>through profit</w:t>
            </w:r>
          </w:p>
        </w:tc>
        <w:tc>
          <w:tcPr>
            <w:tcW w:w="140" w:type="dxa"/>
            <w:vAlign w:val="bottom"/>
          </w:tcPr>
          <w:p>
            <w:pPr>
              <w:spacing w:after="0"/>
              <w:rPr>
                <w:sz w:val="9"/>
                <w:szCs w:val="9"/>
                <w:color w:val="auto"/>
              </w:rPr>
            </w:pPr>
          </w:p>
        </w:tc>
        <w:tc>
          <w:tcPr>
            <w:tcW w:w="860" w:type="dxa"/>
            <w:vAlign w:val="bottom"/>
            <w:gridSpan w:val="4"/>
          </w:tcPr>
          <w:p>
            <w:pPr>
              <w:jc w:val="center"/>
              <w:ind w:right="280"/>
              <w:spacing w:after="0" w:line="104" w:lineRule="exact"/>
              <w:rPr>
                <w:sz w:val="20"/>
                <w:szCs w:val="20"/>
                <w:color w:val="auto"/>
              </w:rPr>
            </w:pPr>
            <w:r>
              <w:rPr>
                <w:rFonts w:ascii="Arial" w:cs="Arial" w:eastAsia="Arial" w:hAnsi="Arial"/>
                <w:sz w:val="10"/>
                <w:szCs w:val="10"/>
                <w:b w:val="1"/>
                <w:bCs w:val="1"/>
                <w:color w:val="auto"/>
                <w:w w:val="95"/>
              </w:rPr>
              <w:t>At amortized</w:t>
            </w:r>
          </w:p>
        </w:tc>
        <w:tc>
          <w:tcPr>
            <w:tcW w:w="640" w:type="dxa"/>
            <w:vAlign w:val="bottom"/>
            <w:gridSpan w:val="3"/>
          </w:tcPr>
          <w:p>
            <w:pPr>
              <w:spacing w:after="0" w:line="104" w:lineRule="exact"/>
              <w:rPr>
                <w:sz w:val="20"/>
                <w:szCs w:val="20"/>
                <w:color w:val="auto"/>
              </w:rPr>
            </w:pPr>
            <w:r>
              <w:rPr>
                <w:rFonts w:ascii="Arial" w:cs="Arial" w:eastAsia="Arial" w:hAnsi="Arial"/>
                <w:sz w:val="10"/>
                <w:szCs w:val="10"/>
                <w:b w:val="1"/>
                <w:bCs w:val="1"/>
                <w:color w:val="auto"/>
                <w:w w:val="95"/>
              </w:rPr>
              <w:t>December 31,</w:t>
            </w:r>
          </w:p>
        </w:tc>
      </w:tr>
      <w:tr>
        <w:trPr>
          <w:trHeight w:val="119"/>
        </w:trPr>
        <w:tc>
          <w:tcPr>
            <w:tcW w:w="3580" w:type="dxa"/>
            <w:vAlign w:val="bottom"/>
          </w:tcPr>
          <w:p>
            <w:pPr>
              <w:spacing w:after="0"/>
              <w:rPr>
                <w:sz w:val="20"/>
                <w:szCs w:val="20"/>
                <w:color w:val="auto"/>
              </w:rPr>
            </w:pPr>
            <w:r>
              <w:rPr>
                <w:rFonts w:ascii="Arial" w:cs="Arial" w:eastAsia="Arial" w:hAnsi="Arial"/>
                <w:sz w:val="10"/>
                <w:szCs w:val="10"/>
                <w:b w:val="1"/>
                <w:bCs w:val="1"/>
                <w:color w:val="auto"/>
              </w:rPr>
              <w:t>Euros in thousands</w:t>
            </w:r>
          </w:p>
        </w:tc>
        <w:tc>
          <w:tcPr>
            <w:tcW w:w="120" w:type="dxa"/>
            <w:vAlign w:val="bottom"/>
          </w:tcPr>
          <w:p>
            <w:pPr>
              <w:spacing w:after="0"/>
              <w:rPr>
                <w:sz w:val="10"/>
                <w:szCs w:val="10"/>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8"/>
              </w:rPr>
              <w:t>and loss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3"/>
          </w:tcPr>
          <w:p>
            <w:pPr>
              <w:ind w:left="100"/>
              <w:spacing w:after="0"/>
              <w:rPr>
                <w:sz w:val="20"/>
                <w:szCs w:val="20"/>
                <w:color w:val="auto"/>
              </w:rPr>
            </w:pPr>
            <w:r>
              <w:rPr>
                <w:rFonts w:ascii="Arial" w:cs="Arial" w:eastAsia="Arial" w:hAnsi="Arial"/>
                <w:sz w:val="10"/>
                <w:szCs w:val="10"/>
                <w:b w:val="1"/>
                <w:bCs w:val="1"/>
                <w:color w:val="auto"/>
              </w:rPr>
              <w:t>cost</w:t>
            </w:r>
          </w:p>
        </w:tc>
        <w:tc>
          <w:tcPr>
            <w:tcW w:w="120" w:type="dxa"/>
            <w:vAlign w:val="bottom"/>
          </w:tcPr>
          <w:p>
            <w:pPr>
              <w:spacing w:after="0"/>
              <w:rPr>
                <w:sz w:val="10"/>
                <w:szCs w:val="10"/>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3"/>
              </w:rPr>
              <w:t>and loss</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3"/>
          </w:tcPr>
          <w:p>
            <w:pPr>
              <w:jc w:val="center"/>
              <w:ind w:right="420"/>
              <w:spacing w:after="0"/>
              <w:rPr>
                <w:sz w:val="20"/>
                <w:szCs w:val="20"/>
                <w:color w:val="auto"/>
              </w:rPr>
            </w:pPr>
            <w:r>
              <w:rPr>
                <w:rFonts w:ascii="Arial" w:cs="Arial" w:eastAsia="Arial" w:hAnsi="Arial"/>
                <w:sz w:val="10"/>
                <w:szCs w:val="10"/>
                <w:b w:val="1"/>
                <w:bCs w:val="1"/>
                <w:color w:val="auto"/>
                <w:w w:val="87"/>
              </w:rPr>
              <w:t>cost</w:t>
            </w:r>
          </w:p>
        </w:tc>
        <w:tc>
          <w:tcPr>
            <w:tcW w:w="600" w:type="dxa"/>
            <w:vAlign w:val="bottom"/>
            <w:gridSpan w:val="2"/>
          </w:tcPr>
          <w:p>
            <w:pPr>
              <w:jc w:val="right"/>
              <w:ind w:right="139"/>
              <w:spacing w:after="0"/>
              <w:rPr>
                <w:sz w:val="20"/>
                <w:szCs w:val="20"/>
                <w:color w:val="auto"/>
              </w:rPr>
            </w:pPr>
            <w:r>
              <w:rPr>
                <w:rFonts w:ascii="Arial" w:cs="Arial" w:eastAsia="Arial" w:hAnsi="Arial"/>
                <w:sz w:val="10"/>
                <w:szCs w:val="10"/>
                <w:b w:val="1"/>
                <w:bCs w:val="1"/>
                <w:color w:val="auto"/>
              </w:rPr>
              <w:t>2022</w:t>
            </w:r>
          </w:p>
        </w:tc>
        <w:tc>
          <w:tcPr>
            <w:tcW w:w="40" w:type="dxa"/>
            <w:vAlign w:val="bottom"/>
          </w:tcPr>
          <w:p>
            <w:pPr>
              <w:spacing w:after="0"/>
              <w:rPr>
                <w:sz w:val="10"/>
                <w:szCs w:val="10"/>
                <w:color w:val="auto"/>
              </w:rPr>
            </w:pPr>
          </w:p>
        </w:tc>
      </w:tr>
      <w:tr>
        <w:trPr>
          <w:trHeight w:val="141"/>
        </w:trPr>
        <w:tc>
          <w:tcPr>
            <w:tcW w:w="358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Current/non-current assets</w:t>
            </w:r>
          </w:p>
        </w:tc>
        <w:tc>
          <w:tcPr>
            <w:tcW w:w="1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52"/>
        </w:trPr>
        <w:tc>
          <w:tcPr>
            <w:tcW w:w="3580" w:type="dxa"/>
            <w:vAlign w:val="bottom"/>
          </w:tcPr>
          <w:p>
            <w:pPr>
              <w:spacing w:after="0"/>
              <w:rPr>
                <w:sz w:val="20"/>
                <w:szCs w:val="20"/>
                <w:color w:val="auto"/>
              </w:rPr>
            </w:pPr>
            <w:r>
              <w:rPr>
                <w:rFonts w:ascii="Arial" w:cs="Arial" w:eastAsia="Arial" w:hAnsi="Arial"/>
                <w:sz w:val="13"/>
                <w:szCs w:val="13"/>
                <w:color w:val="auto"/>
              </w:rPr>
              <w:t>Cash and cash equivalents</w:t>
            </w:r>
          </w:p>
        </w:tc>
        <w:tc>
          <w:tcPr>
            <w:tcW w:w="12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860" w:type="dxa"/>
            <w:vAlign w:val="bottom"/>
            <w:gridSpan w:val="4"/>
          </w:tcPr>
          <w:p>
            <w:pPr>
              <w:jc w:val="right"/>
              <w:ind w:right="120"/>
              <w:spacing w:after="0"/>
              <w:rPr>
                <w:sz w:val="20"/>
                <w:szCs w:val="20"/>
                <w:color w:val="auto"/>
              </w:rPr>
            </w:pPr>
            <w:r>
              <w:rPr>
                <w:rFonts w:ascii="Arial" w:cs="Arial" w:eastAsia="Arial" w:hAnsi="Arial"/>
                <w:sz w:val="13"/>
                <w:szCs w:val="13"/>
                <w:color w:val="auto"/>
              </w:rPr>
              <w:t>148,519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3"/>
          </w:tcPr>
          <w:p>
            <w:pPr>
              <w:ind w:left="26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rPr>
              <w:t>148,519</w:t>
            </w:r>
          </w:p>
        </w:tc>
        <w:tc>
          <w:tcPr>
            <w:tcW w:w="40" w:type="dxa"/>
            <w:vAlign w:val="bottom"/>
          </w:tcPr>
          <w:p>
            <w:pPr>
              <w:spacing w:after="0"/>
              <w:rPr>
                <w:sz w:val="13"/>
                <w:szCs w:val="13"/>
                <w:color w:val="auto"/>
              </w:rPr>
            </w:pPr>
          </w:p>
        </w:tc>
      </w:tr>
      <w:tr>
        <w:trPr>
          <w:trHeight w:val="152"/>
        </w:trPr>
        <w:tc>
          <w:tcPr>
            <w:tcW w:w="3580" w:type="dxa"/>
            <w:vAlign w:val="bottom"/>
            <w:shd w:val="clear" w:color="auto" w:fill="CCEEFF"/>
          </w:tcPr>
          <w:p>
            <w:pPr>
              <w:spacing w:after="0"/>
              <w:rPr>
                <w:sz w:val="20"/>
                <w:szCs w:val="20"/>
                <w:color w:val="auto"/>
              </w:rPr>
            </w:pPr>
            <w:r>
              <w:rPr>
                <w:rFonts w:ascii="Arial" w:cs="Arial" w:eastAsia="Arial" w:hAnsi="Arial"/>
                <w:sz w:val="13"/>
                <w:szCs w:val="13"/>
                <w:color w:val="auto"/>
              </w:rPr>
              <w:t>Short-term deposits*</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860" w:type="dxa"/>
            <w:vAlign w:val="bottom"/>
            <w:gridSpan w:val="4"/>
            <w:shd w:val="clear" w:color="auto" w:fill="CCEEFF"/>
          </w:tcPr>
          <w:p>
            <w:pPr>
              <w:jc w:val="right"/>
              <w:ind w:right="120"/>
              <w:spacing w:after="0"/>
              <w:rPr>
                <w:sz w:val="20"/>
                <w:szCs w:val="20"/>
                <w:color w:val="auto"/>
              </w:rPr>
            </w:pPr>
            <w:r>
              <w:rPr>
                <w:rFonts w:ascii="Arial" w:cs="Arial" w:eastAsia="Arial" w:hAnsi="Arial"/>
                <w:sz w:val="13"/>
                <w:szCs w:val="13"/>
                <w:color w:val="auto"/>
              </w:rPr>
              <w:t>154,930</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3"/>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154,930</w:t>
            </w:r>
          </w:p>
        </w:tc>
        <w:tc>
          <w:tcPr>
            <w:tcW w:w="40" w:type="dxa"/>
            <w:vAlign w:val="bottom"/>
            <w:shd w:val="clear" w:color="auto" w:fill="CCEEFF"/>
          </w:tcPr>
          <w:p>
            <w:pPr>
              <w:spacing w:after="0"/>
              <w:rPr>
                <w:sz w:val="13"/>
                <w:szCs w:val="13"/>
                <w:color w:val="auto"/>
              </w:rPr>
            </w:pPr>
          </w:p>
        </w:tc>
      </w:tr>
      <w:tr>
        <w:trPr>
          <w:trHeight w:val="152"/>
        </w:trPr>
        <w:tc>
          <w:tcPr>
            <w:tcW w:w="3580" w:type="dxa"/>
            <w:vAlign w:val="bottom"/>
          </w:tcPr>
          <w:p>
            <w:pPr>
              <w:spacing w:after="0"/>
              <w:rPr>
                <w:sz w:val="20"/>
                <w:szCs w:val="20"/>
                <w:color w:val="auto"/>
              </w:rPr>
            </w:pPr>
            <w:r>
              <w:rPr>
                <w:rFonts w:ascii="Arial" w:cs="Arial" w:eastAsia="Arial" w:hAnsi="Arial"/>
                <w:sz w:val="13"/>
                <w:szCs w:val="13"/>
                <w:color w:val="auto"/>
              </w:rPr>
              <w:t>Bonds*</w:t>
            </w:r>
          </w:p>
        </w:tc>
        <w:tc>
          <w:tcPr>
            <w:tcW w:w="12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860" w:type="dxa"/>
            <w:vAlign w:val="bottom"/>
            <w:gridSpan w:val="4"/>
          </w:tcPr>
          <w:p>
            <w:pPr>
              <w:jc w:val="right"/>
              <w:ind w:right="120"/>
              <w:spacing w:after="0"/>
              <w:rPr>
                <w:sz w:val="20"/>
                <w:szCs w:val="20"/>
                <w:color w:val="auto"/>
              </w:rPr>
            </w:pPr>
            <w:r>
              <w:rPr>
                <w:rFonts w:ascii="Arial" w:cs="Arial" w:eastAsia="Arial" w:hAnsi="Arial"/>
                <w:sz w:val="13"/>
                <w:szCs w:val="13"/>
                <w:color w:val="auto"/>
              </w:rPr>
              <w:t>58,756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3"/>
          </w:tcPr>
          <w:p>
            <w:pPr>
              <w:ind w:left="260"/>
              <w:spacing w:after="0"/>
              <w:rPr>
                <w:sz w:val="20"/>
                <w:szCs w:val="20"/>
                <w:color w:val="auto"/>
              </w:rPr>
            </w:pPr>
            <w:r>
              <w:rPr>
                <w:rFonts w:ascii="Arial" w:cs="Arial" w:eastAsia="Arial" w:hAnsi="Arial"/>
                <w:sz w:val="13"/>
                <w:szCs w:val="13"/>
                <w:color w:val="auto"/>
              </w:rPr>
              <w:t>—</w:t>
            </w:r>
          </w:p>
        </w:tc>
        <w:tc>
          <w:tcPr>
            <w:tcW w:w="64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58,756</w:t>
            </w:r>
          </w:p>
        </w:tc>
      </w:tr>
      <w:tr>
        <w:trPr>
          <w:trHeight w:val="152"/>
        </w:trPr>
        <w:tc>
          <w:tcPr>
            <w:tcW w:w="3580" w:type="dxa"/>
            <w:vAlign w:val="bottom"/>
            <w:shd w:val="clear" w:color="auto" w:fill="CCEEFF"/>
          </w:tcPr>
          <w:p>
            <w:pPr>
              <w:spacing w:after="0"/>
              <w:rPr>
                <w:sz w:val="20"/>
                <w:szCs w:val="20"/>
                <w:color w:val="auto"/>
              </w:rPr>
            </w:pPr>
            <w:r>
              <w:rPr>
                <w:rFonts w:ascii="Arial" w:cs="Arial" w:eastAsia="Arial" w:hAnsi="Arial"/>
                <w:sz w:val="13"/>
                <w:szCs w:val="13"/>
                <w:color w:val="auto"/>
              </w:rPr>
              <w:t>Accounts receivables</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860" w:type="dxa"/>
            <w:vAlign w:val="bottom"/>
            <w:gridSpan w:val="4"/>
            <w:shd w:val="clear" w:color="auto" w:fill="CCEEFF"/>
          </w:tcPr>
          <w:p>
            <w:pPr>
              <w:jc w:val="right"/>
              <w:ind w:right="120"/>
              <w:spacing w:after="0"/>
              <w:rPr>
                <w:sz w:val="20"/>
                <w:szCs w:val="20"/>
                <w:color w:val="auto"/>
              </w:rPr>
            </w:pPr>
            <w:r>
              <w:rPr>
                <w:rFonts w:ascii="Arial" w:cs="Arial" w:eastAsia="Arial" w:hAnsi="Arial"/>
                <w:sz w:val="13"/>
                <w:szCs w:val="13"/>
                <w:color w:val="auto"/>
              </w:rPr>
              <w:t>1,111</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3"/>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1,111</w:t>
            </w:r>
          </w:p>
        </w:tc>
        <w:tc>
          <w:tcPr>
            <w:tcW w:w="40" w:type="dxa"/>
            <w:vAlign w:val="bottom"/>
            <w:shd w:val="clear" w:color="auto" w:fill="CCEEFF"/>
          </w:tcPr>
          <w:p>
            <w:pPr>
              <w:spacing w:after="0"/>
              <w:rPr>
                <w:sz w:val="13"/>
                <w:szCs w:val="13"/>
                <w:color w:val="auto"/>
              </w:rPr>
            </w:pPr>
          </w:p>
        </w:tc>
      </w:tr>
      <w:tr>
        <w:trPr>
          <w:trHeight w:val="152"/>
        </w:trPr>
        <w:tc>
          <w:tcPr>
            <w:tcW w:w="3580" w:type="dxa"/>
            <w:vAlign w:val="bottom"/>
          </w:tcPr>
          <w:p>
            <w:pPr>
              <w:spacing w:after="0"/>
              <w:rPr>
                <w:sz w:val="20"/>
                <w:szCs w:val="20"/>
                <w:color w:val="auto"/>
              </w:rPr>
            </w:pPr>
            <w:r>
              <w:rPr>
                <w:rFonts w:ascii="Arial" w:cs="Arial" w:eastAsia="Arial" w:hAnsi="Arial"/>
                <w:sz w:val="13"/>
                <w:szCs w:val="13"/>
                <w:color w:val="auto"/>
              </w:rPr>
              <w:t>Other current/non-current assets</w:t>
            </w:r>
          </w:p>
        </w:tc>
        <w:tc>
          <w:tcPr>
            <w:tcW w:w="12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860" w:type="dxa"/>
            <w:vAlign w:val="bottom"/>
            <w:gridSpan w:val="4"/>
          </w:tcPr>
          <w:p>
            <w:pPr>
              <w:jc w:val="right"/>
              <w:ind w:right="120"/>
              <w:spacing w:after="0"/>
              <w:rPr>
                <w:sz w:val="20"/>
                <w:szCs w:val="20"/>
                <w:color w:val="auto"/>
              </w:rPr>
            </w:pPr>
            <w:r>
              <w:rPr>
                <w:rFonts w:ascii="Arial" w:cs="Arial" w:eastAsia="Arial" w:hAnsi="Arial"/>
                <w:sz w:val="13"/>
                <w:szCs w:val="13"/>
                <w:color w:val="auto"/>
              </w:rPr>
              <w:t>2,402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3"/>
          </w:tcPr>
          <w:p>
            <w:pPr>
              <w:ind w:left="26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rPr>
              <w:t>2,402</w:t>
            </w:r>
          </w:p>
        </w:tc>
        <w:tc>
          <w:tcPr>
            <w:tcW w:w="40" w:type="dxa"/>
            <w:vAlign w:val="bottom"/>
          </w:tcPr>
          <w:p>
            <w:pPr>
              <w:spacing w:after="0"/>
              <w:rPr>
                <w:sz w:val="13"/>
                <w:szCs w:val="13"/>
                <w:color w:val="auto"/>
              </w:rPr>
            </w:pPr>
          </w:p>
        </w:tc>
      </w:tr>
      <w:tr>
        <w:trPr>
          <w:trHeight w:val="152"/>
        </w:trPr>
        <w:tc>
          <w:tcPr>
            <w:tcW w:w="35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Current/non-current liabilities</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2"/>
        </w:trPr>
        <w:tc>
          <w:tcPr>
            <w:tcW w:w="3580" w:type="dxa"/>
            <w:vAlign w:val="bottom"/>
          </w:tcPr>
          <w:p>
            <w:pPr>
              <w:spacing w:after="0"/>
              <w:rPr>
                <w:sz w:val="20"/>
                <w:szCs w:val="20"/>
                <w:color w:val="auto"/>
              </w:rPr>
            </w:pPr>
            <w:r>
              <w:rPr>
                <w:rFonts w:ascii="Arial" w:cs="Arial" w:eastAsia="Arial" w:hAnsi="Arial"/>
                <w:sz w:val="13"/>
                <w:szCs w:val="13"/>
                <w:color w:val="auto"/>
              </w:rPr>
              <w:t>Accounts payable</w:t>
            </w:r>
          </w:p>
        </w:tc>
        <w:tc>
          <w:tcPr>
            <w:tcW w:w="12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tcPr>
          <w:p>
            <w:pPr>
              <w:ind w:lef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4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860" w:type="dxa"/>
            <w:vAlign w:val="bottom"/>
            <w:gridSpan w:val="4"/>
          </w:tcPr>
          <w:p>
            <w:pPr>
              <w:jc w:val="right"/>
              <w:ind w:right="140"/>
              <w:spacing w:after="0"/>
              <w:rPr>
                <w:sz w:val="20"/>
                <w:szCs w:val="20"/>
                <w:color w:val="auto"/>
              </w:rPr>
            </w:pPr>
            <w:r>
              <w:rPr>
                <w:rFonts w:ascii="Arial" w:cs="Arial" w:eastAsia="Arial" w:hAnsi="Arial"/>
                <w:sz w:val="13"/>
                <w:szCs w:val="13"/>
                <w:color w:val="auto"/>
              </w:rPr>
              <w:t>11,735</w:t>
            </w:r>
          </w:p>
        </w:tc>
        <w:tc>
          <w:tcPr>
            <w:tcW w:w="140" w:type="dxa"/>
            <w:vAlign w:val="bottom"/>
          </w:tcPr>
          <w:p>
            <w:pPr>
              <w:spacing w:after="0"/>
              <w:rPr>
                <w:sz w:val="13"/>
                <w:szCs w:val="13"/>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11,735</w:t>
            </w:r>
          </w:p>
        </w:tc>
      </w:tr>
      <w:tr>
        <w:trPr>
          <w:trHeight w:val="152"/>
        </w:trPr>
        <w:tc>
          <w:tcPr>
            <w:tcW w:w="3580" w:type="dxa"/>
            <w:vAlign w:val="bottom"/>
            <w:shd w:val="clear" w:color="auto" w:fill="CCEEFF"/>
          </w:tcPr>
          <w:p>
            <w:pPr>
              <w:spacing w:after="0"/>
              <w:rPr>
                <w:sz w:val="20"/>
                <w:szCs w:val="20"/>
                <w:color w:val="auto"/>
              </w:rPr>
            </w:pPr>
            <w:r>
              <w:rPr>
                <w:rFonts w:ascii="Arial" w:cs="Arial" w:eastAsia="Arial" w:hAnsi="Arial"/>
                <w:sz w:val="13"/>
                <w:szCs w:val="13"/>
                <w:color w:val="auto"/>
              </w:rPr>
              <w:t>Other current liabilities</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rPr>
              <w:t>54</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54</w:t>
            </w:r>
          </w:p>
        </w:tc>
        <w:tc>
          <w:tcPr>
            <w:tcW w:w="40" w:type="dxa"/>
            <w:vAlign w:val="bottom"/>
            <w:shd w:val="clear" w:color="auto" w:fill="CCEEFF"/>
          </w:tcPr>
          <w:p>
            <w:pPr>
              <w:spacing w:after="0"/>
              <w:rPr>
                <w:sz w:val="13"/>
                <w:szCs w:val="13"/>
                <w:color w:val="auto"/>
              </w:rPr>
            </w:pPr>
          </w:p>
        </w:tc>
      </w:tr>
      <w:tr>
        <w:trPr>
          <w:trHeight w:val="152"/>
        </w:trPr>
        <w:tc>
          <w:tcPr>
            <w:tcW w:w="3580" w:type="dxa"/>
            <w:vAlign w:val="bottom"/>
          </w:tcPr>
          <w:p>
            <w:pPr>
              <w:spacing w:after="0"/>
              <w:rPr>
                <w:sz w:val="20"/>
                <w:szCs w:val="20"/>
                <w:color w:val="auto"/>
              </w:rPr>
            </w:pPr>
            <w:r>
              <w:rPr>
                <w:rFonts w:ascii="Arial" w:cs="Arial" w:eastAsia="Arial" w:hAnsi="Arial"/>
                <w:sz w:val="13"/>
                <w:szCs w:val="13"/>
                <w:color w:val="auto"/>
              </w:rPr>
              <w:t>Liabilities for warrants</w:t>
            </w:r>
          </w:p>
        </w:tc>
        <w:tc>
          <w:tcPr>
            <w:tcW w:w="12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tcPr>
          <w:p>
            <w:pPr>
              <w:ind w:left="280"/>
              <w:spacing w:after="0"/>
              <w:rPr>
                <w:sz w:val="20"/>
                <w:szCs w:val="20"/>
                <w:color w:val="auto"/>
              </w:rPr>
            </w:pPr>
            <w:r>
              <w:rPr>
                <w:rFonts w:ascii="Arial" w:cs="Arial" w:eastAsia="Arial" w:hAnsi="Arial"/>
                <w:sz w:val="13"/>
                <w:szCs w:val="13"/>
                <w:color w:val="auto"/>
              </w:rPr>
              <w:t>—</w:t>
            </w:r>
          </w:p>
        </w:tc>
        <w:tc>
          <w:tcPr>
            <w:tcW w:w="760" w:type="dxa"/>
            <w:vAlign w:val="bottom"/>
            <w:gridSpan w:val="3"/>
          </w:tcPr>
          <w:p>
            <w:pPr>
              <w:ind w:left="280"/>
              <w:spacing w:after="0"/>
              <w:rPr>
                <w:sz w:val="20"/>
                <w:szCs w:val="20"/>
                <w:color w:val="auto"/>
              </w:rPr>
            </w:pPr>
            <w:r>
              <w:rPr>
                <w:rFonts w:ascii="Arial" w:cs="Arial" w:eastAsia="Arial" w:hAnsi="Arial"/>
                <w:sz w:val="13"/>
                <w:szCs w:val="13"/>
                <w:color w:val="auto"/>
              </w:rPr>
              <w:t>16,914</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3"/>
          </w:tcPr>
          <w:p>
            <w:pPr>
              <w:ind w:left="260"/>
              <w:spacing w:after="0"/>
              <w:rPr>
                <w:sz w:val="20"/>
                <w:szCs w:val="20"/>
                <w:color w:val="auto"/>
              </w:rPr>
            </w:pPr>
            <w:r>
              <w:rPr>
                <w:rFonts w:ascii="Arial" w:cs="Arial" w:eastAsia="Arial" w:hAnsi="Arial"/>
                <w:sz w:val="13"/>
                <w:szCs w:val="13"/>
                <w:color w:val="auto"/>
              </w:rPr>
              <w:t>—</w:t>
            </w:r>
          </w:p>
        </w:tc>
        <w:tc>
          <w:tcPr>
            <w:tcW w:w="64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16,914</w:t>
            </w:r>
          </w:p>
        </w:tc>
      </w:tr>
      <w:tr>
        <w:trPr>
          <w:trHeight w:val="152"/>
        </w:trPr>
        <w:tc>
          <w:tcPr>
            <w:tcW w:w="3580" w:type="dxa"/>
            <w:vAlign w:val="bottom"/>
            <w:shd w:val="clear" w:color="auto" w:fill="CCEEFF"/>
          </w:tcPr>
          <w:p>
            <w:pPr>
              <w:spacing w:after="0"/>
              <w:rPr>
                <w:sz w:val="20"/>
                <w:szCs w:val="20"/>
                <w:color w:val="auto"/>
              </w:rPr>
            </w:pPr>
            <w:r>
              <w:rPr>
                <w:rFonts w:ascii="Arial" w:cs="Arial" w:eastAsia="Arial" w:hAnsi="Arial"/>
                <w:sz w:val="13"/>
                <w:szCs w:val="13"/>
                <w:color w:val="auto"/>
              </w:rPr>
              <w:t>Lease liabilities</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14,563</w:t>
            </w:r>
          </w:p>
        </w:tc>
        <w:tc>
          <w:tcPr>
            <w:tcW w:w="1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14,563</w:t>
            </w:r>
          </w:p>
        </w:tc>
      </w:tr>
      <w:tr>
        <w:trPr>
          <w:trHeight w:val="159"/>
        </w:trPr>
        <w:tc>
          <w:tcPr>
            <w:tcW w:w="358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365,718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Borders>
              <w:top w:val="single" w:sz="8" w:color="auto"/>
              <w:bottom w:val="single" w:sz="8" w:color="auto"/>
            </w:tcBorders>
            <w:gridSpan w:val="2"/>
          </w:tcPr>
          <w:p>
            <w:pPr>
              <w:ind w:left="280"/>
              <w:spacing w:after="0"/>
              <w:rPr>
                <w:sz w:val="20"/>
                <w:szCs w:val="20"/>
                <w:color w:val="auto"/>
              </w:rPr>
            </w:pPr>
            <w:r>
              <w:rPr>
                <w:rFonts w:ascii="Arial" w:cs="Arial" w:eastAsia="Arial" w:hAnsi="Arial"/>
                <w:sz w:val="13"/>
                <w:szCs w:val="13"/>
                <w:b w:val="1"/>
                <w:bCs w:val="1"/>
                <w:color w:val="auto"/>
                <w:w w:val="80"/>
              </w:rPr>
              <w:t>16,914</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26,352</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r>
    </w:tbl>
    <w:p>
      <w:pPr>
        <w:spacing w:after="0" w:line="171" w:lineRule="exact"/>
        <w:rPr>
          <w:sz w:val="20"/>
          <w:szCs w:val="20"/>
          <w:color w:val="auto"/>
        </w:rPr>
      </w:pPr>
    </w:p>
    <w:p>
      <w:pPr>
        <w:ind w:left="2080" w:hanging="303"/>
        <w:spacing w:after="0"/>
        <w:tabs>
          <w:tab w:leader="none" w:pos="2080" w:val="left"/>
        </w:tabs>
        <w:numPr>
          <w:ilvl w:val="0"/>
          <w:numId w:val="3"/>
        </w:numPr>
        <w:rPr>
          <w:rFonts w:ascii="Arial" w:cs="Arial" w:eastAsia="Arial" w:hAnsi="Arial"/>
          <w:sz w:val="13"/>
          <w:szCs w:val="13"/>
          <w:color w:val="auto"/>
        </w:rPr>
      </w:pPr>
      <w:r>
        <w:rPr>
          <w:rFonts w:ascii="Arial" w:cs="Arial" w:eastAsia="Arial" w:hAnsi="Arial"/>
          <w:sz w:val="13"/>
          <w:szCs w:val="13"/>
          <w:color w:val="auto"/>
        </w:rPr>
        <w:t>“Short-term deposits” and “Bonds” are classified within the balance sheet item “Other financial assets”</w:t>
      </w:r>
    </w:p>
    <w:p>
      <w:pPr>
        <w:spacing w:after="0" w:line="154" w:lineRule="exact"/>
        <w:rPr>
          <w:sz w:val="20"/>
          <w:szCs w:val="20"/>
          <w:color w:val="auto"/>
        </w:rPr>
      </w:pPr>
    </w:p>
    <w:p>
      <w:pPr>
        <w:ind w:left="1780" w:right="659"/>
        <w:spacing w:after="0" w:line="249" w:lineRule="auto"/>
        <w:rPr>
          <w:sz w:val="20"/>
          <w:szCs w:val="20"/>
          <w:color w:val="auto"/>
        </w:rPr>
      </w:pPr>
      <w:r>
        <w:rPr>
          <w:rFonts w:ascii="Arial" w:cs="Arial" w:eastAsia="Arial" w:hAnsi="Arial"/>
          <w:sz w:val="13"/>
          <w:szCs w:val="13"/>
          <w:color w:val="auto"/>
        </w:rPr>
        <w:t>In all valuation categories with the exception of Bonds, the carrying amount represents a reasonable approximation of the fair value based on the short-term maturities of these instruments. Set out below are the carrying amounts and fair values of the Group’s Bonds as of June 30, 2023 and December 31, 2022. The fair values of the financial assets and liabilities are included at the amount at which the instrument could be exchanged in a current transaction between willing parties, other than in a forced or liquidation sale.</w:t>
      </w:r>
    </w:p>
    <w:p>
      <w:pPr>
        <w:spacing w:after="0" w:line="151" w:lineRule="exact"/>
        <w:rPr>
          <w:sz w:val="20"/>
          <w:szCs w:val="20"/>
          <w:color w:val="auto"/>
        </w:rPr>
      </w:pPr>
    </w:p>
    <w:tbl>
      <w:tblPr>
        <w:tblLayout w:type="fixed"/>
        <w:tblInd w:w="2100" w:type="dxa"/>
        <w:tblCellMar>
          <w:top w:w="0" w:type="dxa"/>
          <w:left w:w="0" w:type="dxa"/>
          <w:bottom w:w="0" w:type="dxa"/>
          <w:right w:w="0" w:type="dxa"/>
        </w:tblCellMar>
      </w:tblPr>
      <w:tr>
        <w:trPr>
          <w:trHeight w:val="119"/>
        </w:trPr>
        <w:tc>
          <w:tcPr>
            <w:tcW w:w="44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b w:val="1"/>
                <w:bCs w:val="1"/>
                <w:color w:val="auto"/>
              </w:rPr>
              <w:t>As of</w:t>
            </w:r>
          </w:p>
        </w:tc>
        <w:tc>
          <w:tcPr>
            <w:tcW w:w="4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4"/>
        </w:trPr>
        <w:tc>
          <w:tcPr>
            <w:tcW w:w="4480" w:type="dxa"/>
            <w:vAlign w:val="bottom"/>
          </w:tcPr>
          <w:p>
            <w:pPr>
              <w:spacing w:after="0"/>
              <w:rPr>
                <w:sz w:val="8"/>
                <w:szCs w:val="8"/>
                <w:color w:val="auto"/>
              </w:rPr>
            </w:pPr>
          </w:p>
        </w:tc>
        <w:tc>
          <w:tcPr>
            <w:tcW w:w="1140" w:type="dxa"/>
            <w:vAlign w:val="bottom"/>
            <w:tcBorders>
              <w:bottom w:val="single" w:sz="8" w:color="auto"/>
            </w:tcBorders>
            <w:gridSpan w:val="3"/>
          </w:tcPr>
          <w:p>
            <w:pPr>
              <w:ind w:left="280"/>
              <w:spacing w:after="0" w:line="94" w:lineRule="exact"/>
              <w:rPr>
                <w:sz w:val="20"/>
                <w:szCs w:val="20"/>
                <w:color w:val="auto"/>
              </w:rPr>
            </w:pPr>
            <w:r>
              <w:rPr>
                <w:rFonts w:ascii="Arial" w:cs="Arial" w:eastAsia="Arial" w:hAnsi="Arial"/>
                <w:sz w:val="10"/>
                <w:szCs w:val="10"/>
                <w:b w:val="1"/>
                <w:bCs w:val="1"/>
                <w:color w:val="auto"/>
              </w:rPr>
              <w:t>June 30, 2023</w:t>
            </w:r>
          </w:p>
        </w:tc>
        <w:tc>
          <w:tcPr>
            <w:tcW w:w="300" w:type="dxa"/>
            <w:vAlign w:val="bottom"/>
          </w:tcPr>
          <w:p>
            <w:pPr>
              <w:spacing w:after="0"/>
              <w:rPr>
                <w:sz w:val="8"/>
                <w:szCs w:val="8"/>
                <w:color w:val="auto"/>
              </w:rPr>
            </w:pPr>
          </w:p>
        </w:tc>
        <w:tc>
          <w:tcPr>
            <w:tcW w:w="1140" w:type="dxa"/>
            <w:vAlign w:val="bottom"/>
            <w:tcBorders>
              <w:bottom w:val="single" w:sz="8" w:color="auto"/>
            </w:tcBorders>
            <w:gridSpan w:val="3"/>
          </w:tcPr>
          <w:p>
            <w:pPr>
              <w:jc w:val="right"/>
              <w:ind w:right="101"/>
              <w:spacing w:after="0" w:line="94" w:lineRule="exact"/>
              <w:rPr>
                <w:sz w:val="20"/>
                <w:szCs w:val="20"/>
                <w:color w:val="auto"/>
              </w:rPr>
            </w:pPr>
            <w:r>
              <w:rPr>
                <w:rFonts w:ascii="Arial" w:cs="Arial" w:eastAsia="Arial" w:hAnsi="Arial"/>
                <w:sz w:val="10"/>
                <w:szCs w:val="10"/>
                <w:b w:val="1"/>
                <w:bCs w:val="1"/>
                <w:color w:val="auto"/>
              </w:rPr>
              <w:t>December 31, 2022</w:t>
            </w:r>
          </w:p>
        </w:tc>
        <w:tc>
          <w:tcPr>
            <w:tcW w:w="40" w:type="dxa"/>
            <w:vAlign w:val="bottom"/>
          </w:tcPr>
          <w:p>
            <w:pPr>
              <w:spacing w:after="0"/>
              <w:rPr>
                <w:sz w:val="8"/>
                <w:szCs w:val="8"/>
                <w:color w:val="auto"/>
              </w:rPr>
            </w:pPr>
          </w:p>
        </w:tc>
      </w:tr>
      <w:tr>
        <w:trPr>
          <w:trHeight w:val="79"/>
        </w:trPr>
        <w:tc>
          <w:tcPr>
            <w:tcW w:w="4480" w:type="dxa"/>
            <w:vAlign w:val="bottom"/>
          </w:tcPr>
          <w:p>
            <w:pPr>
              <w:spacing w:after="0"/>
              <w:rPr>
                <w:sz w:val="6"/>
                <w:szCs w:val="6"/>
                <w:color w:val="auto"/>
              </w:rPr>
            </w:pPr>
          </w:p>
        </w:tc>
        <w:tc>
          <w:tcPr>
            <w:tcW w:w="400" w:type="dxa"/>
            <w:vAlign w:val="bottom"/>
          </w:tcPr>
          <w:p>
            <w:pPr>
              <w:jc w:val="center"/>
              <w:spacing w:after="0" w:line="79" w:lineRule="exact"/>
              <w:rPr>
                <w:sz w:val="20"/>
                <w:szCs w:val="20"/>
                <w:color w:val="auto"/>
              </w:rPr>
            </w:pPr>
            <w:r>
              <w:rPr>
                <w:rFonts w:ascii="Arial" w:cs="Arial" w:eastAsia="Arial" w:hAnsi="Arial"/>
                <w:sz w:val="9"/>
                <w:szCs w:val="9"/>
                <w:b w:val="1"/>
                <w:bCs w:val="1"/>
                <w:color w:val="auto"/>
              </w:rPr>
              <w:t>Carrying</w:t>
            </w: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gridSpan w:val="2"/>
          </w:tcPr>
          <w:p>
            <w:pPr>
              <w:jc w:val="right"/>
              <w:ind w:right="300"/>
              <w:spacing w:after="0" w:line="79" w:lineRule="exact"/>
              <w:rPr>
                <w:sz w:val="20"/>
                <w:szCs w:val="20"/>
                <w:color w:val="auto"/>
              </w:rPr>
            </w:pPr>
            <w:r>
              <w:rPr>
                <w:rFonts w:ascii="Arial" w:cs="Arial" w:eastAsia="Arial" w:hAnsi="Arial"/>
                <w:sz w:val="9"/>
                <w:szCs w:val="9"/>
                <w:b w:val="1"/>
                <w:bCs w:val="1"/>
                <w:color w:val="auto"/>
              </w:rPr>
              <w:t>Carrying</w:t>
            </w: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119"/>
        </w:trPr>
        <w:tc>
          <w:tcPr>
            <w:tcW w:w="4480" w:type="dxa"/>
            <w:vAlign w:val="bottom"/>
          </w:tcPr>
          <w:p>
            <w:pPr>
              <w:spacing w:after="0"/>
              <w:rPr>
                <w:sz w:val="20"/>
                <w:szCs w:val="20"/>
                <w:color w:val="auto"/>
              </w:rPr>
            </w:pPr>
            <w:r>
              <w:rPr>
                <w:rFonts w:ascii="Arial" w:cs="Arial" w:eastAsia="Arial" w:hAnsi="Arial"/>
                <w:sz w:val="10"/>
                <w:szCs w:val="10"/>
                <w:b w:val="1"/>
                <w:bCs w:val="1"/>
                <w:color w:val="auto"/>
              </w:rPr>
              <w:t>Euros in thousands</w:t>
            </w:r>
          </w:p>
        </w:tc>
        <w:tc>
          <w:tcPr>
            <w:tcW w:w="400" w:type="dxa"/>
            <w:vAlign w:val="bottom"/>
          </w:tcPr>
          <w:p>
            <w:pPr>
              <w:jc w:val="center"/>
              <w:spacing w:after="0"/>
              <w:rPr>
                <w:sz w:val="20"/>
                <w:szCs w:val="20"/>
                <w:color w:val="auto"/>
              </w:rPr>
            </w:pPr>
            <w:r>
              <w:rPr>
                <w:rFonts w:ascii="Arial" w:cs="Arial" w:eastAsia="Arial" w:hAnsi="Arial"/>
                <w:sz w:val="10"/>
                <w:szCs w:val="10"/>
                <w:b w:val="1"/>
                <w:bCs w:val="1"/>
                <w:color w:val="auto"/>
                <w:w w:val="88"/>
              </w:rPr>
              <w:t>amount</w:t>
            </w:r>
          </w:p>
        </w:tc>
        <w:tc>
          <w:tcPr>
            <w:tcW w:w="300" w:type="dxa"/>
            <w:vAlign w:val="bottom"/>
          </w:tcPr>
          <w:p>
            <w:pPr>
              <w:spacing w:after="0"/>
              <w:rPr>
                <w:sz w:val="10"/>
                <w:szCs w:val="10"/>
                <w:color w:val="auto"/>
              </w:rPr>
            </w:pPr>
          </w:p>
        </w:tc>
        <w:tc>
          <w:tcPr>
            <w:tcW w:w="440" w:type="dxa"/>
            <w:vAlign w:val="bottom"/>
          </w:tcPr>
          <w:p>
            <w:pPr>
              <w:spacing w:after="0"/>
              <w:rPr>
                <w:sz w:val="20"/>
                <w:szCs w:val="20"/>
                <w:color w:val="auto"/>
              </w:rPr>
            </w:pPr>
            <w:r>
              <w:rPr>
                <w:rFonts w:ascii="Arial" w:cs="Arial" w:eastAsia="Arial" w:hAnsi="Arial"/>
                <w:sz w:val="10"/>
                <w:szCs w:val="10"/>
                <w:b w:val="1"/>
                <w:bCs w:val="1"/>
                <w:color w:val="auto"/>
                <w:w w:val="89"/>
              </w:rPr>
              <w:t>Fair value</w:t>
            </w:r>
          </w:p>
        </w:tc>
        <w:tc>
          <w:tcPr>
            <w:tcW w:w="300" w:type="dxa"/>
            <w:vAlign w:val="bottom"/>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10"/>
                <w:szCs w:val="10"/>
                <w:b w:val="1"/>
                <w:bCs w:val="1"/>
                <w:color w:val="auto"/>
              </w:rPr>
              <w:t>amount</w:t>
            </w:r>
          </w:p>
        </w:tc>
        <w:tc>
          <w:tcPr>
            <w:tcW w:w="48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89"/>
              </w:rPr>
              <w:t>Fair value</w:t>
            </w:r>
          </w:p>
        </w:tc>
      </w:tr>
      <w:tr>
        <w:trPr>
          <w:trHeight w:val="141"/>
        </w:trPr>
        <w:tc>
          <w:tcPr>
            <w:tcW w:w="448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Bonds</w:t>
            </w:r>
          </w:p>
        </w:tc>
        <w:tc>
          <w:tcPr>
            <w:tcW w:w="400" w:type="dxa"/>
            <w:vAlign w:val="bottom"/>
            <w:tcBorders>
              <w:top w:val="single" w:sz="8" w:color="auto"/>
              <w:bottom w:val="single" w:sz="8" w:color="auto"/>
            </w:tcBorders>
            <w:shd w:val="clear" w:color="auto" w:fill="CCEEFF"/>
          </w:tcPr>
          <w:p>
            <w:pPr>
              <w:ind w:left="220"/>
              <w:spacing w:after="0" w:line="141" w:lineRule="exact"/>
              <w:rPr>
                <w:sz w:val="20"/>
                <w:szCs w:val="20"/>
                <w:color w:val="auto"/>
              </w:rPr>
            </w:pPr>
            <w:r>
              <w:rPr>
                <w:rFonts w:ascii="Arial" w:cs="Arial" w:eastAsia="Arial" w:hAnsi="Arial"/>
                <w:sz w:val="13"/>
                <w:szCs w:val="13"/>
                <w:color w:val="auto"/>
              </w:rPr>
              <w:t>—</w:t>
            </w:r>
          </w:p>
        </w:tc>
        <w:tc>
          <w:tcPr>
            <w:tcW w:w="3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ind w:left="260"/>
              <w:spacing w:after="0" w:line="141" w:lineRule="exact"/>
              <w:rPr>
                <w:sz w:val="20"/>
                <w:szCs w:val="20"/>
                <w:color w:val="auto"/>
              </w:rPr>
            </w:pPr>
            <w:r>
              <w:rPr>
                <w:rFonts w:ascii="Arial" w:cs="Arial" w:eastAsia="Arial" w:hAnsi="Arial"/>
                <w:sz w:val="13"/>
                <w:szCs w:val="13"/>
                <w:color w:val="auto"/>
              </w:rPr>
              <w:t>—</w:t>
            </w:r>
          </w:p>
        </w:tc>
        <w:tc>
          <w:tcPr>
            <w:tcW w:w="3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95"/>
              </w:rPr>
              <w:t>58,756</w:t>
            </w:r>
          </w:p>
        </w:tc>
        <w:tc>
          <w:tcPr>
            <w:tcW w:w="3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58,300</w:t>
            </w:r>
          </w:p>
        </w:tc>
        <w:tc>
          <w:tcPr>
            <w:tcW w:w="40" w:type="dxa"/>
            <w:vAlign w:val="bottom"/>
            <w:tcBorders>
              <w:top w:val="single" w:sz="8" w:color="CCEEFF"/>
            </w:tcBorders>
            <w:shd w:val="clear" w:color="auto" w:fill="CCEEFF"/>
          </w:tcPr>
          <w:p>
            <w:pPr>
              <w:spacing w:after="0"/>
              <w:rPr>
                <w:sz w:val="12"/>
                <w:szCs w:val="12"/>
                <w:color w:val="auto"/>
              </w:rPr>
            </w:pPr>
          </w:p>
        </w:tc>
      </w:tr>
      <w:tr>
        <w:trPr>
          <w:trHeight w:val="159"/>
        </w:trPr>
        <w:tc>
          <w:tcPr>
            <w:tcW w:w="448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40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44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5"/>
              </w:rPr>
              <w:t>58,756</w:t>
            </w:r>
          </w:p>
        </w:tc>
        <w:tc>
          <w:tcPr>
            <w:tcW w:w="300" w:type="dxa"/>
            <w:vAlign w:val="bottom"/>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58,300</w:t>
            </w:r>
          </w:p>
        </w:tc>
        <w:tc>
          <w:tcPr>
            <w:tcW w:w="40" w:type="dxa"/>
            <w:vAlign w:val="bottom"/>
          </w:tcPr>
          <w:p>
            <w:pPr>
              <w:spacing w:after="0"/>
              <w:rPr>
                <w:sz w:val="13"/>
                <w:szCs w:val="13"/>
                <w:color w:val="auto"/>
              </w:rPr>
            </w:pPr>
          </w:p>
        </w:tc>
      </w:tr>
    </w:tbl>
    <w:p>
      <w:pPr>
        <w:sectPr>
          <w:pgSz w:w="11900" w:h="16838" w:orient="portrait"/>
          <w:cols w:equalWidth="0" w:num="1">
            <w:col w:w="10159"/>
          </w:cols>
          <w:pgMar w:left="300" w:top="383" w:right="1440" w:bottom="1440" w:gutter="0" w:footer="0" w:header="0"/>
        </w:sectPr>
      </w:pPr>
    </w:p>
    <w:bookmarkStart w:id="18" w:name="page19"/>
    <w:bookmarkEnd w:id="18"/>
    <w:p>
      <w:pPr>
        <w:spacing w:after="0"/>
        <w:rPr>
          <w:sz w:val="20"/>
          <w:szCs w:val="20"/>
          <w:color w:val="auto"/>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42545"/>
                    </a:xfrm>
                    <a:prstGeom prst="rect">
                      <a:avLst/>
                    </a:prstGeom>
                    <a:noFill/>
                  </pic:spPr>
                </pic:pic>
              </a:graphicData>
            </a:graphic>
          </wp:anchor>
        </w:drawing>
        <w:t>Table of Contents</w:t>
      </w:r>
    </w:p>
    <w:p>
      <w:pPr>
        <w:spacing w:after="0" w:line="214" w:lineRule="exact"/>
        <w:rPr>
          <w:sz w:val="20"/>
          <w:szCs w:val="20"/>
          <w:color w:val="auto"/>
        </w:rPr>
      </w:pPr>
    </w:p>
    <w:p>
      <w:pPr>
        <w:ind w:left="1780" w:right="999"/>
        <w:spacing w:after="0" w:line="302" w:lineRule="auto"/>
        <w:rPr>
          <w:sz w:val="20"/>
          <w:szCs w:val="20"/>
          <w:color w:val="auto"/>
        </w:rPr>
      </w:pPr>
      <w:r>
        <w:rPr>
          <w:rFonts w:ascii="Arial" w:cs="Arial" w:eastAsia="Arial" w:hAnsi="Arial"/>
          <w:sz w:val="12"/>
          <w:szCs w:val="12"/>
          <w:color w:val="auto"/>
        </w:rPr>
        <w:t>The following methods and assumptions were used to estimate the fair values: All financial assets are categorized based on Level 1 inputs and are therefore valued using quoted (unadjusted) market prices. All financial liabilities are also categorized based on Level 1 inputs.</w:t>
      </w:r>
    </w:p>
    <w:p>
      <w:pPr>
        <w:spacing w:after="0" w:line="108" w:lineRule="exact"/>
        <w:rPr>
          <w:sz w:val="20"/>
          <w:szCs w:val="20"/>
          <w:color w:val="auto"/>
        </w:rPr>
      </w:pPr>
    </w:p>
    <w:p>
      <w:pPr>
        <w:ind w:left="1780" w:right="699"/>
        <w:spacing w:after="0" w:line="252" w:lineRule="auto"/>
        <w:rPr>
          <w:sz w:val="20"/>
          <w:szCs w:val="20"/>
          <w:color w:val="auto"/>
        </w:rPr>
      </w:pPr>
      <w:r>
        <w:rPr>
          <w:rFonts w:ascii="Arial" w:cs="Arial" w:eastAsia="Arial" w:hAnsi="Arial"/>
          <w:sz w:val="13"/>
          <w:szCs w:val="13"/>
          <w:color w:val="auto"/>
        </w:rPr>
        <w:t>The bonds’ contractual cash flows represent solely payments of principal and interest and Immatics intends to hold the bonds to collect the contractual cash flows. The Group therefore accounts for the bonds as a financial asset at amortized cost. Bonds are classified as Level 1 of the fair value hierarchy, as they are listed on publicly traded markets.</w:t>
      </w:r>
    </w:p>
    <w:p>
      <w:pPr>
        <w:spacing w:after="0" w:line="136" w:lineRule="exact"/>
        <w:rPr>
          <w:sz w:val="20"/>
          <w:szCs w:val="20"/>
          <w:color w:val="auto"/>
        </w:rPr>
      </w:pPr>
    </w:p>
    <w:p>
      <w:pPr>
        <w:ind w:left="1780" w:right="799"/>
        <w:spacing w:after="0" w:line="303" w:lineRule="auto"/>
        <w:rPr>
          <w:sz w:val="20"/>
          <w:szCs w:val="20"/>
          <w:color w:val="auto"/>
        </w:rPr>
      </w:pPr>
      <w:r>
        <w:rPr>
          <w:rFonts w:ascii="Arial" w:cs="Arial" w:eastAsia="Arial" w:hAnsi="Arial"/>
          <w:sz w:val="11"/>
          <w:szCs w:val="11"/>
          <w:color w:val="auto"/>
        </w:rPr>
        <w:t>Liabilities for warrants are comprised of the Immatics Warrants issued to investors with a cashless exercise mechanism as a current liability which the Company accounted for according to provisions of IAS 32. The Company measures the warrants at fair value by using the closing price of warrants at Nasdaq. The warrants are measured in each reporting period. Changes in the fair value are recognized in the Company’s Consolidated Statement of Profit/(Loss) as financial income or expenses, as appropriate. The warrants are classified as Level 1 of the fair value hierarchy. The maturity of the liabilities for warrants is dependent on the development of the share price as well as the decisions by the Immatics Warrants holders.</w:t>
      </w:r>
    </w:p>
    <w:p>
      <w:pPr>
        <w:spacing w:after="0" w:line="183" w:lineRule="exact"/>
        <w:rPr>
          <w:sz w:val="20"/>
          <w:szCs w:val="20"/>
          <w:color w:val="auto"/>
        </w:rPr>
      </w:pPr>
    </w:p>
    <w:p>
      <w:pPr>
        <w:ind w:left="1780"/>
        <w:spacing w:after="0"/>
        <w:rPr>
          <w:sz w:val="20"/>
          <w:szCs w:val="20"/>
          <w:color w:val="auto"/>
        </w:rPr>
      </w:pPr>
      <w:r>
        <w:rPr>
          <w:rFonts w:ascii="Arial" w:cs="Arial" w:eastAsia="Arial" w:hAnsi="Arial"/>
          <w:sz w:val="13"/>
          <w:szCs w:val="13"/>
          <w:b w:val="1"/>
          <w:bCs w:val="1"/>
          <w:color w:val="auto"/>
        </w:rPr>
        <w:t>17. Earnings and Loss per Share</w:t>
      </w:r>
    </w:p>
    <w:p>
      <w:pPr>
        <w:spacing w:after="0" w:line="82" w:lineRule="exact"/>
        <w:rPr>
          <w:sz w:val="20"/>
          <w:szCs w:val="20"/>
          <w:color w:val="auto"/>
        </w:rPr>
      </w:pPr>
    </w:p>
    <w:p>
      <w:pPr>
        <w:ind w:left="1780" w:right="679"/>
        <w:spacing w:after="0" w:line="290" w:lineRule="auto"/>
        <w:rPr>
          <w:sz w:val="20"/>
          <w:szCs w:val="20"/>
          <w:color w:val="auto"/>
        </w:rPr>
      </w:pPr>
      <w:r>
        <w:rPr>
          <w:rFonts w:ascii="Arial" w:cs="Arial" w:eastAsia="Arial" w:hAnsi="Arial"/>
          <w:sz w:val="11"/>
          <w:szCs w:val="11"/>
          <w:color w:val="auto"/>
        </w:rPr>
        <w:t>The Group reported basic and diluted loss and earnings per share during the three and six months ended June 30, 2023 and 2022. Basic and diluted loss per share and basic earnings per share are calculated by dividing the net profit or loss by the weighted-average number of ordinary shares outstanding for the reporting period. Diluted earnings per share for the six months ended June 30, 2022, are calculated by adjusting the weighted-average number of ordinary shares outstanding for any dilutive effects resulting from equity awards granted to the Board and employees of the Group as well as from publicly traded Immatics Warrants. The Group’s equity awards and Immatics Warrants for which the exercise price is exceeding the Group’s weighted average share price for the six months ended June 30, 2022, are anti-dilutive instruments and are excluded in the calculation of diluted weighted average number of ordinary shares. The Group was loss-making during the three and six months ended June 30, 2023 and during the three months ended</w:t>
      </w:r>
    </w:p>
    <w:p>
      <w:pPr>
        <w:ind w:left="1780" w:right="679"/>
        <w:spacing w:after="0" w:line="335" w:lineRule="auto"/>
        <w:rPr>
          <w:sz w:val="20"/>
          <w:szCs w:val="20"/>
          <w:color w:val="auto"/>
        </w:rPr>
      </w:pPr>
      <w:r>
        <w:rPr>
          <w:rFonts w:ascii="Arial" w:cs="Arial" w:eastAsia="Arial" w:hAnsi="Arial"/>
          <w:sz w:val="11"/>
          <w:szCs w:val="11"/>
          <w:color w:val="auto"/>
        </w:rPr>
        <w:t>June 30, 2022, therefore all instruments are anti-dilutive instruments and are excluded in the calculation of diluted weighted average number of ordinary shares outstanding, including the outstanding equity awards and the 7,187,500 Immatics Warrants issued in 2020 and outstanding as of June 30, 2023.</w:t>
      </w:r>
    </w:p>
    <w:p>
      <w:pPr>
        <w:sectPr>
          <w:pgSz w:w="11900" w:h="16838" w:orient="portrait"/>
          <w:cols w:equalWidth="0" w:num="1">
            <w:col w:w="10159"/>
          </w:cols>
          <w:pgMar w:left="300" w:top="383" w:right="1440" w:bottom="1440" w:gutter="0" w:footer="0" w:header="0"/>
        </w:sectPr>
      </w:pPr>
    </w:p>
    <w:p>
      <w:pPr>
        <w:spacing w:after="0" w:line="106" w:lineRule="exact"/>
        <w:rPr>
          <w:sz w:val="20"/>
          <w:szCs w:val="20"/>
          <w:color w:val="auto"/>
        </w:rPr>
      </w:pPr>
    </w:p>
    <w:p>
      <w:pPr>
        <w:jc w:val="center"/>
        <w:ind w:left="6360"/>
        <w:spacing w:after="0"/>
        <w:rPr>
          <w:sz w:val="20"/>
          <w:szCs w:val="20"/>
          <w:color w:val="auto"/>
        </w:rPr>
      </w:pPr>
      <w:r>
        <w:rPr>
          <w:rFonts w:ascii="Arial" w:cs="Arial" w:eastAsia="Arial" w:hAnsi="Arial"/>
          <w:sz w:val="8"/>
          <w:szCs w:val="8"/>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4004945</wp:posOffset>
            </wp:positionH>
            <wp:positionV relativeFrom="paragraph">
              <wp:posOffset>17145</wp:posOffset>
            </wp:positionV>
            <wp:extent cx="86042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60425" cy="5715"/>
                    </a:xfrm>
                    <a:prstGeom prst="rect">
                      <a:avLst/>
                    </a:prstGeom>
                    <a:noFill/>
                  </pic:spPr>
                </pic:pic>
              </a:graphicData>
            </a:graphic>
          </wp:anchor>
        </w:drawing>
      </w:r>
    </w:p>
    <w:p>
      <w:pPr>
        <w:spacing w:after="0" w:line="10" w:lineRule="exact"/>
        <w:rPr>
          <w:sz w:val="20"/>
          <w:szCs w:val="20"/>
          <w:color w:val="auto"/>
        </w:rPr>
      </w:pPr>
    </w:p>
    <w:p>
      <w:pPr>
        <w:ind w:left="6500"/>
        <w:spacing w:after="0"/>
        <w:tabs>
          <w:tab w:leader="none" w:pos="7240" w:val="left"/>
        </w:tabs>
        <w:rPr>
          <w:sz w:val="20"/>
          <w:szCs w:val="20"/>
          <w:color w:val="auto"/>
        </w:rPr>
      </w:pPr>
      <w:r>
        <w:rPr>
          <w:rFonts w:ascii="Arial" w:cs="Arial" w:eastAsia="Arial" w:hAnsi="Arial"/>
          <w:sz w:val="10"/>
          <w:szCs w:val="10"/>
          <w:b w:val="1"/>
          <w:bCs w:val="1"/>
          <w:color w:val="auto"/>
        </w:rPr>
        <w:t>2023</w:t>
      </w:r>
      <w:r>
        <w:rPr>
          <w:sz w:val="20"/>
          <w:szCs w:val="20"/>
          <w:color w:val="auto"/>
        </w:rPr>
        <w:tab/>
      </w:r>
      <w:r>
        <w:rPr>
          <w:rFonts w:ascii="Arial" w:cs="Arial" w:eastAsia="Arial" w:hAnsi="Arial"/>
          <w:sz w:val="10"/>
          <w:szCs w:val="10"/>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4004945</wp:posOffset>
            </wp:positionH>
            <wp:positionV relativeFrom="paragraph">
              <wp:posOffset>-2540</wp:posOffset>
            </wp:positionV>
            <wp:extent cx="86042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60425" cy="5715"/>
                    </a:xfrm>
                    <a:prstGeom prst="rect">
                      <a:avLst/>
                    </a:prstGeom>
                    <a:noFill/>
                  </pic:spPr>
                </pic:pic>
              </a:graphicData>
            </a:graphic>
          </wp:anchor>
        </w:drawing>
      </w:r>
    </w:p>
    <w:p>
      <w:pPr>
        <w:jc w:val="center"/>
        <w:ind w:left="6360"/>
        <w:spacing w:after="0"/>
        <w:rPr>
          <w:sz w:val="20"/>
          <w:szCs w:val="20"/>
          <w:color w:val="auto"/>
        </w:rPr>
      </w:pPr>
      <w:r>
        <w:rPr>
          <w:rFonts w:ascii="Arial" w:cs="Arial" w:eastAsia="Arial" w:hAnsi="Arial"/>
          <w:sz w:val="9"/>
          <w:szCs w:val="9"/>
          <w:b w:val="1"/>
          <w:bCs w:val="1"/>
          <w:color w:val="auto"/>
        </w:rPr>
        <w:t>(Euros in thousands, except</w:t>
      </w:r>
    </w:p>
    <w:p>
      <w:pPr>
        <w:spacing w:after="0" w:line="1" w:lineRule="exact"/>
        <w:rPr>
          <w:sz w:val="20"/>
          <w:szCs w:val="20"/>
          <w:color w:val="auto"/>
        </w:rPr>
      </w:pPr>
    </w:p>
    <w:p>
      <w:pPr>
        <w:jc w:val="center"/>
        <w:ind w:left="6360"/>
        <w:spacing w:after="0"/>
        <w:rPr>
          <w:sz w:val="20"/>
          <w:szCs w:val="20"/>
          <w:color w:val="auto"/>
        </w:rPr>
      </w:pPr>
      <w:r>
        <w:rPr>
          <w:rFonts w:ascii="Arial" w:cs="Arial" w:eastAsia="Arial" w:hAnsi="Arial"/>
          <w:sz w:val="10"/>
          <w:szCs w:val="10"/>
          <w:b w:val="1"/>
          <w:bCs w:val="1"/>
          <w:color w:val="auto"/>
        </w:rPr>
        <w:t>share and per share data)</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center"/>
        <w:ind w:right="1079"/>
        <w:spacing w:after="0"/>
        <w:rPr>
          <w:sz w:val="20"/>
          <w:szCs w:val="20"/>
          <w:color w:val="auto"/>
        </w:rPr>
      </w:pPr>
      <w:r>
        <w:rPr>
          <w:rFonts w:ascii="Arial" w:cs="Arial" w:eastAsia="Arial" w:hAnsi="Arial"/>
          <w:sz w:val="9"/>
          <w:szCs w:val="9"/>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9525</wp:posOffset>
            </wp:positionV>
            <wp:extent cx="86042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60425" cy="5715"/>
                    </a:xfrm>
                    <a:prstGeom prst="rect">
                      <a:avLst/>
                    </a:prstGeom>
                    <a:noFill/>
                  </pic:spPr>
                </pic:pic>
              </a:graphicData>
            </a:graphic>
          </wp:anchor>
        </w:drawing>
      </w:r>
    </w:p>
    <w:p>
      <w:pPr>
        <w:ind w:left="120"/>
        <w:spacing w:after="0"/>
        <w:tabs>
          <w:tab w:leader="none" w:pos="860" w:val="left"/>
        </w:tabs>
        <w:rPr>
          <w:sz w:val="20"/>
          <w:szCs w:val="20"/>
          <w:color w:val="auto"/>
        </w:rPr>
      </w:pPr>
      <w:r>
        <w:rPr>
          <w:rFonts w:ascii="Arial" w:cs="Arial" w:eastAsia="Arial" w:hAnsi="Arial"/>
          <w:sz w:val="10"/>
          <w:szCs w:val="10"/>
          <w:b w:val="1"/>
          <w:bCs w:val="1"/>
          <w:color w:val="auto"/>
        </w:rPr>
        <w:t>2023</w:t>
      </w:r>
      <w:r>
        <w:rPr>
          <w:sz w:val="20"/>
          <w:szCs w:val="20"/>
          <w:color w:val="auto"/>
        </w:rPr>
        <w:tab/>
      </w:r>
      <w:r>
        <w:rPr>
          <w:rFonts w:ascii="Arial" w:cs="Arial" w:eastAsia="Arial" w:hAnsi="Arial"/>
          <w:sz w:val="10"/>
          <w:szCs w:val="10"/>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-2540</wp:posOffset>
            </wp:positionV>
            <wp:extent cx="86042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60425" cy="5715"/>
                    </a:xfrm>
                    <a:prstGeom prst="rect">
                      <a:avLst/>
                    </a:prstGeom>
                    <a:noFill/>
                  </pic:spPr>
                </pic:pic>
              </a:graphicData>
            </a:graphic>
          </wp:anchor>
        </w:drawing>
      </w:r>
    </w:p>
    <w:p>
      <w:pPr>
        <w:jc w:val="center"/>
        <w:ind w:right="1079"/>
        <w:spacing w:after="0"/>
        <w:rPr>
          <w:sz w:val="20"/>
          <w:szCs w:val="20"/>
          <w:color w:val="auto"/>
        </w:rPr>
      </w:pPr>
      <w:r>
        <w:rPr>
          <w:rFonts w:ascii="Arial" w:cs="Arial" w:eastAsia="Arial" w:hAnsi="Arial"/>
          <w:sz w:val="8"/>
          <w:szCs w:val="8"/>
          <w:b w:val="1"/>
          <w:bCs w:val="1"/>
          <w:color w:val="auto"/>
        </w:rPr>
        <w:t>(Euros in thousands, except</w:t>
      </w:r>
    </w:p>
    <w:p>
      <w:pPr>
        <w:spacing w:after="0" w:line="12" w:lineRule="exact"/>
        <w:rPr>
          <w:sz w:val="20"/>
          <w:szCs w:val="20"/>
          <w:color w:val="auto"/>
        </w:rPr>
      </w:pPr>
    </w:p>
    <w:p>
      <w:pPr>
        <w:jc w:val="center"/>
        <w:ind w:right="1079"/>
        <w:spacing w:after="0"/>
        <w:rPr>
          <w:sz w:val="20"/>
          <w:szCs w:val="20"/>
          <w:color w:val="auto"/>
        </w:rPr>
      </w:pPr>
      <w:r>
        <w:rPr>
          <w:rFonts w:ascii="Arial" w:cs="Arial" w:eastAsia="Arial" w:hAnsi="Arial"/>
          <w:sz w:val="9"/>
          <w:szCs w:val="9"/>
          <w:b w:val="1"/>
          <w:bCs w:val="1"/>
          <w:color w:val="auto"/>
        </w:rPr>
        <w:t>share and per share data)</w:t>
      </w:r>
    </w:p>
    <w:p>
      <w:pPr>
        <w:spacing w:after="0" w:line="17" w:lineRule="exact"/>
        <w:rPr>
          <w:sz w:val="20"/>
          <w:szCs w:val="20"/>
          <w:color w:val="auto"/>
        </w:rPr>
      </w:pPr>
    </w:p>
    <w:p>
      <w:pPr>
        <w:sectPr>
          <w:pgSz w:w="11900" w:h="16838" w:orient="portrait"/>
          <w:cols w:equalWidth="0" w:num="2">
            <w:col w:w="7620" w:space="260"/>
            <w:col w:w="2279"/>
          </w:cols>
          <w:pgMar w:left="300" w:top="383" w:right="1440" w:bottom="1440" w:gutter="0" w:footer="0" w:header="0"/>
          <w:type w:val="continuous"/>
        </w:sectPr>
      </w:pPr>
    </w:p>
    <w:tbl>
      <w:tblPr>
        <w:tblLayout w:type="fixed"/>
        <w:tblInd w:w="2100" w:type="dxa"/>
        <w:tblCellMar>
          <w:top w:w="0" w:type="dxa"/>
          <w:left w:w="0" w:type="dxa"/>
          <w:bottom w:w="0" w:type="dxa"/>
          <w:right w:w="0" w:type="dxa"/>
        </w:tblCellMar>
      </w:tblPr>
      <w:tr>
        <w:trPr>
          <w:trHeight w:val="149"/>
        </w:trPr>
        <w:tc>
          <w:tcPr>
            <w:tcW w:w="31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profit/(loss):</w:t>
            </w: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(24,610)</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(13,980)</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(44,357)</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71,682</w:t>
            </w:r>
          </w:p>
        </w:tc>
      </w:tr>
      <w:tr>
        <w:trPr>
          <w:trHeight w:val="152"/>
        </w:trPr>
        <w:tc>
          <w:tcPr>
            <w:tcW w:w="3140" w:type="dxa"/>
            <w:vAlign w:val="bottom"/>
          </w:tcPr>
          <w:p>
            <w:pPr>
              <w:spacing w:after="0"/>
              <w:rPr>
                <w:sz w:val="20"/>
                <w:szCs w:val="20"/>
                <w:color w:val="auto"/>
              </w:rPr>
            </w:pPr>
            <w:r>
              <w:rPr>
                <w:rFonts w:ascii="Arial" w:cs="Arial" w:eastAsia="Arial" w:hAnsi="Arial"/>
                <w:sz w:val="13"/>
                <w:szCs w:val="13"/>
                <w:color w:val="auto"/>
              </w:rPr>
              <w:t>Basic</w:t>
            </w:r>
          </w:p>
        </w:tc>
        <w:tc>
          <w:tcPr>
            <w:tcW w:w="1780" w:type="dxa"/>
            <w:vAlign w:val="bottom"/>
          </w:tcPr>
          <w:p>
            <w:pPr>
              <w:jc w:val="right"/>
              <w:spacing w:after="0"/>
              <w:rPr>
                <w:sz w:val="20"/>
                <w:szCs w:val="20"/>
                <w:color w:val="auto"/>
              </w:rPr>
            </w:pPr>
            <w:r>
              <w:rPr>
                <w:rFonts w:ascii="Arial" w:cs="Arial" w:eastAsia="Arial" w:hAnsi="Arial"/>
                <w:sz w:val="13"/>
                <w:szCs w:val="13"/>
                <w:color w:val="auto"/>
              </w:rPr>
              <w:t>(0.32)</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(0.22)</w:t>
            </w:r>
          </w:p>
        </w:tc>
        <w:tc>
          <w:tcPr>
            <w:tcW w:w="740" w:type="dxa"/>
            <w:vAlign w:val="bottom"/>
          </w:tcPr>
          <w:p>
            <w:pPr>
              <w:jc w:val="right"/>
              <w:spacing w:after="0"/>
              <w:rPr>
                <w:sz w:val="20"/>
                <w:szCs w:val="20"/>
                <w:color w:val="auto"/>
              </w:rPr>
            </w:pPr>
            <w:r>
              <w:rPr>
                <w:rFonts w:ascii="Arial" w:cs="Arial" w:eastAsia="Arial" w:hAnsi="Arial"/>
                <w:sz w:val="13"/>
                <w:szCs w:val="13"/>
                <w:color w:val="auto"/>
              </w:rPr>
              <w:t>(0.58)</w:t>
            </w:r>
          </w:p>
        </w:tc>
        <w:tc>
          <w:tcPr>
            <w:tcW w:w="680" w:type="dxa"/>
            <w:vAlign w:val="bottom"/>
          </w:tcPr>
          <w:p>
            <w:pPr>
              <w:jc w:val="right"/>
              <w:spacing w:after="0"/>
              <w:rPr>
                <w:sz w:val="20"/>
                <w:szCs w:val="20"/>
                <w:color w:val="auto"/>
              </w:rPr>
            </w:pPr>
            <w:r>
              <w:rPr>
                <w:rFonts w:ascii="Arial" w:cs="Arial" w:eastAsia="Arial" w:hAnsi="Arial"/>
                <w:sz w:val="13"/>
                <w:szCs w:val="13"/>
                <w:color w:val="auto"/>
              </w:rPr>
              <w:t>1.12</w:t>
            </w:r>
          </w:p>
        </w:tc>
      </w:tr>
      <w:tr>
        <w:trPr>
          <w:trHeight w:val="152"/>
        </w:trPr>
        <w:tc>
          <w:tcPr>
            <w:tcW w:w="3140" w:type="dxa"/>
            <w:vAlign w:val="bottom"/>
            <w:shd w:val="clear" w:color="auto" w:fill="CCEEFF"/>
          </w:tcPr>
          <w:p>
            <w:pPr>
              <w:spacing w:after="0"/>
              <w:rPr>
                <w:sz w:val="20"/>
                <w:szCs w:val="20"/>
                <w:color w:val="auto"/>
              </w:rPr>
            </w:pPr>
            <w:r>
              <w:rPr>
                <w:rFonts w:ascii="Arial" w:cs="Arial" w:eastAsia="Arial" w:hAnsi="Arial"/>
                <w:sz w:val="13"/>
                <w:szCs w:val="13"/>
                <w:color w:val="auto"/>
              </w:rPr>
              <w:t>Diluted</w:t>
            </w: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(0.32)</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(0.22)</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(0.58)</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r>
      <w:tr>
        <w:trPr>
          <w:trHeight w:val="152"/>
        </w:trPr>
        <w:tc>
          <w:tcPr>
            <w:tcW w:w="3140" w:type="dxa"/>
            <w:vAlign w:val="bottom"/>
          </w:tcPr>
          <w:p>
            <w:pPr>
              <w:spacing w:after="0"/>
              <w:rPr>
                <w:sz w:val="20"/>
                <w:szCs w:val="20"/>
                <w:color w:val="auto"/>
              </w:rPr>
            </w:pPr>
            <w:r>
              <w:rPr>
                <w:rFonts w:ascii="Arial" w:cs="Arial" w:eastAsia="Arial" w:hAnsi="Arial"/>
                <w:sz w:val="13"/>
                <w:szCs w:val="13"/>
                <w:b w:val="1"/>
                <w:bCs w:val="1"/>
                <w:color w:val="auto"/>
              </w:rPr>
              <w:t>Weighted average shares outstanding:</w:t>
            </w:r>
          </w:p>
        </w:tc>
        <w:tc>
          <w:tcPr>
            <w:tcW w:w="1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52"/>
        </w:trPr>
        <w:tc>
          <w:tcPr>
            <w:tcW w:w="3140" w:type="dxa"/>
            <w:vAlign w:val="bottom"/>
            <w:shd w:val="clear" w:color="auto" w:fill="CCEEFF"/>
          </w:tcPr>
          <w:p>
            <w:pPr>
              <w:spacing w:after="0"/>
              <w:rPr>
                <w:sz w:val="20"/>
                <w:szCs w:val="20"/>
                <w:color w:val="auto"/>
              </w:rPr>
            </w:pPr>
            <w:r>
              <w:rPr>
                <w:rFonts w:ascii="Arial" w:cs="Arial" w:eastAsia="Arial" w:hAnsi="Arial"/>
                <w:sz w:val="13"/>
                <w:szCs w:val="13"/>
                <w:color w:val="auto"/>
              </w:rPr>
              <w:t>Basic</w:t>
            </w:r>
          </w:p>
        </w:tc>
        <w:tc>
          <w:tcPr>
            <w:tcW w:w="1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77,311,053</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5"/>
              </w:rPr>
              <w:t>64,915,600</w:t>
            </w: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5"/>
              </w:rPr>
              <w:t>76,994,713</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63,932,449</w:t>
            </w:r>
          </w:p>
        </w:tc>
      </w:tr>
      <w:tr>
        <w:trPr>
          <w:trHeight w:val="161"/>
        </w:trPr>
        <w:tc>
          <w:tcPr>
            <w:tcW w:w="3140" w:type="dxa"/>
            <w:vAlign w:val="bottom"/>
          </w:tcPr>
          <w:p>
            <w:pPr>
              <w:spacing w:after="0"/>
              <w:rPr>
                <w:sz w:val="20"/>
                <w:szCs w:val="20"/>
                <w:color w:val="auto"/>
              </w:rPr>
            </w:pPr>
            <w:r>
              <w:rPr>
                <w:rFonts w:ascii="Arial" w:cs="Arial" w:eastAsia="Arial" w:hAnsi="Arial"/>
                <w:sz w:val="13"/>
                <w:szCs w:val="13"/>
                <w:color w:val="auto"/>
              </w:rPr>
              <w:t>Diluted</w:t>
            </w:r>
          </w:p>
        </w:tc>
        <w:tc>
          <w:tcPr>
            <w:tcW w:w="1780" w:type="dxa"/>
            <w:vAlign w:val="bottom"/>
          </w:tcPr>
          <w:p>
            <w:pPr>
              <w:jc w:val="right"/>
              <w:ind w:right="37"/>
              <w:spacing w:after="0"/>
              <w:rPr>
                <w:sz w:val="20"/>
                <w:szCs w:val="20"/>
                <w:color w:val="auto"/>
              </w:rPr>
            </w:pPr>
            <w:r>
              <w:rPr>
                <w:rFonts w:ascii="Arial" w:cs="Arial" w:eastAsia="Arial" w:hAnsi="Arial"/>
                <w:sz w:val="13"/>
                <w:szCs w:val="13"/>
                <w:color w:val="auto"/>
              </w:rPr>
              <w:t>77,311,053</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w w:val="95"/>
              </w:rPr>
              <w:t>64,915,600</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w w:val="95"/>
              </w:rPr>
              <w:t>76,994,713</w:t>
            </w:r>
          </w:p>
        </w:tc>
        <w:tc>
          <w:tcPr>
            <w:tcW w:w="680" w:type="dxa"/>
            <w:vAlign w:val="bottom"/>
          </w:tcPr>
          <w:p>
            <w:pPr>
              <w:jc w:val="right"/>
              <w:spacing w:after="0"/>
              <w:rPr>
                <w:sz w:val="20"/>
                <w:szCs w:val="20"/>
                <w:color w:val="auto"/>
              </w:rPr>
            </w:pPr>
            <w:r>
              <w:rPr>
                <w:rFonts w:ascii="Arial" w:cs="Arial" w:eastAsia="Arial" w:hAnsi="Arial"/>
                <w:sz w:val="13"/>
                <w:szCs w:val="13"/>
                <w:color w:val="auto"/>
                <w:w w:val="95"/>
              </w:rPr>
              <w:t>64,477,256</w:t>
            </w:r>
          </w:p>
        </w:tc>
      </w:tr>
    </w:tbl>
    <w:p>
      <w:pPr>
        <w:spacing w:after="0" w:line="206" w:lineRule="exact"/>
        <w:rPr>
          <w:sz w:val="20"/>
          <w:szCs w:val="20"/>
          <w:color w:val="auto"/>
        </w:rPr>
      </w:pPr>
    </w:p>
    <w:p>
      <w:pPr>
        <w:ind w:left="1780"/>
        <w:spacing w:after="0"/>
        <w:rPr>
          <w:sz w:val="20"/>
          <w:szCs w:val="20"/>
          <w:color w:val="auto"/>
        </w:rPr>
      </w:pPr>
      <w:r>
        <w:rPr>
          <w:rFonts w:ascii="Arial" w:cs="Arial" w:eastAsia="Arial" w:hAnsi="Arial"/>
          <w:sz w:val="13"/>
          <w:szCs w:val="13"/>
          <w:b w:val="1"/>
          <w:bCs w:val="1"/>
          <w:color w:val="auto"/>
        </w:rPr>
        <w:t>18. Events occurring after the reporting period</w:t>
      </w:r>
    </w:p>
    <w:p>
      <w:pPr>
        <w:spacing w:after="0" w:line="82" w:lineRule="exact"/>
        <w:rPr>
          <w:sz w:val="20"/>
          <w:szCs w:val="20"/>
          <w:color w:val="auto"/>
        </w:rPr>
      </w:pPr>
    </w:p>
    <w:p>
      <w:pPr>
        <w:ind w:left="1780"/>
        <w:spacing w:after="0"/>
        <w:rPr>
          <w:sz w:val="20"/>
          <w:szCs w:val="20"/>
          <w:color w:val="auto"/>
        </w:rPr>
      </w:pPr>
      <w:r>
        <w:rPr>
          <w:rFonts w:ascii="Arial" w:cs="Arial" w:eastAsia="Arial" w:hAnsi="Arial"/>
          <w:sz w:val="13"/>
          <w:szCs w:val="13"/>
          <w:color w:val="auto"/>
        </w:rPr>
        <w:t>The Group evaluated subsequent events for recognition or disclosure through August 17, 2023.</w:t>
      </w:r>
    </w:p>
    <w:p>
      <w:pPr>
        <w:spacing w:after="0" w:line="154" w:lineRule="exact"/>
        <w:rPr>
          <w:sz w:val="20"/>
          <w:szCs w:val="20"/>
          <w:color w:val="auto"/>
        </w:rPr>
      </w:pPr>
    </w:p>
    <w:p>
      <w:pPr>
        <w:ind w:left="1780" w:right="719"/>
        <w:spacing w:after="0" w:line="249" w:lineRule="auto"/>
        <w:rPr>
          <w:sz w:val="20"/>
          <w:szCs w:val="20"/>
          <w:color w:val="auto"/>
        </w:rPr>
      </w:pPr>
      <w:r>
        <w:rPr>
          <w:rFonts w:ascii="Arial" w:cs="Arial" w:eastAsia="Arial" w:hAnsi="Arial"/>
          <w:sz w:val="13"/>
          <w:szCs w:val="13"/>
          <w:color w:val="auto"/>
        </w:rPr>
        <w:t>On July 19, 2023, the Group closed a private placement transaction of 2,419,818 ordinary shares with a subscription price of $14.46 per ordinary share with BMS. The Group received gross proceeds of approximately $35 million, before deducting transaction expenses and intends to use the net proceeds to fund the continued research and development of the Group’s pipeline, the manufacturing and production of product candidates and for working capital.</w:t>
      </w:r>
    </w:p>
    <w:p>
      <w:pPr>
        <w:spacing w:after="0" w:line="138" w:lineRule="exact"/>
        <w:rPr>
          <w:sz w:val="20"/>
          <w:szCs w:val="20"/>
          <w:color w:val="auto"/>
        </w:rPr>
      </w:pPr>
    </w:p>
    <w:p>
      <w:pPr>
        <w:ind w:left="1780" w:right="899"/>
        <w:spacing w:after="0" w:line="261" w:lineRule="auto"/>
        <w:rPr>
          <w:sz w:val="20"/>
          <w:szCs w:val="20"/>
          <w:color w:val="auto"/>
        </w:rPr>
      </w:pPr>
      <w:r>
        <w:rPr>
          <w:rFonts w:ascii="Arial" w:cs="Arial" w:eastAsia="Arial" w:hAnsi="Arial"/>
          <w:sz w:val="13"/>
          <w:szCs w:val="13"/>
          <w:color w:val="auto"/>
        </w:rPr>
        <w:t>After the reporting period, the Group issued 1.8 million shares under the ATM agreement with SVB Securities LLC and collected a gross amount of €20.4 million ($22.2 million).</w:t>
      </w:r>
    </w:p>
    <w:p>
      <w:pPr>
        <w:sectPr>
          <w:pgSz w:w="11900" w:h="16838" w:orient="portrait"/>
          <w:cols w:equalWidth="0" w:num="1">
            <w:col w:w="10159"/>
          </w:cols>
          <w:pgMar w:left="300" w:top="383" w:right="1440" w:bottom="1440" w:gutter="0" w:footer="0" w:header="0"/>
          <w:type w:val="continuous"/>
        </w:sectPr>
      </w:pPr>
    </w:p>
    <w:bookmarkStart w:id="19" w:name="page20"/>
    <w:bookmarkEnd w:id="19"/>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MANAGEMENT’S DISCUSSION AND ANALYSIS OF FINANCIAL CONDITION AND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RESULTS OF OPERATIONS</w:t>
      </w:r>
    </w:p>
    <w:p>
      <w:pPr>
        <w:spacing w:after="0" w:line="145" w:lineRule="exact"/>
        <w:rPr>
          <w:sz w:val="20"/>
          <w:szCs w:val="20"/>
          <w:color w:val="auto"/>
        </w:rPr>
      </w:pPr>
    </w:p>
    <w:p>
      <w:pPr>
        <w:ind w:left="640" w:right="679"/>
        <w:spacing w:after="0" w:line="296" w:lineRule="auto"/>
        <w:rPr>
          <w:sz w:val="20"/>
          <w:szCs w:val="20"/>
          <w:color w:val="auto"/>
        </w:rPr>
      </w:pPr>
      <w:r>
        <w:rPr>
          <w:rFonts w:ascii="Arial" w:cs="Arial" w:eastAsia="Arial" w:hAnsi="Arial"/>
          <w:sz w:val="11"/>
          <w:szCs w:val="11"/>
          <w:i w:val="1"/>
          <w:iCs w:val="1"/>
          <w:color w:val="auto"/>
        </w:rPr>
        <w:t>The following discussion and analysis is based on the financial information of Immatics N.V., together with its German subsidiary Immatics Biotechnologies GmbH and its U.S. subsidiary, Immatics US, Inc. (“Immatics”, the “Company”, the “Group”, “we”, “our”). You should read the following discussion and analysis of our financial condition and results of operations together with our unaudited interim condensed consolidated financial statements for the three and six month-period ended June 30, 2023 and 2022 included in this interim report. You should also read our operating and financial review and prospects and our Consolidated Financial Statements for fiscal year 2022, and the notes thereto, in our Annual Report on Form 20-F for the year ended December 31, 2022, filed with the SEC on March 22, 2023 (the “Annual Report”). The following discussion is based on the financial information of Immatics prepared in accordance with International Financial Reporting Standards (“IFRS”), which may differ in material respects from generally accepted accounting principles in other jurisdictions, including U.S. generally accepted accounting principles.</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Overview</w:t>
      </w:r>
    </w:p>
    <w:p>
      <w:pPr>
        <w:spacing w:after="0" w:line="82" w:lineRule="exact"/>
        <w:rPr>
          <w:sz w:val="20"/>
          <w:szCs w:val="20"/>
          <w:color w:val="auto"/>
        </w:rPr>
      </w:pPr>
    </w:p>
    <w:p>
      <w:pPr>
        <w:ind w:left="640" w:right="679" w:firstLine="309"/>
        <w:spacing w:after="0" w:line="246" w:lineRule="auto"/>
        <w:rPr>
          <w:sz w:val="20"/>
          <w:szCs w:val="20"/>
          <w:color w:val="auto"/>
        </w:rPr>
      </w:pPr>
      <w:r>
        <w:rPr>
          <w:rFonts w:ascii="Arial" w:cs="Arial" w:eastAsia="Arial" w:hAnsi="Arial"/>
          <w:sz w:val="13"/>
          <w:szCs w:val="13"/>
          <w:color w:val="auto"/>
        </w:rPr>
        <w:t>We are a clinical-stage biotechnology company dedicated to the development of T cell receptor (“TCR”)-based immunotherapies for the treatment of cancer. Our purpose is to deliver a meaningful impact on the lives of cancer patients by developing novel TCR-based immunotherapies that are designed to achieve effect beyond an incremental clinical benefit. Our focus is the development of product candidates for the treatment of patients with solid tumors, who are inadequately served by existing treatment modalities. We strive to become an industry leading, fully integrated global biopharmaceutical company engaged in developing, manufacturing and commercializing TCR immunotherapies for the benefit of cancer patients, our employees, our shareholders and our partners.</w:t>
      </w:r>
    </w:p>
    <w:p>
      <w:pPr>
        <w:spacing w:after="0" w:line="142" w:lineRule="exact"/>
        <w:rPr>
          <w:sz w:val="20"/>
          <w:szCs w:val="20"/>
          <w:color w:val="auto"/>
        </w:rPr>
      </w:pPr>
    </w:p>
    <w:p>
      <w:pPr>
        <w:ind w:left="640" w:right="659" w:firstLine="309"/>
        <w:spacing w:after="0" w:line="249" w:lineRule="auto"/>
        <w:rPr>
          <w:sz w:val="20"/>
          <w:szCs w:val="20"/>
          <w:color w:val="auto"/>
        </w:rPr>
      </w:pPr>
      <w:r>
        <w:rPr>
          <w:rFonts w:ascii="Arial" w:cs="Arial" w:eastAsia="Arial" w:hAnsi="Arial"/>
          <w:sz w:val="13"/>
          <w:szCs w:val="13"/>
          <w:color w:val="auto"/>
        </w:rPr>
        <w:t>By utilizing TCR-based therapeutics, we are able to direct T cells to intracellular cancer targets that are not accessible through classical antibody-based or CAR-T therapies. We believe that by identifying what we call true cancer targets and the right TCRs, we are well positioned to transform current solid tumor treatment paradigms by delivering cellular and bispecific product candidates that have the potential to substantially improve the lives of cancer patients.</w:t>
      </w:r>
    </w:p>
    <w:p>
      <w:pPr>
        <w:spacing w:after="0" w:line="138" w:lineRule="exact"/>
        <w:rPr>
          <w:sz w:val="20"/>
          <w:szCs w:val="20"/>
          <w:color w:val="auto"/>
        </w:rPr>
      </w:pPr>
    </w:p>
    <w:p>
      <w:pPr>
        <w:ind w:left="640" w:right="659" w:firstLine="309"/>
        <w:spacing w:after="0" w:line="271" w:lineRule="auto"/>
        <w:rPr>
          <w:sz w:val="20"/>
          <w:szCs w:val="20"/>
          <w:color w:val="auto"/>
        </w:rPr>
      </w:pPr>
      <w:r>
        <w:rPr>
          <w:rFonts w:ascii="Arial" w:cs="Arial" w:eastAsia="Arial" w:hAnsi="Arial"/>
          <w:sz w:val="12"/>
          <w:szCs w:val="12"/>
          <w:color w:val="auto"/>
        </w:rPr>
        <w:t>We are developing our targeted immunotherapy product candidates through two distinct treatment modalities: TCR-engineered autologous (“ACTengine”) or allogeneic (“ACTallo”) Adoptive Cell Therapies (“ACT”) and antibody-like Bispecifics, also called T cell Engaging Receptors (“TCER”). Each modality is designed with distinct attributes and mechanisms of action to produce the desired therapeutic effect for a variety of cancer patient populations with different unmet medical needs. Our current pipeline comprises several proprietary TCR-based product candidates in clinical and preclinical development. In addition to our proprietary pipeline, we are collaborating with industry-leading partners, including Bristol Myers Squibb (“BMS”), Editas Medicine and Genmab, to develop multiple additional therapeutic programs covering ACT and Bispecifics.</w:t>
      </w:r>
    </w:p>
    <w:p>
      <w:pPr>
        <w:spacing w:after="0" w:line="127" w:lineRule="exact"/>
        <w:rPr>
          <w:sz w:val="20"/>
          <w:szCs w:val="20"/>
          <w:color w:val="auto"/>
        </w:rPr>
      </w:pPr>
    </w:p>
    <w:p>
      <w:pPr>
        <w:jc w:val="both"/>
        <w:ind w:left="640" w:right="699" w:firstLine="309"/>
        <w:spacing w:after="0" w:line="252" w:lineRule="auto"/>
        <w:rPr>
          <w:sz w:val="20"/>
          <w:szCs w:val="20"/>
          <w:color w:val="auto"/>
        </w:rPr>
      </w:pPr>
      <w:r>
        <w:rPr>
          <w:rFonts w:ascii="Arial" w:cs="Arial" w:eastAsia="Arial" w:hAnsi="Arial"/>
          <w:sz w:val="13"/>
          <w:szCs w:val="13"/>
          <w:color w:val="auto"/>
        </w:rPr>
        <w:t>Since our inception, we have focused on developing our technologies and executing our preclinical and clinical research programs with the aim to deliver the power of T cells to cancer patients. We do not have any products approved for sale. We have funded our operations primarily through equity financing and through payments from our collaboration partners.</w:t>
      </w:r>
    </w:p>
    <w:p>
      <w:pPr>
        <w:spacing w:after="0" w:line="136"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We have assembled a team of 418 and 380 FTEs as of June 30, 2023 and December 31, 2022, respectively.</w:t>
      </w:r>
    </w:p>
    <w:p>
      <w:pPr>
        <w:spacing w:after="0" w:line="154" w:lineRule="exact"/>
        <w:rPr>
          <w:sz w:val="20"/>
          <w:szCs w:val="20"/>
          <w:color w:val="auto"/>
        </w:rPr>
      </w:pPr>
    </w:p>
    <w:p>
      <w:pPr>
        <w:jc w:val="both"/>
        <w:ind w:left="640" w:right="739" w:firstLine="309"/>
        <w:spacing w:after="0" w:line="283" w:lineRule="auto"/>
        <w:rPr>
          <w:sz w:val="20"/>
          <w:szCs w:val="20"/>
          <w:color w:val="auto"/>
        </w:rPr>
      </w:pPr>
      <w:r>
        <w:rPr>
          <w:rFonts w:ascii="Arial" w:cs="Arial" w:eastAsia="Arial" w:hAnsi="Arial"/>
          <w:sz w:val="12"/>
          <w:szCs w:val="12"/>
          <w:color w:val="auto"/>
        </w:rPr>
        <w:t>Through June 30, 2023 we have raised approximately €981.7 million through licensing payments from our collaborators and through private and public placements of securities. We are holding Cash and cash equivalents and Other financial assets of €347.6 million as of June 30, 2023. We believe that we have sufficient capital resources to fund our operations through at least the next 12 months.</w:t>
      </w:r>
    </w:p>
    <w:p>
      <w:pPr>
        <w:spacing w:after="0" w:line="118" w:lineRule="exact"/>
        <w:rPr>
          <w:sz w:val="20"/>
          <w:szCs w:val="20"/>
          <w:color w:val="auto"/>
        </w:rPr>
      </w:pPr>
    </w:p>
    <w:p>
      <w:pPr>
        <w:ind w:left="640" w:right="739" w:firstLine="309"/>
        <w:spacing w:after="0" w:line="271" w:lineRule="auto"/>
        <w:rPr>
          <w:sz w:val="20"/>
          <w:szCs w:val="20"/>
          <w:color w:val="auto"/>
        </w:rPr>
      </w:pPr>
      <w:r>
        <w:rPr>
          <w:rFonts w:ascii="Arial" w:cs="Arial" w:eastAsia="Arial" w:hAnsi="Arial"/>
          <w:sz w:val="12"/>
          <w:szCs w:val="12"/>
          <w:color w:val="auto"/>
        </w:rPr>
        <w:t>Since our inception, we have incurred net losses, which have been significant in recent periods. The net profit for the year ended December 31, 2022 was due to a one-time upfront payment. We expect to continue to incur significant expenses and increasing net losses for the foreseeable future as we continue our research and development efforts and seek to obtain regulatory approval for and commercialize our product candidates. Our future profitability will be dependent upon the successful development, approval and commercialization of our product candidates and achieving a level of revenues adequate to support our cost structure. We may never achieve profitability and, unless and until we do, we will continue to need to raise additional capital. Our net losses may fluctuate significantly from period to period and year to year.</w:t>
      </w:r>
    </w:p>
    <w:p>
      <w:pPr>
        <w:sectPr>
          <w:pgSz w:w="11900" w:h="16838" w:orient="portrait"/>
          <w:cols w:equalWidth="0" w:num="1">
            <w:col w:w="9019"/>
          </w:cols>
          <w:pgMar w:left="1440" w:top="250" w:right="1440" w:bottom="1440" w:gutter="0" w:footer="0" w:header="0"/>
        </w:sectPr>
      </w:pPr>
    </w:p>
    <w:bookmarkStart w:id="20" w:name="page21"/>
    <w:bookmarkEnd w:id="20"/>
    <w:p>
      <w:pPr>
        <w:ind w:left="640"/>
        <w:spacing w:after="0"/>
        <w:rPr>
          <w:sz w:val="20"/>
          <w:szCs w:val="20"/>
          <w:color w:val="auto"/>
        </w:rPr>
      </w:pPr>
      <w:r>
        <w:rPr>
          <w:rFonts w:ascii="Arial" w:cs="Arial" w:eastAsia="Arial" w:hAnsi="Arial"/>
          <w:sz w:val="13"/>
          <w:szCs w:val="13"/>
          <w:b w:val="1"/>
          <w:bCs w:val="1"/>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0425" cy="42545"/>
                    </a:xfrm>
                    <a:prstGeom prst="rect">
                      <a:avLst/>
                    </a:prstGeom>
                    <a:noFill/>
                  </pic:spPr>
                </pic:pic>
              </a:graphicData>
            </a:graphic>
          </wp:anchor>
        </w:drawing>
        <w:t>Global Developments</w:t>
      </w:r>
    </w:p>
    <w:p>
      <w:pPr>
        <w:spacing w:after="0" w:line="78" w:lineRule="exact"/>
        <w:rPr>
          <w:sz w:val="20"/>
          <w:szCs w:val="20"/>
          <w:color w:val="auto"/>
        </w:rPr>
      </w:pPr>
    </w:p>
    <w:p>
      <w:pPr>
        <w:ind w:left="640"/>
        <w:spacing w:after="0"/>
        <w:rPr>
          <w:sz w:val="20"/>
          <w:szCs w:val="20"/>
          <w:color w:val="auto"/>
        </w:rPr>
      </w:pPr>
      <w:r>
        <w:rPr>
          <w:rFonts w:ascii="Arial" w:cs="Arial" w:eastAsia="Arial" w:hAnsi="Arial"/>
          <w:sz w:val="13"/>
          <w:szCs w:val="13"/>
          <w:color w:val="auto"/>
        </w:rPr>
        <w:t>Currently, multiple global uncertainties are existing.</w:t>
      </w:r>
    </w:p>
    <w:p>
      <w:pPr>
        <w:spacing w:after="0" w:line="154" w:lineRule="exact"/>
        <w:rPr>
          <w:sz w:val="20"/>
          <w:szCs w:val="20"/>
          <w:color w:val="auto"/>
        </w:rPr>
      </w:pPr>
    </w:p>
    <w:p>
      <w:pPr>
        <w:ind w:left="640" w:right="759"/>
        <w:spacing w:after="0" w:line="303" w:lineRule="auto"/>
        <w:rPr>
          <w:sz w:val="20"/>
          <w:szCs w:val="20"/>
          <w:color w:val="auto"/>
        </w:rPr>
      </w:pPr>
      <w:r>
        <w:rPr>
          <w:rFonts w:ascii="Arial" w:cs="Arial" w:eastAsia="Arial" w:hAnsi="Arial"/>
          <w:sz w:val="11"/>
          <w:szCs w:val="11"/>
          <w:color w:val="auto"/>
        </w:rPr>
        <w:t>The conflict between Russia and Ukraine has resulted, and is expected to further result, in significant disruption, instability and volatility in global markets, as well as higher energy and other commodity prices. Since the Company is not currently conducting any business or receiving any material services from vendors located in Russia or Ukraine, it does not expect that the ongoing war will have a direct impact on its operations in the near term. However, the Company may be indirectly affected by price increases or certain policy changes in Germany, such as new tax legislation, economic sanctions and comparable measures. In addition, other geopolitical instabilities might impact the Group in the future.</w:t>
      </w:r>
    </w:p>
    <w:p>
      <w:pPr>
        <w:spacing w:after="0" w:line="111" w:lineRule="exact"/>
        <w:rPr>
          <w:sz w:val="20"/>
          <w:szCs w:val="20"/>
          <w:color w:val="auto"/>
        </w:rPr>
      </w:pPr>
    </w:p>
    <w:p>
      <w:pPr>
        <w:jc w:val="both"/>
        <w:ind w:left="640" w:right="739"/>
        <w:spacing w:after="0" w:line="252" w:lineRule="auto"/>
        <w:rPr>
          <w:sz w:val="20"/>
          <w:szCs w:val="20"/>
          <w:color w:val="auto"/>
        </w:rPr>
      </w:pPr>
      <w:r>
        <w:rPr>
          <w:rFonts w:ascii="Arial" w:cs="Arial" w:eastAsia="Arial" w:hAnsi="Arial"/>
          <w:sz w:val="13"/>
          <w:szCs w:val="13"/>
          <w:color w:val="auto"/>
        </w:rPr>
        <w:t>During the six months ended June 30, 2023, Silicon Valley Bank as well as Credit Suisse, two large banks, as well as other smaller banks, were subject to liquidity problems. The Group does not hold deposits or securities with any of the affected banks. While the banking system remained stable overall, we will continue to closely monitor the situation.</w:t>
      </w:r>
    </w:p>
    <w:p>
      <w:pPr>
        <w:spacing w:after="0" w:line="136" w:lineRule="exact"/>
        <w:rPr>
          <w:sz w:val="20"/>
          <w:szCs w:val="20"/>
          <w:color w:val="auto"/>
        </w:rPr>
      </w:pPr>
    </w:p>
    <w:p>
      <w:pPr>
        <w:ind w:left="640" w:right="879"/>
        <w:spacing w:after="0" w:line="261" w:lineRule="auto"/>
        <w:rPr>
          <w:sz w:val="20"/>
          <w:szCs w:val="20"/>
          <w:color w:val="auto"/>
        </w:rPr>
      </w:pPr>
      <w:r>
        <w:rPr>
          <w:rFonts w:ascii="Arial" w:cs="Arial" w:eastAsia="Arial" w:hAnsi="Arial"/>
          <w:sz w:val="13"/>
          <w:szCs w:val="13"/>
          <w:color w:val="auto"/>
        </w:rPr>
        <w:t>While there is currently no material direct risk identified for the Group from COVID-19, Immatics will continue to closely monitor the effects of the pandemic as well.</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3"/>
          <w:szCs w:val="13"/>
          <w:b w:val="1"/>
          <w:bCs w:val="1"/>
          <w:i w:val="1"/>
          <w:iCs w:val="1"/>
          <w:color w:val="auto"/>
        </w:rPr>
        <w:t>Our Strategy</w:t>
      </w:r>
    </w:p>
    <w:p>
      <w:pPr>
        <w:spacing w:after="0" w:line="78" w:lineRule="exact"/>
        <w:rPr>
          <w:sz w:val="20"/>
          <w:szCs w:val="20"/>
          <w:color w:val="auto"/>
        </w:rPr>
      </w:pPr>
    </w:p>
    <w:p>
      <w:pPr>
        <w:jc w:val="center"/>
        <w:ind w:right="579"/>
        <w:spacing w:after="0"/>
        <w:rPr>
          <w:sz w:val="20"/>
          <w:szCs w:val="20"/>
          <w:color w:val="auto"/>
        </w:rPr>
      </w:pPr>
      <w:r>
        <w:rPr>
          <w:rFonts w:ascii="Arial" w:cs="Arial" w:eastAsia="Arial" w:hAnsi="Arial"/>
          <w:sz w:val="12"/>
          <w:szCs w:val="12"/>
          <w:color w:val="auto"/>
        </w:rPr>
        <w:t>Our mission is to deliver the power of T cells to cancer patients. We seek to execute the following strategy to develop TCR-based</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1"/>
          <w:szCs w:val="11"/>
          <w:color w:val="auto"/>
        </w:rPr>
        <w:t>immunotherapies for the treatment of cancer, maximizing the value of our technology platforms and the broad portfolio of product candidates:</w:t>
      </w:r>
    </w:p>
    <w:p>
      <w:pPr>
        <w:spacing w:after="0" w:line="98" w:lineRule="exact"/>
        <w:rPr>
          <w:sz w:val="20"/>
          <w:szCs w:val="20"/>
          <w:color w:val="auto"/>
        </w:rPr>
      </w:pPr>
    </w:p>
    <w:p>
      <w:pPr>
        <w:ind w:left="1320" w:right="699" w:hanging="303"/>
        <w:spacing w:after="0" w:line="302" w:lineRule="auto"/>
        <w:tabs>
          <w:tab w:leader="none" w:pos="1320" w:val="left"/>
        </w:tabs>
        <w:numPr>
          <w:ilvl w:val="0"/>
          <w:numId w:val="4"/>
        </w:numPr>
        <w:rPr>
          <w:rFonts w:ascii="Arial" w:cs="Arial" w:eastAsia="Arial" w:hAnsi="Arial"/>
          <w:sz w:val="11"/>
          <w:szCs w:val="11"/>
          <w:color w:val="auto"/>
        </w:rPr>
      </w:pPr>
      <w:r>
        <w:rPr>
          <w:rFonts w:ascii="Arial" w:cs="Arial" w:eastAsia="Arial" w:hAnsi="Arial"/>
          <w:sz w:val="11"/>
          <w:szCs w:val="11"/>
          <w:b w:val="1"/>
          <w:bCs w:val="1"/>
          <w:color w:val="auto"/>
        </w:rPr>
        <w:t>Realize the full multi-cancer opportunity of PRAME</w:t>
      </w:r>
      <w:r>
        <w:rPr>
          <w:rFonts w:ascii="Arial" w:cs="Arial" w:eastAsia="Arial" w:hAnsi="Arial"/>
          <w:sz w:val="11"/>
          <w:szCs w:val="11"/>
          <w:color w:val="auto"/>
        </w:rPr>
        <w:t>. We believe PRAME (Preferentially Expressed Antigen in Melanoma) is one of</w:t>
      </w:r>
      <w:r>
        <w:rPr>
          <w:rFonts w:ascii="Arial" w:cs="Arial" w:eastAsia="Arial" w:hAnsi="Arial"/>
          <w:sz w:val="11"/>
          <w:szCs w:val="11"/>
          <w:b w:val="1"/>
          <w:bCs w:val="1"/>
          <w:color w:val="auto"/>
        </w:rPr>
        <w:t xml:space="preserve"> </w:t>
      </w:r>
      <w:r>
        <w:rPr>
          <w:rFonts w:ascii="Arial" w:cs="Arial" w:eastAsia="Arial" w:hAnsi="Arial"/>
          <w:sz w:val="11"/>
          <w:szCs w:val="11"/>
          <w:color w:val="auto"/>
        </w:rPr>
        <w:t>the most promising and most prevalent, clinically validated solid tumor targets known to date. To leverage its full potential and maximize patient reach, we are: (1) focusing and accelerating the development of our ACTengine IMA203 TCR-T towards pivotal trials, (2) expanding the patient population that might benefit from a PRAME-targeting therapy by developing an off-the-shelf biologic TCER IMA402 with a different mechanism of action without the requirement for administration at specialized medical centers and (3) expanding beyond HLA-A*02 by investigating new target-TCR pairs for PRAME epitopes binding to other HLA types.</w:t>
      </w:r>
    </w:p>
    <w:p>
      <w:pPr>
        <w:spacing w:after="0" w:line="40" w:lineRule="exact"/>
        <w:rPr>
          <w:rFonts w:ascii="Arial" w:cs="Arial" w:eastAsia="Arial" w:hAnsi="Arial"/>
          <w:sz w:val="11"/>
          <w:szCs w:val="11"/>
          <w:color w:val="auto"/>
        </w:rPr>
      </w:pPr>
    </w:p>
    <w:p>
      <w:pPr>
        <w:ind w:left="1320" w:right="719" w:hanging="303"/>
        <w:spacing w:after="0" w:line="270" w:lineRule="auto"/>
        <w:tabs>
          <w:tab w:leader="none" w:pos="1320" w:val="left"/>
        </w:tabs>
        <w:numPr>
          <w:ilvl w:val="0"/>
          <w:numId w:val="4"/>
        </w:numPr>
        <w:rPr>
          <w:rFonts w:ascii="Arial" w:cs="Arial" w:eastAsia="Arial" w:hAnsi="Arial"/>
          <w:sz w:val="12"/>
          <w:szCs w:val="12"/>
          <w:color w:val="auto"/>
        </w:rPr>
      </w:pPr>
      <w:r>
        <w:rPr>
          <w:rFonts w:ascii="Arial" w:cs="Arial" w:eastAsia="Arial" w:hAnsi="Arial"/>
          <w:sz w:val="12"/>
          <w:szCs w:val="12"/>
          <w:b w:val="1"/>
          <w:bCs w:val="1"/>
          <w:color w:val="auto"/>
        </w:rPr>
        <w:t>Advance our pipeline of innovative ACTengine TCR-T product candidates</w:t>
      </w:r>
      <w:r>
        <w:rPr>
          <w:rFonts w:ascii="Arial" w:cs="Arial" w:eastAsia="Arial" w:hAnsi="Arial"/>
          <w:sz w:val="12"/>
          <w:szCs w:val="12"/>
          <w:color w:val="auto"/>
        </w:rPr>
        <w:t>. In addition to our most advanced TCR-T product</w:t>
      </w:r>
      <w:r>
        <w:rPr>
          <w:rFonts w:ascii="Arial" w:cs="Arial" w:eastAsia="Arial" w:hAnsi="Arial"/>
          <w:sz w:val="12"/>
          <w:szCs w:val="12"/>
          <w:b w:val="1"/>
          <w:bCs w:val="1"/>
          <w:color w:val="auto"/>
        </w:rPr>
        <w:t xml:space="preserve"> </w:t>
      </w:r>
      <w:r>
        <w:rPr>
          <w:rFonts w:ascii="Arial" w:cs="Arial" w:eastAsia="Arial" w:hAnsi="Arial"/>
          <w:sz w:val="12"/>
          <w:szCs w:val="12"/>
          <w:color w:val="auto"/>
        </w:rPr>
        <w:t>candidate ACTengine IMA203, our pipeline is strengthened by innovative cell therapy programs in development. ACTengine IMA204 is directed against the novel tumor stroma target COL6A3 that is highly prevalent across many different solid tumor types and provides a promising and innovate therapeutic opportunity for a broad patient population as monotherapy or in combination with TCR-T cells directed against targets presented on tumor cells. IMA204 uses an affinity maturated CD8-independent, next-generation TCR that engages both CD4 and CD8 T cells without the need of CD8 co-transduction. Moreover, we continue to actively investigate multiple other next-generation enhancement and combination strategies to render ACTengine T cells even more potent to combat solid tumors and enhance tolerability and ease of use of our product candidates.</w:t>
      </w:r>
    </w:p>
    <w:p>
      <w:pPr>
        <w:spacing w:after="0" w:line="56" w:lineRule="exact"/>
        <w:rPr>
          <w:rFonts w:ascii="Arial" w:cs="Arial" w:eastAsia="Arial" w:hAnsi="Arial"/>
          <w:sz w:val="12"/>
          <w:szCs w:val="12"/>
          <w:color w:val="auto"/>
        </w:rPr>
      </w:pPr>
    </w:p>
    <w:p>
      <w:pPr>
        <w:ind w:left="1320" w:right="679" w:hanging="303"/>
        <w:spacing w:after="0" w:line="296" w:lineRule="auto"/>
        <w:tabs>
          <w:tab w:leader="none" w:pos="1320" w:val="left"/>
        </w:tabs>
        <w:numPr>
          <w:ilvl w:val="0"/>
          <w:numId w:val="4"/>
        </w:numPr>
        <w:rPr>
          <w:rFonts w:ascii="Arial" w:cs="Arial" w:eastAsia="Arial" w:hAnsi="Arial"/>
          <w:sz w:val="11"/>
          <w:szCs w:val="11"/>
          <w:color w:val="auto"/>
        </w:rPr>
      </w:pPr>
      <w:r>
        <w:rPr>
          <w:rFonts w:ascii="Arial" w:cs="Arial" w:eastAsia="Arial" w:hAnsi="Arial"/>
          <w:sz w:val="11"/>
          <w:szCs w:val="11"/>
          <w:b w:val="1"/>
          <w:bCs w:val="1"/>
          <w:color w:val="auto"/>
        </w:rPr>
        <w:t>Advance our pipeline of next-generation, half-life extended TCR Bispecifics</w:t>
      </w:r>
      <w:r>
        <w:rPr>
          <w:rFonts w:ascii="Arial" w:cs="Arial" w:eastAsia="Arial" w:hAnsi="Arial"/>
          <w:sz w:val="11"/>
          <w:szCs w:val="11"/>
          <w:color w:val="auto"/>
        </w:rPr>
        <w:t>. In addition to PRAME TCER IMA402 which entered</w:t>
      </w:r>
      <w:r>
        <w:rPr>
          <w:rFonts w:ascii="Arial" w:cs="Arial" w:eastAsia="Arial" w:hAnsi="Arial"/>
          <w:sz w:val="11"/>
          <w:szCs w:val="11"/>
          <w:b w:val="1"/>
          <w:bCs w:val="1"/>
          <w:color w:val="auto"/>
        </w:rPr>
        <w:t xml:space="preserve"> </w:t>
      </w:r>
      <w:r>
        <w:rPr>
          <w:rFonts w:ascii="Arial" w:cs="Arial" w:eastAsia="Arial" w:hAnsi="Arial"/>
          <w:sz w:val="11"/>
          <w:szCs w:val="11"/>
          <w:color w:val="auto"/>
        </w:rPr>
        <w:t>clinical development in August 2023, we have a broad portfolio of clinical and preclinical TCR Bispecifics. Phase 1 clinical development commenced in May 2022 for our most advanced TCER program IMA401 targeting MAGEA4/8. IMA401 is being developed in collaboration with BMS and we seek to deliver clinical PoC for IMA401 and thus our TCER platform as fast as possible. We also continue development of several innovative preclinical TCER product candidates against so far undisclosed targets for our proprietary and/or partnered pipeline. IMA403 is in advanced preclinical stage with PoC studies ongoing. Additionally, TCER engineering and preclinical testing is ongoing for further TCER candidates, IMA40x, targeting peptides presented by HLA-A*02:01 and other HLA-types. Our next-generation, half-life extended TCER format used in all our candidates is designed to safely apply high drug doses for activity in a broad range of tumors, even with low target density, and to achieve a patient-convenient dosing schedule.</w:t>
      </w:r>
    </w:p>
    <w:p>
      <w:pPr>
        <w:spacing w:after="0" w:line="45" w:lineRule="exact"/>
        <w:rPr>
          <w:rFonts w:ascii="Arial" w:cs="Arial" w:eastAsia="Arial" w:hAnsi="Arial"/>
          <w:sz w:val="11"/>
          <w:szCs w:val="11"/>
          <w:color w:val="auto"/>
        </w:rPr>
      </w:pPr>
    </w:p>
    <w:p>
      <w:pPr>
        <w:ind w:left="1320" w:right="719" w:hanging="303"/>
        <w:spacing w:after="0" w:line="269" w:lineRule="auto"/>
        <w:tabs>
          <w:tab w:leader="none" w:pos="1320" w:val="left"/>
        </w:tabs>
        <w:numPr>
          <w:ilvl w:val="0"/>
          <w:numId w:val="4"/>
        </w:numPr>
        <w:rPr>
          <w:rFonts w:ascii="Arial" w:cs="Arial" w:eastAsia="Arial" w:hAnsi="Arial"/>
          <w:sz w:val="12"/>
          <w:szCs w:val="12"/>
          <w:color w:val="auto"/>
        </w:rPr>
      </w:pPr>
      <w:r>
        <w:rPr>
          <w:rFonts w:ascii="Arial" w:cs="Arial" w:eastAsia="Arial" w:hAnsi="Arial"/>
          <w:sz w:val="12"/>
          <w:szCs w:val="12"/>
          <w:b w:val="1"/>
          <w:bCs w:val="1"/>
          <w:color w:val="auto"/>
        </w:rPr>
        <w:t>Further enhance our cell therapy manufacturing capabilities</w:t>
      </w:r>
      <w:r>
        <w:rPr>
          <w:rFonts w:ascii="Arial" w:cs="Arial" w:eastAsia="Arial" w:hAnsi="Arial"/>
          <w:sz w:val="12"/>
          <w:szCs w:val="12"/>
          <w:color w:val="auto"/>
        </w:rPr>
        <w:t>. Our proprietary ACTengine manufacturing process is generating TCR-T</w:t>
      </w:r>
      <w:r>
        <w:rPr>
          <w:rFonts w:ascii="Arial" w:cs="Arial" w:eastAsia="Arial" w:hAnsi="Arial"/>
          <w:sz w:val="12"/>
          <w:szCs w:val="12"/>
          <w:b w:val="1"/>
          <w:bCs w:val="1"/>
          <w:color w:val="auto"/>
        </w:rPr>
        <w:t xml:space="preserve"> </w:t>
      </w:r>
      <w:r>
        <w:rPr>
          <w:rFonts w:ascii="Arial" w:cs="Arial" w:eastAsia="Arial" w:hAnsi="Arial"/>
          <w:sz w:val="12"/>
          <w:szCs w:val="12"/>
          <w:color w:val="auto"/>
        </w:rPr>
        <w:t>cells that have been shown to achieve a high rate of objective responses, infiltrate the patient’s tumor and function in the solid tumor microenvironment. With a manufacturing time of approximately one week and an accelerated product release time, we are aiming at shortening the vein-to-vein time and to provide products to patients as fast as possible. We have implemented several manufacturing enhancements in our IMA203 Phase 1b trial (including monocyte depletion) that enhanced key features of the cell product and were focused on robustness, quality, and speed of product release. We continue to implement minor improvements to prepare for pivotal trials and potential commercialization. We are currently expanding our cell therapy manufacturing capabilities with construction of a state-of-the-art GMP manufacturing facility for registration-directed and commercial production of ACTengine TCR-T products, including IMA203. The manufacturing facility is expected to be operational in 2024.</w:t>
      </w:r>
    </w:p>
    <w:p>
      <w:pPr>
        <w:sectPr>
          <w:pgSz w:w="11900" w:h="16838" w:orient="portrait"/>
          <w:cols w:equalWidth="0" w:num="1">
            <w:col w:w="9019"/>
          </w:cols>
          <w:pgMar w:left="1440" w:top="254" w:right="1440" w:bottom="1440" w:gutter="0" w:footer="0" w:header="0"/>
        </w:sectPr>
      </w:pPr>
    </w:p>
    <w:bookmarkStart w:id="21" w:name="page22"/>
    <w:bookmarkEnd w:id="21"/>
    <w:p>
      <w:pPr>
        <w:ind w:left="1320" w:right="659" w:hanging="303"/>
        <w:spacing w:after="0" w:line="271" w:lineRule="auto"/>
        <w:tabs>
          <w:tab w:leader="none" w:pos="1320" w:val="left"/>
        </w:tabs>
        <w:numPr>
          <w:ilvl w:val="0"/>
          <w:numId w:val="5"/>
        </w:numPr>
        <w:rPr>
          <w:rFonts w:ascii="Arial" w:cs="Arial" w:eastAsia="Arial" w:hAnsi="Arial"/>
          <w:sz w:val="12"/>
          <w:szCs w:val="12"/>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0425" cy="42545"/>
                    </a:xfrm>
                    <a:prstGeom prst="rect">
                      <a:avLst/>
                    </a:prstGeom>
                    <a:noFill/>
                  </pic:spPr>
                </pic:pic>
              </a:graphicData>
            </a:graphic>
          </wp:anchor>
        </w:drawing>
        <w:t>Develop allogeneic off-the-shelf cell therapies</w:t>
      </w:r>
      <w:r>
        <w:rPr>
          <w:rFonts w:ascii="Arial" w:cs="Arial" w:eastAsia="Arial" w:hAnsi="Arial"/>
          <w:sz w:val="12"/>
          <w:szCs w:val="12"/>
          <w:color w:val="auto"/>
        </w:rPr>
        <w:t>. We aim to increase the commercial opportunity of cell therapies by supplying products to</w:t>
      </w:r>
      <w:r>
        <w:rPr>
          <w:rFonts w:ascii="Arial" w:cs="Arial" w:eastAsia="Arial" w:hAnsi="Arial"/>
          <w:sz w:val="12"/>
          <w:szCs w:val="12"/>
          <w:b w:val="1"/>
          <w:bCs w:val="1"/>
          <w:color w:val="auto"/>
        </w:rPr>
        <w:t xml:space="preserve"> </w:t>
      </w:r>
      <w:r>
        <w:rPr>
          <w:rFonts w:ascii="Arial" w:cs="Arial" w:eastAsia="Arial" w:hAnsi="Arial"/>
          <w:sz w:val="12"/>
          <w:szCs w:val="12"/>
          <w:color w:val="auto"/>
        </w:rPr>
        <w:t>patients more quickly and at lower cost with our off-the-shelf cell therapy approach, ACTallo. ACTallo is our proprietary allogeneic adoptive cell therapy platform based on gamma delta T cells sourced from healthy donors and designed to create hundreds of doses from one single donor leukapheresis. In June 2022, we entered into strategic collaborations with Bristol Myers Squibb and Editas Medicine with the goal to develop transformative next-generation allogeneic gamma delta TCR-T/CAR-T programs with enhanced persistence, safety and potency by combining our proprietary ACTallo platform with Bristol Myers Squibb’s next-gen technologies and Editas Medicine’s CRISPR gene editing technology.</w:t>
      </w:r>
    </w:p>
    <w:p>
      <w:pPr>
        <w:spacing w:after="0" w:line="55" w:lineRule="exact"/>
        <w:rPr>
          <w:rFonts w:ascii="Arial" w:cs="Arial" w:eastAsia="Arial" w:hAnsi="Arial"/>
          <w:sz w:val="12"/>
          <w:szCs w:val="12"/>
          <w:color w:val="auto"/>
        </w:rPr>
      </w:pPr>
    </w:p>
    <w:p>
      <w:pPr>
        <w:ind w:left="1320" w:right="759" w:hanging="303"/>
        <w:spacing w:after="0" w:line="270" w:lineRule="auto"/>
        <w:tabs>
          <w:tab w:leader="none" w:pos="1320" w:val="left"/>
        </w:tabs>
        <w:numPr>
          <w:ilvl w:val="0"/>
          <w:numId w:val="5"/>
        </w:numPr>
        <w:rPr>
          <w:rFonts w:ascii="Arial" w:cs="Arial" w:eastAsia="Arial" w:hAnsi="Arial"/>
          <w:sz w:val="12"/>
          <w:szCs w:val="12"/>
          <w:color w:val="auto"/>
        </w:rPr>
      </w:pPr>
      <w:r>
        <w:rPr>
          <w:rFonts w:ascii="Arial" w:cs="Arial" w:eastAsia="Arial" w:hAnsi="Arial"/>
          <w:sz w:val="12"/>
          <w:szCs w:val="12"/>
          <w:b w:val="1"/>
          <w:bCs w:val="1"/>
          <w:color w:val="auto"/>
        </w:rPr>
        <w:t>Leverage the full potential of strategic collaborations</w:t>
      </w:r>
      <w:r>
        <w:rPr>
          <w:rFonts w:ascii="Arial" w:cs="Arial" w:eastAsia="Arial" w:hAnsi="Arial"/>
          <w:sz w:val="12"/>
          <w:szCs w:val="12"/>
          <w:color w:val="auto"/>
        </w:rPr>
        <w:t>. We have entered strategic collaborations with key industry partners to maintain</w:t>
      </w:r>
      <w:r>
        <w:rPr>
          <w:rFonts w:ascii="Arial" w:cs="Arial" w:eastAsia="Arial" w:hAnsi="Arial"/>
          <w:sz w:val="12"/>
          <w:szCs w:val="12"/>
          <w:b w:val="1"/>
          <w:bCs w:val="1"/>
          <w:color w:val="auto"/>
        </w:rPr>
        <w:t xml:space="preserve"> </w:t>
      </w:r>
      <w:r>
        <w:rPr>
          <w:rFonts w:ascii="Arial" w:cs="Arial" w:eastAsia="Arial" w:hAnsi="Arial"/>
          <w:sz w:val="12"/>
          <w:szCs w:val="12"/>
          <w:color w:val="auto"/>
        </w:rPr>
        <w:t>our leadership position in the TCR therapeutics field and to strengthen our proprietary pipeline. We intend to generate value from these strategic collaborations by developing transformative, cutting-edge therapeutics through the combination of synergistic capabilities and technologies, and we benefit through upfront payments and potential milestone payments and royalties for product candidates that our partners successfully advance into and through clinical development and towards commercial launch. We are in discussions to potentially establish a strategic collaboration that may encompass any, some or all of the following: exclusive development and out-licensing agreement of therapeutics against a limited number of preclinical-stage TCER targets, limited access to our XPRESIDENT technology platform and/or the development of combination therapeutics.</w:t>
      </w:r>
    </w:p>
    <w:p>
      <w:pPr>
        <w:spacing w:after="0" w:line="56" w:lineRule="exact"/>
        <w:rPr>
          <w:rFonts w:ascii="Arial" w:cs="Arial" w:eastAsia="Arial" w:hAnsi="Arial"/>
          <w:sz w:val="12"/>
          <w:szCs w:val="12"/>
          <w:color w:val="auto"/>
        </w:rPr>
      </w:pPr>
    </w:p>
    <w:p>
      <w:pPr>
        <w:ind w:left="1320" w:right="699" w:hanging="303"/>
        <w:spacing w:after="0" w:line="255" w:lineRule="auto"/>
        <w:tabs>
          <w:tab w:leader="none" w:pos="1320" w:val="left"/>
        </w:tabs>
        <w:numPr>
          <w:ilvl w:val="0"/>
          <w:numId w:val="5"/>
        </w:numPr>
        <w:rPr>
          <w:rFonts w:ascii="Arial" w:cs="Arial" w:eastAsia="Arial" w:hAnsi="Arial"/>
          <w:sz w:val="13"/>
          <w:szCs w:val="13"/>
          <w:color w:val="auto"/>
        </w:rPr>
      </w:pPr>
      <w:r>
        <w:rPr>
          <w:rFonts w:ascii="Arial" w:cs="Arial" w:eastAsia="Arial" w:hAnsi="Arial"/>
          <w:sz w:val="13"/>
          <w:szCs w:val="13"/>
          <w:b w:val="1"/>
          <w:bCs w:val="1"/>
          <w:color w:val="auto"/>
        </w:rPr>
        <w:t>Strengthen our intellectual property portfolio</w:t>
      </w:r>
      <w:r>
        <w:rPr>
          <w:rFonts w:ascii="Arial" w:cs="Arial" w:eastAsia="Arial" w:hAnsi="Arial"/>
          <w:sz w:val="13"/>
          <w:szCs w:val="13"/>
          <w:color w:val="auto"/>
        </w:rPr>
        <w:t>. We intend to continuously build and maintain our intellectual property portfolio.The</w:t>
      </w:r>
      <w:r>
        <w:rPr>
          <w:rFonts w:ascii="Arial" w:cs="Arial" w:eastAsia="Arial" w:hAnsi="Arial"/>
          <w:sz w:val="13"/>
          <w:szCs w:val="13"/>
          <w:b w:val="1"/>
          <w:bCs w:val="1"/>
          <w:color w:val="auto"/>
        </w:rPr>
        <w:t xml:space="preserve"> </w:t>
      </w:r>
      <w:r>
        <w:rPr>
          <w:rFonts w:ascii="Arial" w:cs="Arial" w:eastAsia="Arial" w:hAnsi="Arial"/>
          <w:sz w:val="13"/>
          <w:szCs w:val="13"/>
          <w:color w:val="auto"/>
        </w:rPr>
        <w:t>protection of our intellectual property assets is a foundational element of our ability to not only strengthen our product pipeline, but also to successfully defend and strengthen our position in the field of TCR therapies.</w:t>
      </w:r>
    </w:p>
    <w:p>
      <w:pPr>
        <w:spacing w:after="0" w:line="63" w:lineRule="exact"/>
        <w:rPr>
          <w:rFonts w:ascii="Arial" w:cs="Arial" w:eastAsia="Arial" w:hAnsi="Arial"/>
          <w:sz w:val="13"/>
          <w:szCs w:val="13"/>
          <w:color w:val="auto"/>
        </w:rPr>
      </w:pPr>
    </w:p>
    <w:p>
      <w:pPr>
        <w:ind w:left="1320" w:right="659" w:hanging="303"/>
        <w:spacing w:after="0" w:line="269" w:lineRule="auto"/>
        <w:tabs>
          <w:tab w:leader="none" w:pos="1320" w:val="left"/>
        </w:tabs>
        <w:numPr>
          <w:ilvl w:val="0"/>
          <w:numId w:val="5"/>
        </w:numPr>
        <w:rPr>
          <w:rFonts w:ascii="Arial" w:cs="Arial" w:eastAsia="Arial" w:hAnsi="Arial"/>
          <w:sz w:val="12"/>
          <w:szCs w:val="12"/>
          <w:color w:val="auto"/>
        </w:rPr>
      </w:pPr>
      <w:r>
        <w:rPr>
          <w:rFonts w:ascii="Arial" w:cs="Arial" w:eastAsia="Arial" w:hAnsi="Arial"/>
          <w:sz w:val="12"/>
          <w:szCs w:val="12"/>
          <w:b w:val="1"/>
          <w:bCs w:val="1"/>
          <w:color w:val="auto"/>
        </w:rPr>
        <w:t>Enhance the competitive edge of our technology platforms</w:t>
      </w:r>
      <w:r>
        <w:rPr>
          <w:rFonts w:ascii="Arial" w:cs="Arial" w:eastAsia="Arial" w:hAnsi="Arial"/>
          <w:sz w:val="12"/>
          <w:szCs w:val="12"/>
          <w:color w:val="auto"/>
        </w:rPr>
        <w:t>. Our target and TCR discovery platforms XPRESIDENT and XCEPTOR are</w:t>
      </w:r>
      <w:r>
        <w:rPr>
          <w:rFonts w:ascii="Arial" w:cs="Arial" w:eastAsia="Arial" w:hAnsi="Arial"/>
          <w:sz w:val="12"/>
          <w:szCs w:val="12"/>
          <w:b w:val="1"/>
          <w:bCs w:val="1"/>
          <w:color w:val="auto"/>
        </w:rPr>
        <w:t xml:space="preserve"> </w:t>
      </w:r>
      <w:r>
        <w:rPr>
          <w:rFonts w:ascii="Arial" w:cs="Arial" w:eastAsia="Arial" w:hAnsi="Arial"/>
          <w:sz w:val="12"/>
          <w:szCs w:val="12"/>
          <w:color w:val="auto"/>
        </w:rPr>
        <w:t>the foundation for the further strengthening our product pipeline and our position in the field of TCR-based therapies. We have developed a suite of proprietary technologies to identify what we refer to as “true targets” and “right TCRs.” True targets are (i) naturally occurring at significant levels on native tumor tissue (in contrast to being in silico predicted or identified from cell line cultures), and (ii) highly specific to cancer cells. Right TCRs are (i) high-affinity TCRs, and (ii) highly specific to the respective cancer target, with no or minimized cross-reactivities to healthy tissues. We leverage this unique knowledge to develop a pipeline of transformative TCR-based product candidates. Our goal is to maintain and expand our competitive edge in highly differentiated platform technologies aimed at developing additional, better and highly innovative product candidates within shorter development timelines, for mid- and long-term value generation as part of our own or partnered pipeline.</w:t>
      </w:r>
    </w:p>
    <w:p>
      <w:pPr>
        <w:spacing w:after="0" w:line="128" w:lineRule="exact"/>
        <w:rPr>
          <w:sz w:val="20"/>
          <w:szCs w:val="20"/>
          <w:color w:val="auto"/>
        </w:rPr>
      </w:pPr>
    </w:p>
    <w:p>
      <w:pPr>
        <w:ind w:left="640"/>
        <w:spacing w:after="0"/>
        <w:rPr>
          <w:sz w:val="20"/>
          <w:szCs w:val="20"/>
          <w:color w:val="auto"/>
        </w:rPr>
      </w:pPr>
      <w:r>
        <w:rPr>
          <w:rFonts w:ascii="Arial" w:cs="Arial" w:eastAsia="Arial" w:hAnsi="Arial"/>
          <w:sz w:val="13"/>
          <w:szCs w:val="13"/>
          <w:b w:val="1"/>
          <w:bCs w:val="1"/>
          <w:i w:val="1"/>
          <w:iCs w:val="1"/>
          <w:color w:val="auto"/>
        </w:rPr>
        <w:t>Portfolio Update</w:t>
      </w:r>
    </w:p>
    <w:p>
      <w:pPr>
        <w:spacing w:after="0" w:line="74"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Adoptive Cell Therapy Programs</w:t>
      </w:r>
    </w:p>
    <w:p>
      <w:pPr>
        <w:spacing w:after="0" w:line="78" w:lineRule="exact"/>
        <w:rPr>
          <w:sz w:val="20"/>
          <w:szCs w:val="20"/>
          <w:color w:val="auto"/>
        </w:rPr>
      </w:pPr>
    </w:p>
    <w:p>
      <w:pPr>
        <w:ind w:left="640"/>
        <w:spacing w:after="0"/>
        <w:rPr>
          <w:sz w:val="20"/>
          <w:szCs w:val="20"/>
          <w:color w:val="auto"/>
        </w:rPr>
      </w:pPr>
      <w:r>
        <w:rPr>
          <w:rFonts w:ascii="Arial" w:cs="Arial" w:eastAsia="Arial" w:hAnsi="Arial"/>
          <w:sz w:val="12"/>
          <w:szCs w:val="12"/>
          <w:b w:val="1"/>
          <w:bCs w:val="1"/>
          <w:color w:val="auto"/>
        </w:rPr>
        <w:t>ACTengine</w:t>
      </w:r>
      <w:r>
        <w:rPr>
          <w:rFonts w:ascii="Arial" w:cs="Arial" w:eastAsia="Arial" w:hAnsi="Arial"/>
          <w:sz w:val="17"/>
          <w:szCs w:val="17"/>
          <w:b w:val="1"/>
          <w:bCs w:val="1"/>
          <w:color w:val="auto"/>
          <w:vertAlign w:val="superscript"/>
        </w:rPr>
        <w:t>®</w:t>
      </w:r>
      <w:r>
        <w:rPr>
          <w:rFonts w:ascii="Arial" w:cs="Arial" w:eastAsia="Arial" w:hAnsi="Arial"/>
          <w:sz w:val="12"/>
          <w:szCs w:val="12"/>
          <w:b w:val="1"/>
          <w:bCs w:val="1"/>
          <w:color w:val="auto"/>
        </w:rPr>
        <w:t xml:space="preserve"> IMA203</w:t>
      </w:r>
      <w:r>
        <w:rPr>
          <w:rFonts w:ascii="Arial" w:cs="Arial" w:eastAsia="Arial" w:hAnsi="Arial"/>
          <w:sz w:val="12"/>
          <w:szCs w:val="12"/>
          <w:color w:val="auto"/>
        </w:rPr>
        <w:t>: ACTengine</w:t>
      </w:r>
      <w:r>
        <w:rPr>
          <w:rFonts w:ascii="Arial" w:cs="Arial" w:eastAsia="Arial" w:hAnsi="Arial"/>
          <w:sz w:val="17"/>
          <w:szCs w:val="17"/>
          <w:color w:val="auto"/>
          <w:vertAlign w:val="superscript"/>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IMA203 TCR-T against PRAME is currently being evaluated in an ongoing Phase 1b dose expansion trial.</w:t>
      </w:r>
    </w:p>
    <w:p>
      <w:pPr>
        <w:spacing w:after="0" w:line="55" w:lineRule="exact"/>
        <w:rPr>
          <w:sz w:val="20"/>
          <w:szCs w:val="20"/>
          <w:color w:val="auto"/>
        </w:rPr>
      </w:pPr>
    </w:p>
    <w:p>
      <w:pPr>
        <w:ind w:left="1320" w:right="759" w:hanging="303"/>
        <w:spacing w:after="0" w:line="267" w:lineRule="auto"/>
        <w:tabs>
          <w:tab w:leader="none" w:pos="1320" w:val="left"/>
        </w:tabs>
        <w:numPr>
          <w:ilvl w:val="0"/>
          <w:numId w:val="6"/>
        </w:numPr>
        <w:rPr>
          <w:rFonts w:ascii="Arial" w:cs="Arial" w:eastAsia="Arial" w:hAnsi="Arial"/>
          <w:sz w:val="11"/>
          <w:szCs w:val="11"/>
          <w:color w:val="auto"/>
        </w:rPr>
      </w:pPr>
      <w:r>
        <w:rPr>
          <w:rFonts w:ascii="Arial" w:cs="Arial" w:eastAsia="Arial" w:hAnsi="Arial"/>
          <w:sz w:val="11"/>
          <w:szCs w:val="11"/>
          <w:color w:val="auto"/>
        </w:rPr>
        <w:t>As per the latest data cut-off of April 4, 2023, ACTengine</w:t>
      </w:r>
      <w:r>
        <w:rPr>
          <w:rFonts w:ascii="Arial" w:cs="Arial" w:eastAsia="Arial" w:hAnsi="Arial"/>
          <w:sz w:val="16"/>
          <w:szCs w:val="16"/>
          <w:color w:val="auto"/>
          <w:vertAlign w:val="superscript"/>
        </w:rPr>
        <w:t>®</w:t>
      </w:r>
      <w:r>
        <w:rPr>
          <w:rFonts w:ascii="Arial" w:cs="Arial" w:eastAsia="Arial" w:hAnsi="Arial"/>
          <w:sz w:val="11"/>
          <w:szCs w:val="11"/>
          <w:color w:val="auto"/>
        </w:rPr>
        <w:t xml:space="preserve"> IMA203 TCR-T monotherapy Cohort A showed a 67% confirmed objective response rate (cORR) in an interim clinical update announced on May 2, 2023. The data covered 11 heavily pre-treated patients; the median duration of response was not reached at a median follow-up time of 8.5 months. Patients were infused with IMA203 TCR-T cells at dose level (DL) 4 or DL5 with a mean total infused dose of 3.67x10</w:t>
      </w:r>
      <w:r>
        <w:rPr>
          <w:rFonts w:ascii="Arial" w:cs="Arial" w:eastAsia="Arial" w:hAnsi="Arial"/>
          <w:sz w:val="16"/>
          <w:szCs w:val="16"/>
          <w:color w:val="auto"/>
          <w:vertAlign w:val="superscript"/>
        </w:rPr>
        <w:t>9</w:t>
      </w:r>
      <w:r>
        <w:rPr>
          <w:rFonts w:ascii="Arial" w:cs="Arial" w:eastAsia="Arial" w:hAnsi="Arial"/>
          <w:sz w:val="11"/>
          <w:szCs w:val="11"/>
          <w:color w:val="auto"/>
        </w:rPr>
        <w:t xml:space="preserve"> TCR-T cells (range 1.30-8.84x10</w:t>
      </w:r>
      <w:r>
        <w:rPr>
          <w:rFonts w:ascii="Arial" w:cs="Arial" w:eastAsia="Arial" w:hAnsi="Arial"/>
          <w:sz w:val="16"/>
          <w:szCs w:val="16"/>
          <w:color w:val="auto"/>
          <w:vertAlign w:val="superscript"/>
        </w:rPr>
        <w:t>9</w:t>
      </w:r>
      <w:r>
        <w:rPr>
          <w:rFonts w:ascii="Arial" w:cs="Arial" w:eastAsia="Arial" w:hAnsi="Arial"/>
          <w:sz w:val="11"/>
          <w:szCs w:val="11"/>
          <w:color w:val="auto"/>
        </w:rPr>
        <w:t xml:space="preserve"> TCR-T cells).</w:t>
      </w:r>
    </w:p>
    <w:p>
      <w:pPr>
        <w:spacing w:after="0" w:line="1" w:lineRule="exact"/>
        <w:rPr>
          <w:rFonts w:ascii="Arial" w:cs="Arial" w:eastAsia="Arial" w:hAnsi="Arial"/>
          <w:sz w:val="11"/>
          <w:szCs w:val="11"/>
          <w:color w:val="auto"/>
        </w:rPr>
      </w:pPr>
    </w:p>
    <w:p>
      <w:pPr>
        <w:ind w:left="1320" w:hanging="303"/>
        <w:spacing w:after="0"/>
        <w:tabs>
          <w:tab w:leader="none" w:pos="1320" w:val="left"/>
        </w:tabs>
        <w:numPr>
          <w:ilvl w:val="0"/>
          <w:numId w:val="6"/>
        </w:numPr>
        <w:rPr>
          <w:rFonts w:ascii="Arial" w:cs="Arial" w:eastAsia="Arial" w:hAnsi="Arial"/>
          <w:sz w:val="11"/>
          <w:szCs w:val="11"/>
          <w:color w:val="auto"/>
        </w:rPr>
      </w:pPr>
      <w:r>
        <w:rPr>
          <w:rFonts w:ascii="Arial" w:cs="Arial" w:eastAsia="Arial" w:hAnsi="Arial"/>
          <w:sz w:val="11"/>
          <w:szCs w:val="11"/>
          <w:color w:val="auto"/>
        </w:rPr>
        <w:t>Cohort A IMA203 monotherapy TCR-T treatment continues to show manageable tolerability with no high-grade CRS and no ICANS; all</w:t>
      </w:r>
    </w:p>
    <w:p>
      <w:pPr>
        <w:spacing w:after="0" w:line="24" w:lineRule="exact"/>
        <w:rPr>
          <w:rFonts w:ascii="Arial" w:cs="Arial" w:eastAsia="Arial" w:hAnsi="Arial"/>
          <w:sz w:val="11"/>
          <w:szCs w:val="11"/>
          <w:color w:val="auto"/>
        </w:rPr>
      </w:pPr>
    </w:p>
    <w:p>
      <w:pPr>
        <w:ind w:left="1320" w:right="699"/>
        <w:spacing w:after="0" w:line="287" w:lineRule="auto"/>
        <w:tabs>
          <w:tab w:leader="none" w:pos="1473" w:val="left"/>
        </w:tabs>
        <w:numPr>
          <w:ilvl w:val="1"/>
          <w:numId w:val="6"/>
        </w:numPr>
        <w:rPr>
          <w:rFonts w:ascii="Arial" w:cs="Arial" w:eastAsia="Arial" w:hAnsi="Arial"/>
          <w:sz w:val="12"/>
          <w:szCs w:val="12"/>
          <w:color w:val="auto"/>
        </w:rPr>
      </w:pPr>
      <w:r>
        <w:rPr>
          <w:rFonts w:ascii="Arial" w:cs="Arial" w:eastAsia="Arial" w:hAnsi="Arial"/>
          <w:sz w:val="12"/>
          <w:szCs w:val="12"/>
          <w:color w:val="auto"/>
        </w:rPr>
        <w:t>patients experienced expected cytopenia (Grade 1-4) associated with lymphodepletion. 10 patients (91%) had a low to moderate (Grade 1-2) cytokine release syndrome (CRS), of which 5 patients (45%) had Grade 1, and 5 patients (45%) had Grade 2 CRS.</w:t>
      </w:r>
    </w:p>
    <w:p>
      <w:pPr>
        <w:spacing w:after="0" w:line="49" w:lineRule="exact"/>
        <w:rPr>
          <w:rFonts w:ascii="Arial" w:cs="Arial" w:eastAsia="Arial" w:hAnsi="Arial"/>
          <w:sz w:val="12"/>
          <w:szCs w:val="12"/>
          <w:color w:val="auto"/>
        </w:rPr>
      </w:pPr>
    </w:p>
    <w:p>
      <w:pPr>
        <w:ind w:left="1320" w:right="679" w:hanging="303"/>
        <w:spacing w:after="0" w:line="320" w:lineRule="auto"/>
        <w:tabs>
          <w:tab w:leader="none" w:pos="1320" w:val="left"/>
        </w:tabs>
        <w:numPr>
          <w:ilvl w:val="0"/>
          <w:numId w:val="6"/>
        </w:numPr>
        <w:rPr>
          <w:rFonts w:ascii="Arial" w:cs="Arial" w:eastAsia="Arial" w:hAnsi="Arial"/>
          <w:sz w:val="11"/>
          <w:szCs w:val="11"/>
          <w:color w:val="auto"/>
        </w:rPr>
      </w:pPr>
      <w:r>
        <w:rPr>
          <w:rFonts w:ascii="Arial" w:cs="Arial" w:eastAsia="Arial" w:hAnsi="Arial"/>
          <w:sz w:val="11"/>
          <w:szCs w:val="11"/>
          <w:color w:val="auto"/>
        </w:rPr>
        <w:t>Objective responses were observed independent of tumor type including checkpoint-refractory and BRAF inhibitor-refractory cutaneous melanoma, platinum-resistant ovarian cancer, uveal melanoma, head and neck cancer and synovial sarcoma. Longest duration of responses were observed in cutaneous and uveal melanoma with ongoing responses at 6, 9 and 10 months post infusion at data cut-off.</w:t>
      </w:r>
    </w:p>
    <w:p>
      <w:pPr>
        <w:spacing w:after="0" w:line="34" w:lineRule="exact"/>
        <w:rPr>
          <w:rFonts w:ascii="Arial" w:cs="Arial" w:eastAsia="Arial" w:hAnsi="Arial"/>
          <w:sz w:val="11"/>
          <w:szCs w:val="11"/>
          <w:color w:val="auto"/>
        </w:rPr>
      </w:pPr>
    </w:p>
    <w:p>
      <w:pPr>
        <w:ind w:left="1320" w:right="679" w:hanging="303"/>
        <w:spacing w:after="0" w:line="261" w:lineRule="auto"/>
        <w:tabs>
          <w:tab w:leader="none" w:pos="1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IMA203 in combination with nivolumab (Cohort B) has been de-prioritized in the last-line setting. Such a combination is being considered for the front-line setting.</w:t>
      </w:r>
    </w:p>
    <w:p>
      <w:pPr>
        <w:spacing w:after="0" w:line="63" w:lineRule="exact"/>
        <w:rPr>
          <w:rFonts w:ascii="Arial" w:cs="Arial" w:eastAsia="Arial" w:hAnsi="Arial"/>
          <w:sz w:val="13"/>
          <w:szCs w:val="13"/>
          <w:color w:val="auto"/>
        </w:rPr>
      </w:pPr>
    </w:p>
    <w:p>
      <w:pPr>
        <w:ind w:left="1320" w:right="659" w:hanging="303"/>
        <w:spacing w:after="0" w:line="268" w:lineRule="auto"/>
        <w:tabs>
          <w:tab w:leader="none" w:pos="1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IMA203CD8 (Cohort C) is a next-generation monotherapy where IMA203 engineered T cells are co-transduced with a CD8αß co-receptor. IMA203CD8 is currently being explored in DL4a (up to 0.8x10</w:t>
      </w:r>
      <w:r>
        <w:rPr>
          <w:rFonts w:ascii="Arial" w:cs="Arial" w:eastAsia="Arial" w:hAnsi="Arial"/>
          <w:sz w:val="18"/>
          <w:szCs w:val="18"/>
          <w:color w:val="auto"/>
          <w:vertAlign w:val="superscript"/>
        </w:rPr>
        <w:t>9</w:t>
      </w:r>
      <w:r>
        <w:rPr>
          <w:rFonts w:ascii="Arial" w:cs="Arial" w:eastAsia="Arial" w:hAnsi="Arial"/>
          <w:sz w:val="13"/>
          <w:szCs w:val="13"/>
          <w:color w:val="auto"/>
        </w:rPr>
        <w:t xml:space="preserve"> TCR-T cells/m</w:t>
      </w:r>
      <w:r>
        <w:rPr>
          <w:rFonts w:ascii="Arial" w:cs="Arial" w:eastAsia="Arial" w:hAnsi="Arial"/>
          <w:sz w:val="18"/>
          <w:szCs w:val="18"/>
          <w:color w:val="auto"/>
          <w:vertAlign w:val="superscript"/>
        </w:rPr>
        <w:t>2</w:t>
      </w:r>
      <w:r>
        <w:rPr>
          <w:rFonts w:ascii="Arial" w:cs="Arial" w:eastAsia="Arial" w:hAnsi="Arial"/>
          <w:sz w:val="13"/>
          <w:szCs w:val="13"/>
          <w:color w:val="auto"/>
        </w:rPr>
        <w:t xml:space="preserve"> BSA).</w:t>
      </w:r>
    </w:p>
    <w:p>
      <w:pPr>
        <w:ind w:left="1320" w:right="879" w:hanging="303"/>
        <w:spacing w:after="0" w:line="244" w:lineRule="auto"/>
        <w:tabs>
          <w:tab w:leader="none" w:pos="1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Next update on Immatics’ IMA203 Phase 1b cohorts, including the projected clinical development path for PRAME-targeted TCR-T monotherapy towards registration-directed trials is planned for 4Q 2023. Immatics’ IMA203 development strategy to realize the multi-cancer opportunity of targeting PRAME is based on two pillars aimed at:</w:t>
      </w:r>
    </w:p>
    <w:p>
      <w:pPr>
        <w:spacing w:after="0" w:line="74" w:lineRule="exact"/>
        <w:rPr>
          <w:rFonts w:ascii="Arial" w:cs="Arial" w:eastAsia="Arial" w:hAnsi="Arial"/>
          <w:sz w:val="13"/>
          <w:szCs w:val="13"/>
          <w:color w:val="auto"/>
        </w:rPr>
      </w:pPr>
    </w:p>
    <w:p>
      <w:pPr>
        <w:ind w:left="1640" w:right="1059" w:hanging="311"/>
        <w:spacing w:after="0" w:line="352" w:lineRule="auto"/>
        <w:tabs>
          <w:tab w:leader="none" w:pos="1640" w:val="left"/>
        </w:tabs>
        <w:numPr>
          <w:ilvl w:val="1"/>
          <w:numId w:val="7"/>
        </w:numPr>
        <w:rPr>
          <w:rFonts w:ascii="Arial" w:cs="Arial" w:eastAsia="Arial" w:hAnsi="Arial"/>
          <w:sz w:val="11"/>
          <w:szCs w:val="11"/>
          <w:color w:val="auto"/>
        </w:rPr>
      </w:pPr>
      <w:r>
        <w:rPr>
          <w:rFonts w:ascii="Arial" w:cs="Arial" w:eastAsia="Arial" w:hAnsi="Arial"/>
          <w:sz w:val="11"/>
          <w:szCs w:val="11"/>
          <w:color w:val="auto"/>
        </w:rPr>
        <w:t>maximizing speed to market in one to two last-line solid cancer types focusing on cutaneous melanoma, uveal melanoma and potentially other tumor types with high PRAME prevalence where clinical proof-of-concept has been demonstrated, and</w:t>
      </w:r>
    </w:p>
    <w:p>
      <w:pPr>
        <w:spacing w:after="0" w:line="17" w:lineRule="exact"/>
        <w:rPr>
          <w:rFonts w:ascii="Arial" w:cs="Arial" w:eastAsia="Arial" w:hAnsi="Arial"/>
          <w:sz w:val="11"/>
          <w:szCs w:val="11"/>
          <w:color w:val="auto"/>
        </w:rPr>
      </w:pPr>
    </w:p>
    <w:p>
      <w:pPr>
        <w:ind w:left="1640" w:right="679" w:hanging="311"/>
        <w:spacing w:after="0" w:line="261" w:lineRule="auto"/>
        <w:tabs>
          <w:tab w:leader="none" w:pos="1640" w:val="left"/>
        </w:tabs>
        <w:numPr>
          <w:ilvl w:val="1"/>
          <w:numId w:val="7"/>
        </w:numPr>
        <w:rPr>
          <w:rFonts w:ascii="Arial" w:cs="Arial" w:eastAsia="Arial" w:hAnsi="Arial"/>
          <w:sz w:val="13"/>
          <w:szCs w:val="13"/>
          <w:color w:val="auto"/>
        </w:rPr>
      </w:pPr>
      <w:r>
        <w:rPr>
          <w:rFonts w:ascii="Arial" w:cs="Arial" w:eastAsia="Arial" w:hAnsi="Arial"/>
          <w:sz w:val="13"/>
          <w:szCs w:val="13"/>
          <w:color w:val="auto"/>
        </w:rPr>
        <w:t>broad development with expansion to other cancer types, such as ovarian cancer, uterine cancer, lung cancer, breast cancer, head and neck cancer and other tumor types having a broad patient reach.</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TCR-T pipeline</w:t>
      </w:r>
    </w:p>
    <w:p>
      <w:pPr>
        <w:spacing w:after="0" w:line="91" w:lineRule="exact"/>
        <w:rPr>
          <w:sz w:val="20"/>
          <w:szCs w:val="20"/>
          <w:color w:val="auto"/>
        </w:rPr>
      </w:pPr>
    </w:p>
    <w:p>
      <w:pPr>
        <w:ind w:left="1320" w:right="659" w:hanging="303"/>
        <w:spacing w:after="0" w:line="252" w:lineRule="auto"/>
        <w:tabs>
          <w:tab w:leader="none" w:pos="1320" w:val="left"/>
        </w:tabs>
        <w:numPr>
          <w:ilvl w:val="0"/>
          <w:numId w:val="8"/>
        </w:numPr>
        <w:rPr>
          <w:rFonts w:ascii="Arial" w:cs="Arial" w:eastAsia="Arial" w:hAnsi="Arial"/>
          <w:sz w:val="13"/>
          <w:szCs w:val="13"/>
          <w:color w:val="auto"/>
        </w:rPr>
      </w:pPr>
      <w:r>
        <w:rPr>
          <w:rFonts w:ascii="Arial" w:cs="Arial" w:eastAsia="Arial" w:hAnsi="Arial"/>
          <w:sz w:val="13"/>
          <w:szCs w:val="13"/>
          <w:color w:val="auto"/>
        </w:rPr>
        <w:t>Earlier this year, Bristol Myers Squibb exercised its first option and entered into a global license agreement with Immatics for the most advanced TCR-T product candidate. As part of the agreement, Immatics received an option payment of $15 million and is eligible for up to $490 million in milestone payments in addition to tiered royalties on net sales of the product.</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TCR Bispecifics Programs</w:t>
      </w:r>
    </w:p>
    <w:p>
      <w:pPr>
        <w:spacing w:after="0" w:line="82" w:lineRule="exact"/>
        <w:rPr>
          <w:sz w:val="20"/>
          <w:szCs w:val="20"/>
          <w:color w:val="auto"/>
        </w:rPr>
      </w:pPr>
    </w:p>
    <w:p>
      <w:pPr>
        <w:jc w:val="both"/>
        <w:ind w:left="640" w:right="1019"/>
        <w:spacing w:after="0" w:line="220" w:lineRule="auto"/>
        <w:rPr>
          <w:sz w:val="20"/>
          <w:szCs w:val="20"/>
          <w:color w:val="auto"/>
        </w:rPr>
      </w:pPr>
      <w:r>
        <w:rPr>
          <w:rFonts w:ascii="Arial" w:cs="Arial" w:eastAsia="Arial" w:hAnsi="Arial"/>
          <w:sz w:val="13"/>
          <w:szCs w:val="13"/>
          <w:color w:val="auto"/>
        </w:rPr>
        <w:t>Immatics’ T cell engaging receptor (TCER</w:t>
      </w:r>
      <w:r>
        <w:rPr>
          <w:rFonts w:ascii="Arial" w:cs="Arial" w:eastAsia="Arial" w:hAnsi="Arial"/>
          <w:sz w:val="18"/>
          <w:szCs w:val="18"/>
          <w:color w:val="auto"/>
          <w:vertAlign w:val="superscript"/>
        </w:rPr>
        <w:t>®</w:t>
      </w:r>
      <w:r>
        <w:rPr>
          <w:rFonts w:ascii="Arial" w:cs="Arial" w:eastAsia="Arial" w:hAnsi="Arial"/>
          <w:sz w:val="13"/>
          <w:szCs w:val="13"/>
          <w:color w:val="auto"/>
        </w:rPr>
        <w:t>) candidates are next-generation, half-life extended TCR Bispecific molecules designed to maximize efficacy while minimizing toxicities in patients through Immatics’ proprietary format using a low-affinity T cell recruiter and a high-affinity TCR domain.</w:t>
      </w:r>
    </w:p>
    <w:p>
      <w:pPr>
        <w:spacing w:after="0" w:line="72" w:lineRule="exact"/>
        <w:rPr>
          <w:sz w:val="20"/>
          <w:szCs w:val="20"/>
          <w:color w:val="auto"/>
        </w:rPr>
      </w:pPr>
    </w:p>
    <w:p>
      <w:pPr>
        <w:ind w:left="1320" w:right="659" w:hanging="303"/>
        <w:spacing w:after="0" w:line="255" w:lineRule="auto"/>
        <w:tabs>
          <w:tab w:leader="none" w:pos="1320" w:val="left"/>
        </w:tabs>
        <w:numPr>
          <w:ilvl w:val="0"/>
          <w:numId w:val="9"/>
        </w:numPr>
        <w:rPr>
          <w:rFonts w:ascii="Arial" w:cs="Arial" w:eastAsia="Arial" w:hAnsi="Arial"/>
          <w:sz w:val="11"/>
          <w:szCs w:val="11"/>
          <w:color w:val="auto"/>
        </w:rPr>
      </w:pPr>
      <w:r>
        <w:rPr>
          <w:rFonts w:ascii="Arial" w:cs="Arial" w:eastAsia="Arial" w:hAnsi="Arial"/>
          <w:sz w:val="11"/>
          <w:szCs w:val="11"/>
          <w:b w:val="1"/>
          <w:bCs w:val="1"/>
          <w:color w:val="auto"/>
        </w:rPr>
        <w:t>TCER</w:t>
      </w:r>
      <w:r>
        <w:rPr>
          <w:rFonts w:ascii="Arial" w:cs="Arial" w:eastAsia="Arial" w:hAnsi="Arial"/>
          <w:sz w:val="16"/>
          <w:szCs w:val="16"/>
          <w:b w:val="1"/>
          <w:bCs w:val="1"/>
          <w:color w:val="auto"/>
          <w:vertAlign w:val="superscript"/>
        </w:rPr>
        <w:t>®</w:t>
      </w:r>
      <w:r>
        <w:rPr>
          <w:rFonts w:ascii="Arial" w:cs="Arial" w:eastAsia="Arial" w:hAnsi="Arial"/>
          <w:sz w:val="11"/>
          <w:szCs w:val="11"/>
          <w:b w:val="1"/>
          <w:bCs w:val="1"/>
          <w:color w:val="auto"/>
        </w:rPr>
        <w:t xml:space="preserve"> IMA401 (MAGEA4/8) </w:t>
      </w:r>
      <w:r>
        <w:rPr>
          <w:rFonts w:ascii="Arial" w:cs="Arial" w:eastAsia="Arial" w:hAnsi="Arial"/>
          <w:sz w:val="11"/>
          <w:szCs w:val="11"/>
          <w:color w:val="auto"/>
        </w:rPr>
        <w:t>– Phase 1 trial to evaluate safety, tolerability and initial anti-tumor activity of TCER</w:t>
      </w:r>
      <w:r>
        <w:rPr>
          <w:rFonts w:ascii="Arial" w:cs="Arial" w:eastAsia="Arial" w:hAnsi="Arial"/>
          <w:sz w:val="16"/>
          <w:szCs w:val="16"/>
          <w:color w:val="auto"/>
          <w:vertAlign w:val="superscript"/>
        </w:rPr>
        <w:t>®</w:t>
      </w:r>
      <w:r>
        <w:rPr>
          <w:rFonts w:ascii="Arial" w:cs="Arial" w:eastAsia="Arial" w:hAnsi="Arial"/>
          <w:sz w:val="11"/>
          <w:szCs w:val="11"/>
          <w:b w:val="1"/>
          <w:bCs w:val="1"/>
          <w:color w:val="auto"/>
        </w:rPr>
        <w:t xml:space="preserve"> </w:t>
      </w:r>
      <w:r>
        <w:rPr>
          <w:rFonts w:ascii="Arial" w:cs="Arial" w:eastAsia="Arial" w:hAnsi="Arial"/>
          <w:sz w:val="11"/>
          <w:szCs w:val="11"/>
          <w:color w:val="auto"/>
        </w:rPr>
        <w:t>IMA401 in patients</w:t>
      </w:r>
      <w:r>
        <w:rPr>
          <w:rFonts w:ascii="Arial" w:cs="Arial" w:eastAsia="Arial" w:hAnsi="Arial"/>
          <w:sz w:val="11"/>
          <w:szCs w:val="11"/>
          <w:b w:val="1"/>
          <w:bCs w:val="1"/>
          <w:color w:val="auto"/>
        </w:rPr>
        <w:t xml:space="preserve"> </w:t>
      </w:r>
      <w:r>
        <w:rPr>
          <w:rFonts w:ascii="Arial" w:cs="Arial" w:eastAsia="Arial" w:hAnsi="Arial"/>
          <w:sz w:val="11"/>
          <w:szCs w:val="11"/>
          <w:color w:val="auto"/>
        </w:rPr>
        <w:t>with recurrent and/or refractory solid tumors is ongoing. IMA401 targets an HLA-A*02:01-presented peptide that occurs identically in two different proteins, MAGEA4 and MAGEA8. This target peptide has been selected based on natural expression in native solid tumors at particularly high target density (peptide copy number per tumor cell identified by Immatics’ proprietary quantitative mass spectrometry engine XPRESIDENT</w:t>
      </w:r>
      <w:r>
        <w:rPr>
          <w:rFonts w:ascii="Arial" w:cs="Arial" w:eastAsia="Arial" w:hAnsi="Arial"/>
          <w:sz w:val="16"/>
          <w:szCs w:val="16"/>
          <w:color w:val="auto"/>
          <w:vertAlign w:val="superscript"/>
        </w:rPr>
        <w:t>®</w:t>
      </w:r>
      <w:r>
        <w:rPr>
          <w:rFonts w:ascii="Arial" w:cs="Arial" w:eastAsia="Arial" w:hAnsi="Arial"/>
          <w:sz w:val="11"/>
          <w:szCs w:val="11"/>
          <w:color w:val="auto"/>
        </w:rPr>
        <w:t>). MAGEA4 and MAGEA8 are expressed in multiple solid cancers including lung cancer, head and neck cancer, melanoma, ovarian cancer, sarcoma and others. IMA401 is being developed in collaboration with Bristol Myers Squibb.</w:t>
      </w:r>
    </w:p>
    <w:p>
      <w:pPr>
        <w:spacing w:after="0" w:line="66" w:lineRule="exact"/>
        <w:rPr>
          <w:rFonts w:ascii="Arial" w:cs="Arial" w:eastAsia="Arial" w:hAnsi="Arial"/>
          <w:sz w:val="11"/>
          <w:szCs w:val="11"/>
          <w:color w:val="auto"/>
        </w:rPr>
      </w:pPr>
    </w:p>
    <w:p>
      <w:pPr>
        <w:ind w:left="1320" w:right="659" w:hanging="303"/>
        <w:spacing w:after="0" w:line="247" w:lineRule="auto"/>
        <w:tabs>
          <w:tab w:leader="none" w:pos="1320" w:val="left"/>
        </w:tabs>
        <w:numPr>
          <w:ilvl w:val="0"/>
          <w:numId w:val="9"/>
        </w:numPr>
        <w:rPr>
          <w:rFonts w:ascii="Arial" w:cs="Arial" w:eastAsia="Arial" w:hAnsi="Arial"/>
          <w:sz w:val="12"/>
          <w:szCs w:val="12"/>
          <w:color w:val="auto"/>
        </w:rPr>
      </w:pPr>
      <w:r>
        <w:rPr>
          <w:rFonts w:ascii="Arial" w:cs="Arial" w:eastAsia="Arial" w:hAnsi="Arial"/>
          <w:sz w:val="12"/>
          <w:szCs w:val="12"/>
          <w:b w:val="1"/>
          <w:bCs w:val="1"/>
          <w:color w:val="auto"/>
        </w:rPr>
        <w:t>TCER</w:t>
      </w:r>
      <w:r>
        <w:rPr>
          <w:rFonts w:ascii="Arial" w:cs="Arial" w:eastAsia="Arial" w:hAnsi="Arial"/>
          <w:sz w:val="17"/>
          <w:szCs w:val="17"/>
          <w:b w:val="1"/>
          <w:bCs w:val="1"/>
          <w:color w:val="auto"/>
          <w:vertAlign w:val="superscript"/>
        </w:rPr>
        <w:t>®</w:t>
      </w:r>
      <w:r>
        <w:rPr>
          <w:rFonts w:ascii="Arial" w:cs="Arial" w:eastAsia="Arial" w:hAnsi="Arial"/>
          <w:sz w:val="12"/>
          <w:szCs w:val="12"/>
          <w:b w:val="1"/>
          <w:bCs w:val="1"/>
          <w:color w:val="auto"/>
        </w:rPr>
        <w:t xml:space="preserve"> IMA402 (PRAME) </w:t>
      </w:r>
      <w:r>
        <w:rPr>
          <w:rFonts w:ascii="Arial" w:cs="Arial" w:eastAsia="Arial" w:hAnsi="Arial"/>
          <w:sz w:val="12"/>
          <w:szCs w:val="12"/>
          <w:color w:val="auto"/>
        </w:rPr>
        <w:t>– Immatics submitted a clinical trial application (Clinical Trial Application (CTA) is the European equivalent</w:t>
      </w:r>
      <w:r>
        <w:rPr>
          <w:rFonts w:ascii="Arial" w:cs="Arial" w:eastAsia="Arial" w:hAnsi="Arial"/>
          <w:sz w:val="12"/>
          <w:szCs w:val="12"/>
          <w:b w:val="1"/>
          <w:bCs w:val="1"/>
          <w:color w:val="auto"/>
        </w:rPr>
        <w:t xml:space="preserve"> </w:t>
      </w:r>
      <w:r>
        <w:rPr>
          <w:rFonts w:ascii="Arial" w:cs="Arial" w:eastAsia="Arial" w:hAnsi="Arial"/>
          <w:sz w:val="12"/>
          <w:szCs w:val="12"/>
          <w:color w:val="auto"/>
        </w:rPr>
        <w:t>of an Investigational New Drug (IND) application) to the Paul-Ehrlich-Institute (PEI) in April 2023. Following CTA acceptance, Immatics initiated the Phase 1/2 trial investigating the company’s fully owned TCER</w:t>
      </w:r>
      <w:r>
        <w:rPr>
          <w:rFonts w:ascii="Arial" w:cs="Arial" w:eastAsia="Arial" w:hAnsi="Arial"/>
          <w:sz w:val="17"/>
          <w:szCs w:val="17"/>
          <w:color w:val="auto"/>
          <w:vertAlign w:val="superscript"/>
        </w:rPr>
        <w:t>®</w:t>
      </w:r>
      <w:r>
        <w:rPr>
          <w:rFonts w:ascii="Arial" w:cs="Arial" w:eastAsia="Arial" w:hAnsi="Arial"/>
          <w:sz w:val="12"/>
          <w:szCs w:val="12"/>
          <w:color w:val="auto"/>
        </w:rPr>
        <w:t xml:space="preserve"> candidate IMA402 in patients with recurrent and/or refractory solid tumors in August. Initial focus indications are cutaneous and uveal melanoma, ovarian cancer, lung cancer, uterine cancer and synovial sarcoma, among others. A first clinical data update is planned for 2024. IMA402 targets an HLA-A*02:01-presented peptide derived from the tumor antigen PRAME. This target peptide has been selected based on natural expression in native solid primary tumors and metastases at particularly high target density (peptide copy number per tumor cell identified by Immatics’ proprietary quantitative mass spectrometry engine XPRESIDENT</w:t>
      </w:r>
      <w:r>
        <w:rPr>
          <w:rFonts w:ascii="Arial" w:cs="Arial" w:eastAsia="Arial" w:hAnsi="Arial"/>
          <w:sz w:val="17"/>
          <w:szCs w:val="17"/>
          <w:color w:val="auto"/>
          <w:vertAlign w:val="superscript"/>
        </w:rPr>
        <w:t>®</w:t>
      </w:r>
      <w:r>
        <w:rPr>
          <w:rFonts w:ascii="Arial" w:cs="Arial" w:eastAsia="Arial" w:hAnsi="Arial"/>
          <w:sz w:val="12"/>
          <w:szCs w:val="12"/>
          <w:color w:val="auto"/>
        </w:rPr>
        <w:t>).</w:t>
      </w:r>
    </w:p>
    <w:p>
      <w:pPr>
        <w:spacing w:after="0" w:line="51"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Components of Operating Results</w:t>
      </w:r>
    </w:p>
    <w:p>
      <w:pPr>
        <w:spacing w:after="0" w:line="82" w:lineRule="exact"/>
        <w:rPr>
          <w:sz w:val="20"/>
          <w:szCs w:val="20"/>
          <w:color w:val="auto"/>
        </w:rPr>
      </w:pPr>
    </w:p>
    <w:p>
      <w:pPr>
        <w:ind w:left="800"/>
        <w:spacing w:after="0"/>
        <w:rPr>
          <w:sz w:val="20"/>
          <w:szCs w:val="20"/>
          <w:color w:val="auto"/>
        </w:rPr>
      </w:pPr>
      <w:r>
        <w:rPr>
          <w:rFonts w:ascii="Arial" w:cs="Arial" w:eastAsia="Arial" w:hAnsi="Arial"/>
          <w:sz w:val="13"/>
          <w:szCs w:val="13"/>
          <w:b w:val="1"/>
          <w:bCs w:val="1"/>
          <w:i w:val="1"/>
          <w:iCs w:val="1"/>
          <w:color w:val="auto"/>
        </w:rPr>
        <w:t>Revenue from Collaboration Agreements</w:t>
      </w:r>
    </w:p>
    <w:p>
      <w:pPr>
        <w:spacing w:after="0" w:line="78" w:lineRule="exact"/>
        <w:rPr>
          <w:sz w:val="20"/>
          <w:szCs w:val="20"/>
          <w:color w:val="auto"/>
        </w:rPr>
      </w:pPr>
    </w:p>
    <w:p>
      <w:pPr>
        <w:ind w:left="640" w:right="679" w:firstLine="309"/>
        <w:spacing w:after="0" w:line="261" w:lineRule="auto"/>
        <w:rPr>
          <w:sz w:val="20"/>
          <w:szCs w:val="20"/>
          <w:color w:val="auto"/>
        </w:rPr>
      </w:pPr>
      <w:r>
        <w:rPr>
          <w:rFonts w:ascii="Arial" w:cs="Arial" w:eastAsia="Arial" w:hAnsi="Arial"/>
          <w:sz w:val="13"/>
          <w:szCs w:val="13"/>
          <w:color w:val="auto"/>
        </w:rPr>
        <w:t>To date, we have not generated any revenue from the sale of pharmaceutical products. Our revenue has been solely derived from our collaboration agreements, such as with BMS and Genmab.</w:t>
      </w:r>
    </w:p>
    <w:p>
      <w:pPr>
        <w:spacing w:after="0" w:line="130" w:lineRule="exact"/>
        <w:rPr>
          <w:sz w:val="20"/>
          <w:szCs w:val="20"/>
          <w:color w:val="auto"/>
        </w:rPr>
      </w:pPr>
    </w:p>
    <w:p>
      <w:pPr>
        <w:ind w:left="640" w:right="759" w:firstLine="309"/>
        <w:spacing w:after="0" w:line="249" w:lineRule="auto"/>
        <w:rPr>
          <w:sz w:val="20"/>
          <w:szCs w:val="20"/>
          <w:color w:val="auto"/>
        </w:rPr>
      </w:pPr>
      <w:r>
        <w:rPr>
          <w:rFonts w:ascii="Arial" w:cs="Arial" w:eastAsia="Arial" w:hAnsi="Arial"/>
          <w:sz w:val="13"/>
          <w:szCs w:val="13"/>
          <w:color w:val="auto"/>
        </w:rPr>
        <w:t>Our revenue from collaboration agreements consists of upfront payments as well as reimbursement of research and development expenses. Upfront payments allocated to the obligation to perform research and development services are initially recorded on our statement of financial position as deferred revenue and are subsequently recognized as revenue on a cost-to-cost measurement basis, in accordance with our accounting policy as described further under “Critical Accounting Estimates.”</w:t>
      </w:r>
    </w:p>
    <w:p>
      <w:pPr>
        <w:spacing w:after="0" w:line="138" w:lineRule="exact"/>
        <w:rPr>
          <w:sz w:val="20"/>
          <w:szCs w:val="20"/>
          <w:color w:val="auto"/>
        </w:rPr>
      </w:pPr>
    </w:p>
    <w:p>
      <w:pPr>
        <w:ind w:left="640" w:right="659" w:firstLine="309"/>
        <w:spacing w:after="0" w:line="298" w:lineRule="auto"/>
        <w:rPr>
          <w:sz w:val="20"/>
          <w:szCs w:val="20"/>
          <w:color w:val="auto"/>
        </w:rPr>
      </w:pPr>
      <w:r>
        <w:rPr>
          <w:rFonts w:ascii="Arial" w:cs="Arial" w:eastAsia="Arial" w:hAnsi="Arial"/>
          <w:sz w:val="11"/>
          <w:szCs w:val="11"/>
          <w:color w:val="auto"/>
        </w:rPr>
        <w:t>As part of the collaboration arrangements, we grant exclusive licensing rights for the development and commercialization of future product candidates, developed for specified targets defined in the respective collaboration agreement. We carry out our research activities using our proprietary technology and know-how, participate in joint steering committees, and prepare data packages. In three of our four current collaboration agreements, these commitments represent one combined performance obligation, because the research activities are mutually dependent and the collaborator is unable to derive significant benefit from our access to these targets without our research activities, which are highly specialized and cannot be performed by other organizations. For the collaboration signed with BMS in December 2021, we identified two separate performance obligations, because the license is a distinct obligation and the running of the clinical trial services will not result in a modification of the license.</w:t>
      </w:r>
    </w:p>
    <w:p>
      <w:pPr>
        <w:spacing w:after="0" w:line="114" w:lineRule="exact"/>
        <w:rPr>
          <w:sz w:val="20"/>
          <w:szCs w:val="20"/>
          <w:color w:val="auto"/>
        </w:rPr>
      </w:pPr>
    </w:p>
    <w:p>
      <w:pPr>
        <w:ind w:left="640" w:right="819" w:firstLine="309"/>
        <w:spacing w:after="0" w:line="352" w:lineRule="auto"/>
        <w:rPr>
          <w:sz w:val="20"/>
          <w:szCs w:val="20"/>
          <w:color w:val="auto"/>
        </w:rPr>
      </w:pPr>
      <w:r>
        <w:rPr>
          <w:rFonts w:ascii="Arial" w:cs="Arial" w:eastAsia="Arial" w:hAnsi="Arial"/>
          <w:sz w:val="11"/>
          <w:szCs w:val="11"/>
          <w:color w:val="auto"/>
        </w:rPr>
        <w:t>The collaboration agreements resulted in €412.7 million of payments through June 30, 2023. We received a €13.7 million Opt-in payment from our collaboration partner BMS in 2023. As part of the agreements, we contribute our XPRESIDENT and other technologies, as well as commit to</w:t>
      </w:r>
    </w:p>
    <w:p>
      <w:pPr>
        <w:sectPr>
          <w:pgSz w:w="11900" w:h="16838" w:orient="portrait"/>
          <w:cols w:equalWidth="0" w:num="1">
            <w:col w:w="9019"/>
          </w:cols>
          <w:pgMar w:left="1440" w:top="250" w:right="1440" w:bottom="0" w:gutter="0" w:footer="0" w:header="0"/>
        </w:sectPr>
      </w:pPr>
    </w:p>
    <w:bookmarkStart w:id="22" w:name="page23"/>
    <w:bookmarkEnd w:id="22"/>
    <w:p>
      <w:pPr>
        <w:ind w:left="640" w:right="839"/>
        <w:spacing w:after="0" w:line="261" w:lineRule="auto"/>
        <w:rPr>
          <w:sz w:val="20"/>
          <w:szCs w:val="20"/>
          <w:color w:val="auto"/>
        </w:rPr>
      </w:pPr>
      <w:r>
        <w:rPr>
          <w:rFonts w:ascii="Arial" w:cs="Arial" w:eastAsia="Arial" w:hAnsi="Arial"/>
          <w:sz w:val="13"/>
          <w:szCs w:val="13"/>
          <w:color w:val="auto"/>
        </w:rPr>
        <w:t>participating in joint research activities. In addition, we agree to license certain target rights and the potential product candidates developed under the collaboration.</w:t>
      </w:r>
    </w:p>
    <w:p>
      <w:pPr>
        <w:spacing w:after="0" w:line="130" w:lineRule="exact"/>
        <w:rPr>
          <w:sz w:val="20"/>
          <w:szCs w:val="20"/>
          <w:color w:val="auto"/>
        </w:rPr>
      </w:pPr>
    </w:p>
    <w:p>
      <w:pPr>
        <w:ind w:left="640" w:right="819" w:firstLine="309"/>
        <w:spacing w:after="0" w:line="252" w:lineRule="auto"/>
        <w:rPr>
          <w:sz w:val="20"/>
          <w:szCs w:val="20"/>
          <w:color w:val="auto"/>
        </w:rPr>
      </w:pPr>
      <w:r>
        <w:rPr>
          <w:rFonts w:ascii="Arial" w:cs="Arial" w:eastAsia="Arial" w:hAnsi="Arial"/>
          <w:sz w:val="13"/>
          <w:szCs w:val="13"/>
          <w:color w:val="auto"/>
        </w:rPr>
        <w:t>Under each of our collaboration agreements, we are entitled to receive payments for certain development and commercial milestone events, in addition to royalty payments upon successful commercialization of a product. The uncertainty of achieving these milestones significantly impacts our ability to generate revenue.</w:t>
      </w:r>
    </w:p>
    <w:p>
      <w:pPr>
        <w:spacing w:after="0" w:line="136" w:lineRule="exact"/>
        <w:rPr>
          <w:sz w:val="20"/>
          <w:szCs w:val="20"/>
          <w:color w:val="auto"/>
        </w:rPr>
      </w:pPr>
    </w:p>
    <w:p>
      <w:pPr>
        <w:ind w:left="640" w:right="719" w:firstLine="309"/>
        <w:spacing w:after="0" w:line="249" w:lineRule="auto"/>
        <w:rPr>
          <w:sz w:val="20"/>
          <w:szCs w:val="20"/>
          <w:color w:val="auto"/>
        </w:rPr>
      </w:pPr>
      <w:r>
        <w:rPr>
          <w:rFonts w:ascii="Arial" w:cs="Arial" w:eastAsia="Arial" w:hAnsi="Arial"/>
          <w:sz w:val="13"/>
          <w:szCs w:val="13"/>
          <w:color w:val="auto"/>
        </w:rPr>
        <w:t>Our ability to generate revenue from sales of pharmaceutical products and to become profitable depends on the successful commercialization of product candidates by us and/or by our collaboration partners. In the foreseeable future, we do not expect revenue from product sales. To the extent that existing or potential future collaborations generate revenue, our revenue may vary due to many uncertainties in the development of our product candidates and other factors.</w:t>
      </w:r>
    </w:p>
    <w:p>
      <w:pPr>
        <w:spacing w:after="0" w:line="214" w:lineRule="exact"/>
        <w:rPr>
          <w:sz w:val="20"/>
          <w:szCs w:val="20"/>
          <w:color w:val="auto"/>
        </w:rPr>
      </w:pPr>
    </w:p>
    <w:p>
      <w:pPr>
        <w:ind w:left="800"/>
        <w:spacing w:after="0"/>
        <w:rPr>
          <w:sz w:val="20"/>
          <w:szCs w:val="20"/>
          <w:color w:val="auto"/>
        </w:rPr>
      </w:pPr>
      <w:r>
        <w:rPr>
          <w:rFonts w:ascii="Arial" w:cs="Arial" w:eastAsia="Arial" w:hAnsi="Arial"/>
          <w:sz w:val="13"/>
          <w:szCs w:val="13"/>
          <w:b w:val="1"/>
          <w:bCs w:val="1"/>
          <w:i w:val="1"/>
          <w:iCs w:val="1"/>
          <w:color w:val="auto"/>
        </w:rPr>
        <w:t>Research and Development Expenses</w:t>
      </w:r>
    </w:p>
    <w:p>
      <w:pPr>
        <w:spacing w:after="0" w:line="78" w:lineRule="exact"/>
        <w:rPr>
          <w:sz w:val="20"/>
          <w:szCs w:val="20"/>
          <w:color w:val="auto"/>
        </w:rPr>
      </w:pPr>
    </w:p>
    <w:p>
      <w:pPr>
        <w:jc w:val="both"/>
        <w:ind w:left="640" w:right="839" w:firstLine="309"/>
        <w:spacing w:after="0" w:line="252" w:lineRule="auto"/>
        <w:rPr>
          <w:sz w:val="20"/>
          <w:szCs w:val="20"/>
          <w:color w:val="auto"/>
        </w:rPr>
      </w:pPr>
      <w:r>
        <w:rPr>
          <w:rFonts w:ascii="Arial" w:cs="Arial" w:eastAsia="Arial" w:hAnsi="Arial"/>
          <w:sz w:val="13"/>
          <w:szCs w:val="13"/>
          <w:color w:val="auto"/>
        </w:rPr>
        <w:t>Research and development expenses consist primarily of personnel-related costs (including share-based compensation) for the various research and development departments, intellectual property (“IP”) expenses, facility-related costs and amortization as well as direct expenses for clinical and preclinical programs.</w:t>
      </w:r>
    </w:p>
    <w:p>
      <w:pPr>
        <w:sectPr>
          <w:pgSz w:w="11900" w:h="16838" w:orient="portrait"/>
          <w:cols w:equalWidth="0" w:num="1">
            <w:col w:w="9019"/>
          </w:cols>
          <w:pgMar w:left="1440" w:top="131" w:right="1440" w:bottom="1440" w:gutter="0" w:footer="0" w:header="0"/>
        </w:sectPr>
      </w:pPr>
    </w:p>
    <w:bookmarkStart w:id="23" w:name="page24"/>
    <w:bookmarkEnd w:id="23"/>
    <w:p>
      <w:pPr>
        <w:ind w:left="64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0425" cy="42545"/>
                    </a:xfrm>
                    <a:prstGeom prst="rect">
                      <a:avLst/>
                    </a:prstGeom>
                    <a:noFill/>
                  </pic:spPr>
                </pic:pic>
              </a:graphicData>
            </a:graphic>
          </wp:anchor>
        </w:drawing>
        <w:t>Our core business is focused on the following initiatives with the goal of providing novel TCR-based immunotherapies to cancer patients:</w:t>
      </w:r>
    </w:p>
    <w:p>
      <w:pPr>
        <w:spacing w:after="0" w:line="99" w:lineRule="exact"/>
        <w:rPr>
          <w:sz w:val="20"/>
          <w:szCs w:val="20"/>
          <w:color w:val="auto"/>
        </w:rPr>
      </w:pPr>
    </w:p>
    <w:p>
      <w:pPr>
        <w:ind w:left="1320" w:right="699" w:hanging="303"/>
        <w:spacing w:after="0" w:line="249" w:lineRule="auto"/>
        <w:tabs>
          <w:tab w:leader="none" w:pos="13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Realize the full multi-cancer opportunity of PRAME by (1) focusing and accelerating the development of our ACTengine IMA203 TCR-T towards pivotal trials, (2) expanding the patient population that might benefit from a PRAME-targeting therapy by developing an off-the-shelf biologic TCER IMA402 and (3) expanding beyond HLA-A*02 by investigating new target-TCR pairs for PRAME epitopes binding to other HLA types;</w:t>
      </w:r>
    </w:p>
    <w:p>
      <w:pPr>
        <w:spacing w:after="0" w:line="71" w:lineRule="exact"/>
        <w:rPr>
          <w:rFonts w:ascii="Arial" w:cs="Arial" w:eastAsia="Arial" w:hAnsi="Arial"/>
          <w:sz w:val="13"/>
          <w:szCs w:val="13"/>
          <w:color w:val="auto"/>
        </w:rPr>
      </w:pPr>
    </w:p>
    <w:p>
      <w:pPr>
        <w:ind w:left="1320" w:hanging="303"/>
        <w:spacing w:after="0"/>
        <w:tabs>
          <w:tab w:leader="none" w:pos="13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Advance our pipeline of innovative ACTengine TCR-T product candidates;</w:t>
      </w:r>
    </w:p>
    <w:p>
      <w:pPr>
        <w:spacing w:after="0" w:line="87" w:lineRule="exact"/>
        <w:rPr>
          <w:rFonts w:ascii="Arial" w:cs="Arial" w:eastAsia="Arial" w:hAnsi="Arial"/>
          <w:sz w:val="13"/>
          <w:szCs w:val="13"/>
          <w:color w:val="auto"/>
        </w:rPr>
      </w:pPr>
    </w:p>
    <w:p>
      <w:pPr>
        <w:ind w:left="1320" w:hanging="303"/>
        <w:spacing w:after="0"/>
        <w:tabs>
          <w:tab w:leader="none" w:pos="13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Advance our pipeline of next-generation, half-life extended TCR Bispecifics;</w:t>
      </w:r>
    </w:p>
    <w:p>
      <w:pPr>
        <w:spacing w:after="0" w:line="87" w:lineRule="exact"/>
        <w:rPr>
          <w:rFonts w:ascii="Arial" w:cs="Arial" w:eastAsia="Arial" w:hAnsi="Arial"/>
          <w:sz w:val="13"/>
          <w:szCs w:val="13"/>
          <w:color w:val="auto"/>
        </w:rPr>
      </w:pPr>
    </w:p>
    <w:p>
      <w:pPr>
        <w:ind w:left="1320" w:hanging="303"/>
        <w:spacing w:after="0"/>
        <w:tabs>
          <w:tab w:leader="none" w:pos="13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Enhance the commercial opportunities of cell therapies;</w:t>
      </w:r>
    </w:p>
    <w:p>
      <w:pPr>
        <w:spacing w:after="0" w:line="87" w:lineRule="exact"/>
        <w:rPr>
          <w:rFonts w:ascii="Arial" w:cs="Arial" w:eastAsia="Arial" w:hAnsi="Arial"/>
          <w:sz w:val="13"/>
          <w:szCs w:val="13"/>
          <w:color w:val="auto"/>
        </w:rPr>
      </w:pPr>
    </w:p>
    <w:p>
      <w:pPr>
        <w:ind w:left="1320" w:hanging="303"/>
        <w:spacing w:after="0"/>
        <w:tabs>
          <w:tab w:leader="none" w:pos="13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Further enhance our cell therapy manufacturing capabilities;</w:t>
      </w:r>
    </w:p>
    <w:p>
      <w:pPr>
        <w:spacing w:after="0" w:line="87" w:lineRule="exact"/>
        <w:rPr>
          <w:rFonts w:ascii="Arial" w:cs="Arial" w:eastAsia="Arial" w:hAnsi="Arial"/>
          <w:sz w:val="13"/>
          <w:szCs w:val="13"/>
          <w:color w:val="auto"/>
        </w:rPr>
      </w:pPr>
    </w:p>
    <w:p>
      <w:pPr>
        <w:ind w:left="1320" w:hanging="303"/>
        <w:spacing w:after="0"/>
        <w:tabs>
          <w:tab w:leader="none" w:pos="13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Leverage the full potential of strategic collaborations;</w:t>
      </w:r>
    </w:p>
    <w:p>
      <w:pPr>
        <w:spacing w:after="0" w:line="87" w:lineRule="exact"/>
        <w:rPr>
          <w:rFonts w:ascii="Arial" w:cs="Arial" w:eastAsia="Arial" w:hAnsi="Arial"/>
          <w:sz w:val="13"/>
          <w:szCs w:val="13"/>
          <w:color w:val="auto"/>
        </w:rPr>
      </w:pPr>
    </w:p>
    <w:p>
      <w:pPr>
        <w:ind w:left="1320" w:hanging="303"/>
        <w:spacing w:after="0"/>
        <w:tabs>
          <w:tab w:leader="none" w:pos="13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Strengthen our intellectual property portfolio; and</w:t>
      </w:r>
    </w:p>
    <w:p>
      <w:pPr>
        <w:spacing w:after="0" w:line="87" w:lineRule="exact"/>
        <w:rPr>
          <w:rFonts w:ascii="Arial" w:cs="Arial" w:eastAsia="Arial" w:hAnsi="Arial"/>
          <w:sz w:val="13"/>
          <w:szCs w:val="13"/>
          <w:color w:val="auto"/>
        </w:rPr>
      </w:pPr>
    </w:p>
    <w:p>
      <w:pPr>
        <w:ind w:left="1320" w:hanging="303"/>
        <w:spacing w:after="0"/>
        <w:tabs>
          <w:tab w:leader="none" w:pos="13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Enhance the competitive edge of our technology platforms.</w:t>
      </w:r>
    </w:p>
    <w:p>
      <w:pPr>
        <w:spacing w:after="0" w:line="154" w:lineRule="exact"/>
        <w:rPr>
          <w:sz w:val="20"/>
          <w:szCs w:val="20"/>
          <w:color w:val="auto"/>
        </w:rPr>
      </w:pPr>
    </w:p>
    <w:p>
      <w:pPr>
        <w:ind w:left="640" w:right="859" w:firstLine="309"/>
        <w:spacing w:after="0" w:line="352" w:lineRule="auto"/>
        <w:rPr>
          <w:sz w:val="20"/>
          <w:szCs w:val="20"/>
          <w:color w:val="auto"/>
        </w:rPr>
      </w:pPr>
      <w:r>
        <w:rPr>
          <w:rFonts w:ascii="Arial" w:cs="Arial" w:eastAsia="Arial" w:hAnsi="Arial"/>
          <w:sz w:val="11"/>
          <w:szCs w:val="11"/>
          <w:color w:val="auto"/>
        </w:rPr>
        <w:t>Research expenses are defined as costs incurred for current or planned investigations undertaken with the prospect of gaining new scientific or technical knowledge and understanding. All research and development costs are expensed as incurred due to scientific uncertainty.</w:t>
      </w:r>
    </w:p>
    <w:p>
      <w:pPr>
        <w:spacing w:after="0" w:line="84" w:lineRule="exact"/>
        <w:rPr>
          <w:sz w:val="20"/>
          <w:szCs w:val="20"/>
          <w:color w:val="auto"/>
        </w:rPr>
      </w:pPr>
    </w:p>
    <w:p>
      <w:pPr>
        <w:ind w:left="640" w:right="659" w:firstLine="309"/>
        <w:spacing w:after="0" w:line="268" w:lineRule="auto"/>
        <w:rPr>
          <w:sz w:val="20"/>
          <w:szCs w:val="20"/>
          <w:color w:val="auto"/>
        </w:rPr>
      </w:pPr>
      <w:r>
        <w:rPr>
          <w:rFonts w:ascii="Arial" w:cs="Arial" w:eastAsia="Arial" w:hAnsi="Arial"/>
          <w:sz w:val="12"/>
          <w:szCs w:val="12"/>
          <w:color w:val="auto"/>
        </w:rPr>
        <w:t>We expect our research and development expenses to increase substantially in the future as we advance existing and future proprietary product candidates into and through clinical studies and pursue regulatory approval. The process of conducting the necessary clinical studies to obtain regulatory approval is costly and time-consuming. We expect to increase our headcount to support our continued research activities and to advance the development of our product candidates. Clinical studies generally become larger and more costly to conduct as they advance into later stages and, in the future, we will be required to make estimates for expense accruals related to clinical study expenses. At this time, we cannot reasonably estimate or know the nature, timing and estimated costs of the efforts that will be necessary to complete the development of any product candidates that we develop from our programs. Our research and development programs are at an early stage. We must demonstrate our products’ safety and efficacy through extensive clinical testing. We may experience numerous unforeseen events during, or as a result of, the testing process that could delay or prevent commercialization of our products, including but not limited to the following:</w:t>
      </w:r>
    </w:p>
    <w:p>
      <w:pPr>
        <w:spacing w:after="0" w:line="63" w:lineRule="exact"/>
        <w:rPr>
          <w:sz w:val="20"/>
          <w:szCs w:val="20"/>
          <w:color w:val="auto"/>
        </w:rPr>
      </w:pPr>
    </w:p>
    <w:p>
      <w:pPr>
        <w:ind w:left="1320" w:hanging="303"/>
        <w:spacing w:after="0"/>
        <w:tabs>
          <w:tab w:leader="none" w:pos="13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after reviewing trial results, we or our collaborators may abandon projects previously believed to be promising;</w:t>
      </w:r>
    </w:p>
    <w:p>
      <w:pPr>
        <w:spacing w:after="0" w:line="87" w:lineRule="exact"/>
        <w:rPr>
          <w:rFonts w:ascii="Arial" w:cs="Arial" w:eastAsia="Arial" w:hAnsi="Arial"/>
          <w:sz w:val="13"/>
          <w:szCs w:val="13"/>
          <w:color w:val="auto"/>
        </w:rPr>
      </w:pPr>
    </w:p>
    <w:p>
      <w:pPr>
        <w:ind w:left="1320" w:right="859" w:hanging="303"/>
        <w:spacing w:after="0" w:line="261" w:lineRule="auto"/>
        <w:tabs>
          <w:tab w:leader="none" w:pos="13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we, our collaborators, or regulators may suspend or terminate clinical trials if the participating subjects or patients are being exposed to unacceptable health risks;</w:t>
      </w:r>
    </w:p>
    <w:p>
      <w:pPr>
        <w:spacing w:after="0" w:line="63" w:lineRule="exact"/>
        <w:rPr>
          <w:rFonts w:ascii="Arial" w:cs="Arial" w:eastAsia="Arial" w:hAnsi="Arial"/>
          <w:sz w:val="13"/>
          <w:szCs w:val="13"/>
          <w:color w:val="auto"/>
        </w:rPr>
      </w:pPr>
    </w:p>
    <w:p>
      <w:pPr>
        <w:ind w:left="1320" w:right="919" w:hanging="303"/>
        <w:spacing w:after="0" w:line="261" w:lineRule="auto"/>
        <w:tabs>
          <w:tab w:leader="none" w:pos="13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potential products may not achieve the desired effects or may include undesirable side effects or other characteristics that preclude regulatory approval or limit their commercial use if approved;</w:t>
      </w:r>
    </w:p>
    <w:p>
      <w:pPr>
        <w:spacing w:after="0" w:line="63" w:lineRule="exact"/>
        <w:rPr>
          <w:rFonts w:ascii="Arial" w:cs="Arial" w:eastAsia="Arial" w:hAnsi="Arial"/>
          <w:sz w:val="13"/>
          <w:szCs w:val="13"/>
          <w:color w:val="auto"/>
        </w:rPr>
      </w:pPr>
    </w:p>
    <w:p>
      <w:pPr>
        <w:ind w:left="1320" w:right="799" w:hanging="303"/>
        <w:spacing w:after="0" w:line="261" w:lineRule="auto"/>
        <w:tabs>
          <w:tab w:leader="none" w:pos="13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we or our manufacturers may not meet the necessary standards for the production of the product candidates or may not be able to supply the product candidates in a sufficient quantity;</w:t>
      </w:r>
    </w:p>
    <w:p>
      <w:pPr>
        <w:spacing w:after="0" w:line="63" w:lineRule="exact"/>
        <w:rPr>
          <w:rFonts w:ascii="Arial" w:cs="Arial" w:eastAsia="Arial" w:hAnsi="Arial"/>
          <w:sz w:val="13"/>
          <w:szCs w:val="13"/>
          <w:color w:val="auto"/>
        </w:rPr>
      </w:pPr>
    </w:p>
    <w:p>
      <w:pPr>
        <w:ind w:left="1320" w:hanging="303"/>
        <w:spacing w:after="0"/>
        <w:tabs>
          <w:tab w:leader="none" w:pos="13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regulatory authorities may find that our clinical trial design or conduct does not meet the applicable approval requirements; and</w:t>
      </w:r>
    </w:p>
    <w:p>
      <w:pPr>
        <w:spacing w:after="0" w:line="98" w:lineRule="exact"/>
        <w:rPr>
          <w:rFonts w:ascii="Arial" w:cs="Arial" w:eastAsia="Arial" w:hAnsi="Arial"/>
          <w:sz w:val="12"/>
          <w:szCs w:val="12"/>
          <w:color w:val="auto"/>
        </w:rPr>
      </w:pPr>
    </w:p>
    <w:p>
      <w:pPr>
        <w:ind w:left="1320" w:right="779" w:hanging="303"/>
        <w:spacing w:after="0" w:line="261" w:lineRule="auto"/>
        <w:tabs>
          <w:tab w:leader="none" w:pos="13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safety and efficacy results in various human clinical trials reported in scientific and medical literature may not be indicative of results we obtain in our clinical trials.</w:t>
      </w:r>
    </w:p>
    <w:p>
      <w:pPr>
        <w:spacing w:after="0" w:line="130" w:lineRule="exact"/>
        <w:rPr>
          <w:sz w:val="20"/>
          <w:szCs w:val="20"/>
          <w:color w:val="auto"/>
        </w:rPr>
      </w:pPr>
    </w:p>
    <w:p>
      <w:pPr>
        <w:ind w:left="640" w:right="679" w:firstLine="309"/>
        <w:spacing w:after="0" w:line="246" w:lineRule="auto"/>
        <w:rPr>
          <w:sz w:val="20"/>
          <w:szCs w:val="20"/>
          <w:color w:val="auto"/>
        </w:rPr>
      </w:pPr>
      <w:r>
        <w:rPr>
          <w:rFonts w:ascii="Arial" w:cs="Arial" w:eastAsia="Arial" w:hAnsi="Arial"/>
          <w:sz w:val="13"/>
          <w:szCs w:val="13"/>
          <w:color w:val="auto"/>
        </w:rPr>
        <w:t>Clinical testing is very expensive, can take many years, and the outcome is uncertain. It could take several years before we learn the results from any clinical trial using ACT or TCR Bispecifics. The data collected from our clinical trials may not be sufficient to support approval by the FDA, the EMA or comparable regulatory authorities of our ACT or TCR Bispecific product candidates for the treatment of solid tumors. The clinical trials for our products under development may not be completed on schedule and the FDA, EMA or regulatory authorities in other countries may not ultimately approve any of our product candidates for commercial sale. If we fail to adequately demonstrate the safety and effectiveness of any product candidate under development, we may not receive regulatory approval for those product candidates, which would prevent us from generating revenues or achieving profitability.</w:t>
      </w:r>
    </w:p>
    <w:p>
      <w:pPr>
        <w:sectPr>
          <w:pgSz w:w="11900" w:h="16838" w:orient="portrait"/>
          <w:cols w:equalWidth="0" w:num="1">
            <w:col w:w="9019"/>
          </w:cols>
          <w:pgMar w:left="1440" w:top="254" w:right="1440" w:bottom="1440" w:gutter="0" w:footer="0" w:header="0"/>
        </w:sectPr>
      </w:pPr>
    </w:p>
    <w:bookmarkStart w:id="24" w:name="page25"/>
    <w:bookmarkEnd w:id="24"/>
    <w:p>
      <w:pPr>
        <w:ind w:left="800"/>
        <w:spacing w:after="0"/>
        <w:rPr>
          <w:sz w:val="20"/>
          <w:szCs w:val="20"/>
          <w:color w:val="auto"/>
        </w:rPr>
      </w:pPr>
      <w:r>
        <w:rPr>
          <w:rFonts w:ascii="Arial" w:cs="Arial" w:eastAsia="Arial" w:hAnsi="Arial"/>
          <w:sz w:val="13"/>
          <w:szCs w:val="13"/>
          <w:b w:val="1"/>
          <w:bCs w:val="1"/>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0425" cy="42545"/>
                    </a:xfrm>
                    <a:prstGeom prst="rect">
                      <a:avLst/>
                    </a:prstGeom>
                    <a:noFill/>
                  </pic:spPr>
                </pic:pic>
              </a:graphicData>
            </a:graphic>
          </wp:anchor>
        </w:drawing>
        <w:t>General and Administrative Expenses</w:t>
      </w:r>
    </w:p>
    <w:p>
      <w:pPr>
        <w:spacing w:after="0" w:line="78" w:lineRule="exact"/>
        <w:rPr>
          <w:sz w:val="20"/>
          <w:szCs w:val="20"/>
          <w:color w:val="auto"/>
        </w:rPr>
      </w:pPr>
    </w:p>
    <w:p>
      <w:pPr>
        <w:ind w:left="640" w:right="759" w:firstLine="309"/>
        <w:spacing w:after="0" w:line="249" w:lineRule="auto"/>
        <w:rPr>
          <w:sz w:val="20"/>
          <w:szCs w:val="20"/>
          <w:color w:val="auto"/>
        </w:rPr>
      </w:pPr>
      <w:r>
        <w:rPr>
          <w:rFonts w:ascii="Arial" w:cs="Arial" w:eastAsia="Arial" w:hAnsi="Arial"/>
          <w:sz w:val="13"/>
          <w:szCs w:val="13"/>
          <w:color w:val="auto"/>
        </w:rPr>
        <w:t>General and administrative expenses consist primarily of personnel-related costs (including share-based compensation) for finance, legal, human resources, business development and other administrative and operational functions, professional fees, accounting and legal services, information technology and facility-related costs. These costs relate to the operation of the business, unrelated to the research and development function or any individual program.</w:t>
      </w:r>
    </w:p>
    <w:p>
      <w:pPr>
        <w:spacing w:after="0" w:line="138" w:lineRule="exact"/>
        <w:rPr>
          <w:sz w:val="20"/>
          <w:szCs w:val="20"/>
          <w:color w:val="auto"/>
        </w:rPr>
      </w:pPr>
    </w:p>
    <w:p>
      <w:pPr>
        <w:ind w:left="640" w:right="679" w:firstLine="309"/>
        <w:spacing w:after="0" w:line="249" w:lineRule="auto"/>
        <w:rPr>
          <w:sz w:val="20"/>
          <w:szCs w:val="20"/>
          <w:color w:val="auto"/>
        </w:rPr>
      </w:pPr>
      <w:r>
        <w:rPr>
          <w:rFonts w:ascii="Arial" w:cs="Arial" w:eastAsia="Arial" w:hAnsi="Arial"/>
          <w:sz w:val="13"/>
          <w:szCs w:val="13"/>
          <w:color w:val="auto"/>
        </w:rPr>
        <w:t>Due to our planned increase in research and development activities as explained above, we also expect that our general and administrative expenses might increase. We might incur increased accounting, audit, legal, regulatory, compliance, director and officer insurance costs. Additionally, if and when a regulatory approval of a product candidate appears likely, we anticipate an increase in payroll and expenses as a result of our preparation for commercial operations.</w:t>
      </w:r>
    </w:p>
    <w:p>
      <w:pPr>
        <w:spacing w:after="0" w:line="214" w:lineRule="exact"/>
        <w:rPr>
          <w:sz w:val="20"/>
          <w:szCs w:val="20"/>
          <w:color w:val="auto"/>
        </w:rPr>
      </w:pPr>
    </w:p>
    <w:p>
      <w:pPr>
        <w:ind w:left="800"/>
        <w:spacing w:after="0"/>
        <w:rPr>
          <w:sz w:val="20"/>
          <w:szCs w:val="20"/>
          <w:color w:val="auto"/>
        </w:rPr>
      </w:pPr>
      <w:r>
        <w:rPr>
          <w:rFonts w:ascii="Arial" w:cs="Arial" w:eastAsia="Arial" w:hAnsi="Arial"/>
          <w:sz w:val="13"/>
          <w:szCs w:val="13"/>
          <w:b w:val="1"/>
          <w:bCs w:val="1"/>
          <w:i w:val="1"/>
          <w:iCs w:val="1"/>
          <w:color w:val="auto"/>
        </w:rPr>
        <w:t>Financial Result</w:t>
      </w:r>
    </w:p>
    <w:p>
      <w:pPr>
        <w:spacing w:after="0" w:line="78" w:lineRule="exact"/>
        <w:rPr>
          <w:sz w:val="20"/>
          <w:szCs w:val="20"/>
          <w:color w:val="auto"/>
        </w:rPr>
      </w:pPr>
    </w:p>
    <w:p>
      <w:pPr>
        <w:ind w:left="640" w:right="659" w:firstLine="309"/>
        <w:spacing w:after="0" w:line="249" w:lineRule="auto"/>
        <w:rPr>
          <w:sz w:val="20"/>
          <w:szCs w:val="20"/>
          <w:color w:val="auto"/>
        </w:rPr>
      </w:pPr>
      <w:r>
        <w:rPr>
          <w:rFonts w:ascii="Arial" w:cs="Arial" w:eastAsia="Arial" w:hAnsi="Arial"/>
          <w:sz w:val="13"/>
          <w:szCs w:val="13"/>
          <w:color w:val="auto"/>
        </w:rPr>
        <w:t>Financial result consists of both other financial income and other financial expenses. Other financial income results primarily from interest income and foreign exchange gains. Other financial expenses consist of interest expenses related to lease liabilities, foreign exchange losses and expected credit losses. Additionally, our warrants are classified as liabilities for warrants. The change in fair value of warrant liabilities consists of the change in fair value of these warrants.</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Results of Operations</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3"/>
          <w:szCs w:val="13"/>
          <w:b w:val="1"/>
          <w:bCs w:val="1"/>
          <w:i w:val="1"/>
          <w:iCs w:val="1"/>
          <w:color w:val="auto"/>
        </w:rPr>
        <w:t>Comparison of the Three and Six Months Ended June 30, 2023 and June 30, 2022</w:t>
      </w:r>
    </w:p>
    <w:p>
      <w:pPr>
        <w:spacing w:after="0" w:line="78" w:lineRule="exact"/>
        <w:rPr>
          <w:sz w:val="20"/>
          <w:szCs w:val="20"/>
          <w:color w:val="auto"/>
        </w:rPr>
      </w:pPr>
    </w:p>
    <w:p>
      <w:pPr>
        <w:ind w:left="640"/>
        <w:spacing w:after="0"/>
        <w:rPr>
          <w:sz w:val="20"/>
          <w:szCs w:val="20"/>
          <w:color w:val="auto"/>
        </w:rPr>
      </w:pPr>
      <w:r>
        <w:rPr>
          <w:rFonts w:ascii="Arial" w:cs="Arial" w:eastAsia="Arial" w:hAnsi="Arial"/>
          <w:sz w:val="13"/>
          <w:szCs w:val="13"/>
          <w:color w:val="auto"/>
        </w:rPr>
        <w:t>The following table summarizes our consolidated statements of operations for each period presented:</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3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1320" w:type="dxa"/>
            <w:vAlign w:val="bottom"/>
            <w:gridSpan w:val="4"/>
          </w:tcPr>
          <w:p>
            <w:pPr>
              <w:jc w:val="center"/>
              <w:ind w:left="500"/>
              <w:spacing w:after="0"/>
              <w:rPr>
                <w:sz w:val="20"/>
                <w:szCs w:val="20"/>
                <w:color w:val="auto"/>
              </w:rPr>
            </w:pPr>
            <w:r>
              <w:rPr>
                <w:rFonts w:ascii="Arial" w:cs="Arial" w:eastAsia="Arial" w:hAnsi="Arial"/>
                <w:sz w:val="10"/>
                <w:szCs w:val="10"/>
                <w:b w:val="1"/>
                <w:bCs w:val="1"/>
                <w:color w:val="auto"/>
                <w:w w:val="90"/>
              </w:rPr>
              <w:t>Three months</w:t>
            </w: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4"/>
          </w:tcPr>
          <w:p>
            <w:pPr>
              <w:jc w:val="center"/>
              <w:spacing w:after="0"/>
              <w:rPr>
                <w:sz w:val="20"/>
                <w:szCs w:val="20"/>
                <w:color w:val="auto"/>
              </w:rPr>
            </w:pPr>
            <w:r>
              <w:rPr>
                <w:rFonts w:ascii="Arial" w:cs="Arial" w:eastAsia="Arial" w:hAnsi="Arial"/>
                <w:sz w:val="10"/>
                <w:szCs w:val="10"/>
                <w:b w:val="1"/>
                <w:bCs w:val="1"/>
                <w:color w:val="auto"/>
                <w:w w:val="88"/>
              </w:rPr>
              <w:t>Six months</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9"/>
        </w:trPr>
        <w:tc>
          <w:tcPr>
            <w:tcW w:w="3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1320" w:type="dxa"/>
            <w:vAlign w:val="bottom"/>
            <w:tcBorders>
              <w:bottom w:val="single" w:sz="8" w:color="auto"/>
            </w:tcBorders>
            <w:gridSpan w:val="4"/>
          </w:tcPr>
          <w:p>
            <w:pPr>
              <w:jc w:val="center"/>
              <w:ind w:left="500"/>
              <w:spacing w:after="0"/>
              <w:rPr>
                <w:sz w:val="20"/>
                <w:szCs w:val="20"/>
                <w:color w:val="auto"/>
              </w:rPr>
            </w:pPr>
            <w:r>
              <w:rPr>
                <w:rFonts w:ascii="Arial" w:cs="Arial" w:eastAsia="Arial" w:hAnsi="Arial"/>
                <w:sz w:val="10"/>
                <w:szCs w:val="10"/>
                <w:b w:val="1"/>
                <w:bCs w:val="1"/>
                <w:color w:val="auto"/>
                <w:w w:val="88"/>
              </w:rPr>
              <w:t>ended June 30,</w:t>
            </w: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88"/>
              </w:rPr>
              <w:t>ended June 30,</w:t>
            </w:r>
          </w:p>
        </w:tc>
        <w:tc>
          <w:tcPr>
            <w:tcW w:w="6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94"/>
        </w:trPr>
        <w:tc>
          <w:tcPr>
            <w:tcW w:w="3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800" w:type="dxa"/>
            <w:vAlign w:val="bottom"/>
            <w:tcBorders>
              <w:bottom w:val="single" w:sz="8" w:color="auto"/>
            </w:tcBorders>
          </w:tcPr>
          <w:p>
            <w:pPr>
              <w:jc w:val="right"/>
              <w:ind w:right="240"/>
              <w:spacing w:after="0" w:line="94" w:lineRule="exact"/>
              <w:rPr>
                <w:sz w:val="20"/>
                <w:szCs w:val="20"/>
                <w:color w:val="auto"/>
              </w:rPr>
            </w:pPr>
            <w:r>
              <w:rPr>
                <w:rFonts w:ascii="Arial" w:cs="Arial" w:eastAsia="Arial" w:hAnsi="Arial"/>
                <w:sz w:val="10"/>
                <w:szCs w:val="10"/>
                <w:b w:val="1"/>
                <w:bCs w:val="1"/>
                <w:color w:val="auto"/>
              </w:rPr>
              <w:t>2023</w:t>
            </w:r>
          </w:p>
        </w:tc>
        <w:tc>
          <w:tcPr>
            <w:tcW w:w="2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40"/>
              <w:spacing w:after="0" w:line="94" w:lineRule="exact"/>
              <w:rPr>
                <w:sz w:val="20"/>
                <w:szCs w:val="20"/>
                <w:color w:val="auto"/>
              </w:rPr>
            </w:pPr>
            <w:r>
              <w:rPr>
                <w:rFonts w:ascii="Arial" w:cs="Arial" w:eastAsia="Arial" w:hAnsi="Arial"/>
                <w:sz w:val="10"/>
                <w:szCs w:val="10"/>
                <w:b w:val="1"/>
                <w:bCs w:val="1"/>
                <w:color w:val="auto"/>
              </w:rPr>
              <w:t>2022</w:t>
            </w: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spacing w:after="0" w:line="94" w:lineRule="exact"/>
              <w:rPr>
                <w:sz w:val="20"/>
                <w:szCs w:val="20"/>
                <w:color w:val="auto"/>
              </w:rPr>
            </w:pPr>
            <w:r>
              <w:rPr>
                <w:rFonts w:ascii="Arial" w:cs="Arial" w:eastAsia="Arial" w:hAnsi="Arial"/>
                <w:sz w:val="10"/>
                <w:szCs w:val="10"/>
                <w:b w:val="1"/>
                <w:bCs w:val="1"/>
                <w:color w:val="auto"/>
              </w:rPr>
              <w:t>2023</w:t>
            </w:r>
          </w:p>
        </w:tc>
        <w:tc>
          <w:tcPr>
            <w:tcW w:w="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259"/>
              <w:spacing w:after="0" w:line="94" w:lineRule="exact"/>
              <w:rPr>
                <w:sz w:val="20"/>
                <w:szCs w:val="20"/>
                <w:color w:val="auto"/>
              </w:rPr>
            </w:pPr>
            <w:r>
              <w:rPr>
                <w:rFonts w:ascii="Arial" w:cs="Arial" w:eastAsia="Arial" w:hAnsi="Arial"/>
                <w:sz w:val="10"/>
                <w:szCs w:val="10"/>
                <w:b w:val="1"/>
                <w:bCs w:val="1"/>
                <w:color w:val="auto"/>
              </w:rPr>
              <w:t>2022</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94"/>
        </w:trPr>
        <w:tc>
          <w:tcPr>
            <w:tcW w:w="3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880" w:type="dxa"/>
            <w:vAlign w:val="bottom"/>
            <w:gridSpan w:val="7"/>
          </w:tcPr>
          <w:p>
            <w:pPr>
              <w:jc w:val="center"/>
              <w:spacing w:after="0" w:line="94" w:lineRule="exact"/>
              <w:rPr>
                <w:sz w:val="20"/>
                <w:szCs w:val="20"/>
                <w:color w:val="auto"/>
              </w:rPr>
            </w:pPr>
            <w:r>
              <w:rPr>
                <w:rFonts w:ascii="Arial" w:cs="Arial" w:eastAsia="Arial" w:hAnsi="Arial"/>
                <w:sz w:val="10"/>
                <w:szCs w:val="10"/>
                <w:b w:val="1"/>
                <w:bCs w:val="1"/>
                <w:color w:val="auto"/>
                <w:w w:val="89"/>
              </w:rPr>
              <w:t>(Euros in thousands, except per share data)</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80" w:type="dxa"/>
            <w:vAlign w:val="bottom"/>
            <w:gridSpan w:val="8"/>
          </w:tcPr>
          <w:p>
            <w:pPr>
              <w:jc w:val="center"/>
              <w:spacing w:after="0" w:line="94" w:lineRule="exact"/>
              <w:rPr>
                <w:sz w:val="20"/>
                <w:szCs w:val="20"/>
                <w:color w:val="auto"/>
              </w:rPr>
            </w:pPr>
            <w:r>
              <w:rPr>
                <w:rFonts w:ascii="Arial" w:cs="Arial" w:eastAsia="Arial" w:hAnsi="Arial"/>
                <w:sz w:val="10"/>
                <w:szCs w:val="10"/>
                <w:b w:val="1"/>
                <w:bCs w:val="1"/>
                <w:color w:val="auto"/>
                <w:w w:val="89"/>
              </w:rPr>
              <w:t>(Euros in thousands, except per share data)</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52"/>
        </w:trPr>
        <w:tc>
          <w:tcPr>
            <w:tcW w:w="32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Revenue from collaboration agreements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22,354</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17,215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gridSpan w:val="4"/>
            <w:shd w:val="clear" w:color="auto" w:fill="CCEEFF"/>
          </w:tcPr>
          <w:p>
            <w:pPr>
              <w:jc w:val="right"/>
              <w:ind w:right="185"/>
              <w:spacing w:after="0"/>
              <w:rPr>
                <w:sz w:val="20"/>
                <w:szCs w:val="20"/>
                <w:color w:val="auto"/>
              </w:rPr>
            </w:pPr>
            <w:r>
              <w:rPr>
                <w:rFonts w:ascii="Arial" w:cs="Arial" w:eastAsia="Arial" w:hAnsi="Arial"/>
                <w:sz w:val="13"/>
                <w:szCs w:val="13"/>
                <w:color w:val="auto"/>
              </w:rPr>
              <w:t>32,150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120,123</w:t>
            </w:r>
          </w:p>
        </w:tc>
        <w:tc>
          <w:tcPr>
            <w:tcW w:w="40" w:type="dxa"/>
            <w:vAlign w:val="bottom"/>
            <w:shd w:val="clear" w:color="auto" w:fill="CCEEFF"/>
          </w:tcPr>
          <w:p>
            <w:pPr>
              <w:spacing w:after="0"/>
              <w:rPr>
                <w:sz w:val="13"/>
                <w:szCs w:val="13"/>
                <w:color w:val="auto"/>
              </w:rPr>
            </w:pPr>
          </w:p>
        </w:tc>
      </w:tr>
      <w:tr>
        <w:trPr>
          <w:trHeight w:val="152"/>
        </w:trPr>
        <w:tc>
          <w:tcPr>
            <w:tcW w:w="32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Research and development expenses</w:t>
            </w: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(27,317)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3"/>
                <w:szCs w:val="13"/>
                <w:color w:val="auto"/>
              </w:rPr>
              <w:t>(25,216)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4"/>
          </w:tcPr>
          <w:p>
            <w:pPr>
              <w:jc w:val="right"/>
              <w:ind w:right="145"/>
              <w:spacing w:after="0"/>
              <w:rPr>
                <w:sz w:val="20"/>
                <w:szCs w:val="20"/>
                <w:color w:val="auto"/>
              </w:rPr>
            </w:pPr>
            <w:r>
              <w:rPr>
                <w:rFonts w:ascii="Arial" w:cs="Arial" w:eastAsia="Arial" w:hAnsi="Arial"/>
                <w:sz w:val="13"/>
                <w:szCs w:val="13"/>
                <w:color w:val="auto"/>
              </w:rPr>
              <w:t>(54,898)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3"/>
                <w:szCs w:val="13"/>
                <w:color w:val="auto"/>
              </w:rPr>
              <w:t>(50,360)</w:t>
            </w:r>
          </w:p>
        </w:tc>
      </w:tr>
      <w:tr>
        <w:trPr>
          <w:trHeight w:val="152"/>
        </w:trPr>
        <w:tc>
          <w:tcPr>
            <w:tcW w:w="32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General and administrative expenses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(9,358)</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(8,683)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gridSpan w:val="4"/>
            <w:shd w:val="clear" w:color="auto" w:fill="CCEEFF"/>
          </w:tcPr>
          <w:p>
            <w:pPr>
              <w:jc w:val="right"/>
              <w:ind w:right="145"/>
              <w:spacing w:after="0"/>
              <w:rPr>
                <w:sz w:val="20"/>
                <w:szCs w:val="20"/>
                <w:color w:val="auto"/>
              </w:rPr>
            </w:pPr>
            <w:r>
              <w:rPr>
                <w:rFonts w:ascii="Arial" w:cs="Arial" w:eastAsia="Arial" w:hAnsi="Arial"/>
                <w:sz w:val="13"/>
                <w:szCs w:val="13"/>
                <w:color w:val="auto"/>
              </w:rPr>
              <w:t>(18,944)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(17,961)</w:t>
            </w:r>
          </w:p>
        </w:tc>
      </w:tr>
      <w:tr>
        <w:trPr>
          <w:trHeight w:val="152"/>
        </w:trPr>
        <w:tc>
          <w:tcPr>
            <w:tcW w:w="32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Other income</w:t>
            </w: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3"/>
          </w:tcPr>
          <w:p>
            <w:pPr>
              <w:jc w:val="right"/>
              <w:spacing w:after="0"/>
              <w:rPr>
                <w:sz w:val="20"/>
                <w:szCs w:val="20"/>
                <w:color w:val="auto"/>
              </w:rPr>
            </w:pPr>
            <w:r>
              <w:rPr>
                <w:rFonts w:ascii="Arial" w:cs="Arial" w:eastAsia="Arial" w:hAnsi="Arial"/>
                <w:sz w:val="13"/>
                <w:szCs w:val="13"/>
                <w:color w:val="auto"/>
              </w:rPr>
              <w:t>27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gridSpan w:val="3"/>
          </w:tcPr>
          <w:p>
            <w:pPr>
              <w:jc w:val="right"/>
              <w:ind w:right="185"/>
              <w:spacing w:after="0"/>
              <w:rPr>
                <w:sz w:val="20"/>
                <w:szCs w:val="20"/>
                <w:color w:val="auto"/>
              </w:rPr>
            </w:pPr>
            <w:r>
              <w:rPr>
                <w:rFonts w:ascii="Arial" w:cs="Arial" w:eastAsia="Arial" w:hAnsi="Arial"/>
                <w:sz w:val="13"/>
                <w:szCs w:val="13"/>
                <w:color w:val="auto"/>
              </w:rPr>
              <w:t>948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32</w:t>
            </w:r>
          </w:p>
        </w:tc>
        <w:tc>
          <w:tcPr>
            <w:tcW w:w="40" w:type="dxa"/>
            <w:vAlign w:val="bottom"/>
          </w:tcPr>
          <w:p>
            <w:pPr>
              <w:spacing w:after="0"/>
              <w:rPr>
                <w:sz w:val="13"/>
                <w:szCs w:val="13"/>
                <w:color w:val="auto"/>
              </w:rPr>
            </w:pPr>
          </w:p>
        </w:tc>
      </w:tr>
      <w:tr>
        <w:trPr>
          <w:trHeight w:val="20"/>
        </w:trPr>
        <w:tc>
          <w:tcPr>
            <w:tcW w:w="3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1"/>
        </w:trPr>
        <w:tc>
          <w:tcPr>
            <w:tcW w:w="32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Operating result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(14,315)</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(16,657)</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gridSpan w:val="4"/>
            <w:shd w:val="clear" w:color="auto" w:fill="CCEEFF"/>
          </w:tcPr>
          <w:p>
            <w:pPr>
              <w:jc w:val="right"/>
              <w:ind w:right="145"/>
              <w:spacing w:after="0"/>
              <w:rPr>
                <w:sz w:val="20"/>
                <w:szCs w:val="20"/>
                <w:color w:val="auto"/>
              </w:rPr>
            </w:pPr>
            <w:r>
              <w:rPr>
                <w:rFonts w:ascii="Arial" w:cs="Arial" w:eastAsia="Arial" w:hAnsi="Arial"/>
                <w:sz w:val="13"/>
                <w:szCs w:val="13"/>
                <w:b w:val="1"/>
                <w:bCs w:val="1"/>
                <w:color w:val="auto"/>
              </w:rPr>
              <w:t>(40,744)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51,834</w:t>
            </w:r>
          </w:p>
        </w:tc>
        <w:tc>
          <w:tcPr>
            <w:tcW w:w="40" w:type="dxa"/>
            <w:vAlign w:val="bottom"/>
            <w:shd w:val="clear" w:color="auto" w:fill="CCEEFF"/>
          </w:tcPr>
          <w:p>
            <w:pPr>
              <w:spacing w:after="0"/>
              <w:rPr>
                <w:sz w:val="13"/>
                <w:szCs w:val="13"/>
                <w:color w:val="auto"/>
              </w:rPr>
            </w:pPr>
          </w:p>
        </w:tc>
      </w:tr>
      <w:tr>
        <w:trPr>
          <w:trHeight w:val="152"/>
        </w:trPr>
        <w:tc>
          <w:tcPr>
            <w:tcW w:w="32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Change in fair value of liabilities for warrants</w:t>
            </w: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(13,105)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3"/>
                <w:szCs w:val="13"/>
                <w:color w:val="auto"/>
              </w:rPr>
              <w:t>(2,786)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4"/>
          </w:tcPr>
          <w:p>
            <w:pPr>
              <w:jc w:val="right"/>
              <w:ind w:right="145"/>
              <w:spacing w:after="0"/>
              <w:rPr>
                <w:sz w:val="20"/>
                <w:szCs w:val="20"/>
                <w:color w:val="auto"/>
              </w:rPr>
            </w:pPr>
            <w:r>
              <w:rPr>
                <w:rFonts w:ascii="Arial" w:cs="Arial" w:eastAsia="Arial" w:hAnsi="Arial"/>
                <w:sz w:val="13"/>
                <w:szCs w:val="13"/>
                <w:color w:val="auto"/>
              </w:rPr>
              <w:t>(5,708)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13,743</w:t>
            </w:r>
          </w:p>
        </w:tc>
        <w:tc>
          <w:tcPr>
            <w:tcW w:w="40" w:type="dxa"/>
            <w:vAlign w:val="bottom"/>
          </w:tcPr>
          <w:p>
            <w:pPr>
              <w:spacing w:after="0"/>
              <w:rPr>
                <w:sz w:val="13"/>
                <w:szCs w:val="13"/>
                <w:color w:val="auto"/>
              </w:rPr>
            </w:pPr>
          </w:p>
        </w:tc>
      </w:tr>
      <w:tr>
        <w:trPr>
          <w:trHeight w:val="152"/>
        </w:trPr>
        <w:tc>
          <w:tcPr>
            <w:tcW w:w="32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Other financial income</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3,954</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7,015</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185"/>
              <w:spacing w:after="0"/>
              <w:rPr>
                <w:sz w:val="20"/>
                <w:szCs w:val="20"/>
                <w:color w:val="auto"/>
              </w:rPr>
            </w:pPr>
            <w:r>
              <w:rPr>
                <w:rFonts w:ascii="Arial" w:cs="Arial" w:eastAsia="Arial" w:hAnsi="Arial"/>
                <w:sz w:val="13"/>
                <w:szCs w:val="13"/>
                <w:color w:val="auto"/>
                <w:w w:val="85"/>
              </w:rPr>
              <w:t>6,748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8,774</w:t>
            </w:r>
          </w:p>
        </w:tc>
        <w:tc>
          <w:tcPr>
            <w:tcW w:w="40" w:type="dxa"/>
            <w:vAlign w:val="bottom"/>
            <w:shd w:val="clear" w:color="auto" w:fill="CCEEFF"/>
          </w:tcPr>
          <w:p>
            <w:pPr>
              <w:spacing w:after="0"/>
              <w:rPr>
                <w:sz w:val="13"/>
                <w:szCs w:val="13"/>
                <w:color w:val="auto"/>
              </w:rPr>
            </w:pPr>
          </w:p>
        </w:tc>
      </w:tr>
      <w:tr>
        <w:trPr>
          <w:trHeight w:val="152"/>
        </w:trPr>
        <w:tc>
          <w:tcPr>
            <w:tcW w:w="32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Other financial expenses</w:t>
            </w: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(1,144)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3"/>
                <w:szCs w:val="13"/>
                <w:color w:val="auto"/>
              </w:rPr>
              <w:t>(407)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4"/>
          </w:tcPr>
          <w:p>
            <w:pPr>
              <w:jc w:val="right"/>
              <w:ind w:right="145"/>
              <w:spacing w:after="0"/>
              <w:rPr>
                <w:sz w:val="20"/>
                <w:szCs w:val="20"/>
                <w:color w:val="auto"/>
              </w:rPr>
            </w:pPr>
            <w:r>
              <w:rPr>
                <w:rFonts w:ascii="Arial" w:cs="Arial" w:eastAsia="Arial" w:hAnsi="Arial"/>
                <w:sz w:val="13"/>
                <w:szCs w:val="13"/>
                <w:color w:val="auto"/>
              </w:rPr>
              <w:t>(4,653)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3"/>
                <w:szCs w:val="13"/>
                <w:color w:val="auto"/>
              </w:rPr>
              <w:t>(1,524)</w:t>
            </w:r>
          </w:p>
        </w:tc>
      </w:tr>
      <w:tr>
        <w:trPr>
          <w:trHeight w:val="20"/>
        </w:trPr>
        <w:tc>
          <w:tcPr>
            <w:tcW w:w="3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1"/>
        </w:trPr>
        <w:tc>
          <w:tcPr>
            <w:tcW w:w="32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Financial result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(10,295)</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3,822</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gridSpan w:val="4"/>
            <w:shd w:val="clear" w:color="auto" w:fill="CCEEFF"/>
          </w:tcPr>
          <w:p>
            <w:pPr>
              <w:jc w:val="right"/>
              <w:ind w:right="145"/>
              <w:spacing w:after="0"/>
              <w:rPr>
                <w:sz w:val="20"/>
                <w:szCs w:val="20"/>
                <w:color w:val="auto"/>
              </w:rPr>
            </w:pPr>
            <w:r>
              <w:rPr>
                <w:rFonts w:ascii="Arial" w:cs="Arial" w:eastAsia="Arial" w:hAnsi="Arial"/>
                <w:sz w:val="13"/>
                <w:szCs w:val="13"/>
                <w:b w:val="1"/>
                <w:bCs w:val="1"/>
                <w:color w:val="auto"/>
              </w:rPr>
              <w:t>(3,613)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20,993</w:t>
            </w:r>
          </w:p>
        </w:tc>
        <w:tc>
          <w:tcPr>
            <w:tcW w:w="40" w:type="dxa"/>
            <w:vAlign w:val="bottom"/>
            <w:shd w:val="clear" w:color="auto" w:fill="CCEEFF"/>
          </w:tcPr>
          <w:p>
            <w:pPr>
              <w:spacing w:after="0"/>
              <w:rPr>
                <w:sz w:val="13"/>
                <w:szCs w:val="13"/>
                <w:color w:val="auto"/>
              </w:rPr>
            </w:pPr>
          </w:p>
        </w:tc>
      </w:tr>
      <w:tr>
        <w:trPr>
          <w:trHeight w:val="151"/>
        </w:trPr>
        <w:tc>
          <w:tcPr>
            <w:tcW w:w="32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Arial" w:cs="Arial" w:eastAsia="Arial" w:hAnsi="Arial"/>
                <w:sz w:val="13"/>
                <w:szCs w:val="13"/>
                <w:b w:val="1"/>
                <w:bCs w:val="1"/>
                <w:color w:val="auto"/>
              </w:rPr>
              <w:t>Profit/(loss) before taxes</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(24,610)</w:t>
            </w: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(12,835)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(44,357)</w:t>
            </w: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72,827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32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Taxes on income</w:t>
            </w:r>
          </w:p>
        </w:tc>
        <w:tc>
          <w:tcPr>
            <w:tcW w:w="1320" w:type="dxa"/>
            <w:vAlign w:val="bottom"/>
            <w:gridSpan w:val="4"/>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(1,145)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80" w:type="dxa"/>
            <w:vAlign w:val="bottom"/>
            <w:gridSpan w:val="5"/>
            <w:shd w:val="clear" w:color="auto" w:fill="CCEEFF"/>
          </w:tcPr>
          <w:p>
            <w:pPr>
              <w:jc w:val="right"/>
              <w:ind w:right="515"/>
              <w:spacing w:after="0"/>
              <w:rPr>
                <w:sz w:val="20"/>
                <w:szCs w:val="20"/>
                <w:color w:val="auto"/>
              </w:rPr>
            </w:pPr>
            <w:r>
              <w:rPr>
                <w:rFonts w:ascii="Arial" w:cs="Arial" w:eastAsia="Arial" w:hAnsi="Arial"/>
                <w:sz w:val="13"/>
                <w:szCs w:val="13"/>
                <w:color w:val="auto"/>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(1,145)</w:t>
            </w:r>
          </w:p>
        </w:tc>
      </w:tr>
      <w:tr>
        <w:trPr>
          <w:trHeight w:val="165"/>
        </w:trPr>
        <w:tc>
          <w:tcPr>
            <w:tcW w:w="32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3"/>
                <w:szCs w:val="13"/>
                <w:b w:val="1"/>
                <w:bCs w:val="1"/>
                <w:color w:val="auto"/>
              </w:rPr>
              <w:t>Net profit/(loss)</w:t>
            </w: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(24,610)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3"/>
                <w:szCs w:val="13"/>
                <w:b w:val="1"/>
                <w:bCs w:val="1"/>
                <w:color w:val="auto"/>
              </w:rPr>
              <w:t>(13,980)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4"/>
          </w:tcPr>
          <w:p>
            <w:pPr>
              <w:jc w:val="right"/>
              <w:ind w:right="145"/>
              <w:spacing w:after="0"/>
              <w:rPr>
                <w:sz w:val="20"/>
                <w:szCs w:val="20"/>
                <w:color w:val="auto"/>
              </w:rPr>
            </w:pPr>
            <w:r>
              <w:rPr>
                <w:rFonts w:ascii="Arial" w:cs="Arial" w:eastAsia="Arial" w:hAnsi="Arial"/>
                <w:sz w:val="13"/>
                <w:szCs w:val="13"/>
                <w:b w:val="1"/>
                <w:bCs w:val="1"/>
                <w:color w:val="auto"/>
              </w:rPr>
              <w:t>(44,357)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71,682</w:t>
            </w:r>
          </w:p>
        </w:tc>
        <w:tc>
          <w:tcPr>
            <w:tcW w:w="40" w:type="dxa"/>
            <w:vAlign w:val="bottom"/>
          </w:tcPr>
          <w:p>
            <w:pPr>
              <w:spacing w:after="0"/>
              <w:rPr>
                <w:sz w:val="14"/>
                <w:szCs w:val="14"/>
                <w:color w:val="auto"/>
              </w:rPr>
            </w:pPr>
          </w:p>
        </w:tc>
      </w:tr>
      <w:tr>
        <w:trPr>
          <w:trHeight w:val="156"/>
        </w:trPr>
        <w:tc>
          <w:tcPr>
            <w:tcW w:w="32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profit/(loss) per share:</w:t>
            </w:r>
          </w:p>
        </w:tc>
        <w:tc>
          <w:tcPr>
            <w:tcW w:w="800" w:type="dxa"/>
            <w:vAlign w:val="bottom"/>
            <w:tcBorders>
              <w:top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2"/>
        </w:trPr>
        <w:tc>
          <w:tcPr>
            <w:tcW w:w="32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Basic</w:t>
            </w: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(0.32)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3"/>
                <w:szCs w:val="13"/>
                <w:color w:val="auto"/>
              </w:rPr>
              <w:t>(0.22)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gridSpan w:val="3"/>
          </w:tcPr>
          <w:p>
            <w:pPr>
              <w:jc w:val="right"/>
              <w:ind w:right="145"/>
              <w:spacing w:after="0"/>
              <w:rPr>
                <w:sz w:val="20"/>
                <w:szCs w:val="20"/>
                <w:color w:val="auto"/>
              </w:rPr>
            </w:pPr>
            <w:r>
              <w:rPr>
                <w:rFonts w:ascii="Arial" w:cs="Arial" w:eastAsia="Arial" w:hAnsi="Arial"/>
                <w:sz w:val="13"/>
                <w:szCs w:val="13"/>
                <w:color w:val="auto"/>
                <w:w w:val="94"/>
              </w:rPr>
              <w:t>(0.58)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1.12</w:t>
            </w:r>
          </w:p>
        </w:tc>
        <w:tc>
          <w:tcPr>
            <w:tcW w:w="40" w:type="dxa"/>
            <w:vAlign w:val="bottom"/>
          </w:tcPr>
          <w:p>
            <w:pPr>
              <w:spacing w:after="0"/>
              <w:rPr>
                <w:sz w:val="13"/>
                <w:szCs w:val="13"/>
                <w:color w:val="auto"/>
              </w:rPr>
            </w:pPr>
          </w:p>
        </w:tc>
      </w:tr>
      <w:tr>
        <w:trPr>
          <w:trHeight w:val="152"/>
        </w:trPr>
        <w:tc>
          <w:tcPr>
            <w:tcW w:w="32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Diluted</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(0.32)</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(0.22)</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145"/>
              <w:spacing w:after="0"/>
              <w:rPr>
                <w:sz w:val="20"/>
                <w:szCs w:val="20"/>
                <w:color w:val="auto"/>
              </w:rPr>
            </w:pPr>
            <w:r>
              <w:rPr>
                <w:rFonts w:ascii="Arial" w:cs="Arial" w:eastAsia="Arial" w:hAnsi="Arial"/>
                <w:sz w:val="13"/>
                <w:szCs w:val="13"/>
                <w:color w:val="auto"/>
                <w:w w:val="94"/>
              </w:rPr>
              <w:t>(0.58)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1.11</w:t>
            </w:r>
          </w:p>
        </w:tc>
        <w:tc>
          <w:tcPr>
            <w:tcW w:w="40" w:type="dxa"/>
            <w:vAlign w:val="bottom"/>
            <w:shd w:val="clear" w:color="auto" w:fill="CCEEFF"/>
          </w:tcPr>
          <w:p>
            <w:pPr>
              <w:spacing w:after="0"/>
              <w:rPr>
                <w:sz w:val="13"/>
                <w:szCs w:val="13"/>
                <w:color w:val="auto"/>
              </w:rPr>
            </w:pPr>
          </w:p>
        </w:tc>
      </w:tr>
      <w:tr>
        <w:trPr>
          <w:trHeight w:val="379"/>
        </w:trPr>
        <w:tc>
          <w:tcPr>
            <w:tcW w:w="3440" w:type="dxa"/>
            <w:vAlign w:val="bottom"/>
            <w:gridSpan w:val="2"/>
          </w:tcPr>
          <w:p>
            <w:pPr>
              <w:spacing w:after="0"/>
              <w:rPr>
                <w:sz w:val="20"/>
                <w:szCs w:val="20"/>
                <w:color w:val="auto"/>
              </w:rPr>
            </w:pPr>
            <w:r>
              <w:rPr>
                <w:rFonts w:ascii="Arial" w:cs="Arial" w:eastAsia="Arial" w:hAnsi="Arial"/>
                <w:sz w:val="13"/>
                <w:szCs w:val="13"/>
                <w:i w:val="1"/>
                <w:iCs w:val="1"/>
                <w:color w:val="auto"/>
              </w:rPr>
              <w:t>Revenue from Collaboration Agreements</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7"/>
        </w:trPr>
        <w:tc>
          <w:tcPr>
            <w:tcW w:w="4760" w:type="dxa"/>
            <w:vAlign w:val="bottom"/>
            <w:gridSpan w:val="6"/>
          </w:tcPr>
          <w:p>
            <w:pPr>
              <w:spacing w:after="0"/>
              <w:rPr>
                <w:sz w:val="20"/>
                <w:szCs w:val="20"/>
                <w:color w:val="auto"/>
              </w:rPr>
            </w:pPr>
            <w:r>
              <w:rPr>
                <w:rFonts w:ascii="Arial" w:cs="Arial" w:eastAsia="Arial" w:hAnsi="Arial"/>
                <w:sz w:val="13"/>
                <w:szCs w:val="13"/>
                <w:color w:val="auto"/>
                <w:w w:val="99"/>
              </w:rPr>
              <w:t>The following table summarizes our collaboration revenue for the periods indicated:</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60"/>
        </w:trPr>
        <w:tc>
          <w:tcPr>
            <w:tcW w:w="3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6"/>
          </w:tcPr>
          <w:p>
            <w:pPr>
              <w:jc w:val="center"/>
              <w:ind w:left="200"/>
              <w:spacing w:after="0"/>
              <w:rPr>
                <w:sz w:val="20"/>
                <w:szCs w:val="20"/>
                <w:color w:val="auto"/>
              </w:rPr>
            </w:pPr>
            <w:r>
              <w:rPr>
                <w:rFonts w:ascii="Arial" w:cs="Arial" w:eastAsia="Arial" w:hAnsi="Arial"/>
                <w:sz w:val="10"/>
                <w:szCs w:val="10"/>
                <w:b w:val="1"/>
                <w:bCs w:val="1"/>
                <w:color w:val="auto"/>
                <w:w w:val="90"/>
              </w:rPr>
              <w:t>Three months</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6"/>
          </w:tcPr>
          <w:p>
            <w:pPr>
              <w:jc w:val="center"/>
              <w:ind w:right="240"/>
              <w:spacing w:after="0"/>
              <w:rPr>
                <w:sz w:val="20"/>
                <w:szCs w:val="20"/>
                <w:color w:val="auto"/>
              </w:rPr>
            </w:pPr>
            <w:r>
              <w:rPr>
                <w:rFonts w:ascii="Arial" w:cs="Arial" w:eastAsia="Arial" w:hAnsi="Arial"/>
                <w:sz w:val="10"/>
                <w:szCs w:val="10"/>
                <w:b w:val="1"/>
                <w:bCs w:val="1"/>
                <w:color w:val="auto"/>
                <w:w w:val="88"/>
              </w:rPr>
              <w:t>Six months</w:t>
            </w:r>
          </w:p>
        </w:tc>
      </w:tr>
      <w:tr>
        <w:trPr>
          <w:trHeight w:val="104"/>
        </w:trPr>
        <w:tc>
          <w:tcPr>
            <w:tcW w:w="3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5"/>
          </w:tcPr>
          <w:p>
            <w:pPr>
              <w:jc w:val="center"/>
              <w:ind w:left="340"/>
              <w:spacing w:after="0" w:line="104" w:lineRule="exact"/>
              <w:rPr>
                <w:sz w:val="20"/>
                <w:szCs w:val="20"/>
                <w:color w:val="auto"/>
              </w:rPr>
            </w:pPr>
            <w:r>
              <w:rPr>
                <w:rFonts w:ascii="Arial" w:cs="Arial" w:eastAsia="Arial" w:hAnsi="Arial"/>
                <w:sz w:val="10"/>
                <w:szCs w:val="10"/>
                <w:b w:val="1"/>
                <w:bCs w:val="1"/>
                <w:color w:val="auto"/>
                <w:w w:val="88"/>
              </w:rPr>
              <w:t>ended</w:t>
            </w: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gridSpan w:val="5"/>
          </w:tcPr>
          <w:p>
            <w:pPr>
              <w:jc w:val="center"/>
              <w:ind w:right="460"/>
              <w:spacing w:after="0" w:line="104" w:lineRule="exact"/>
              <w:rPr>
                <w:sz w:val="20"/>
                <w:szCs w:val="20"/>
                <w:color w:val="auto"/>
              </w:rPr>
            </w:pPr>
            <w:r>
              <w:rPr>
                <w:rFonts w:ascii="Arial" w:cs="Arial" w:eastAsia="Arial" w:hAnsi="Arial"/>
                <w:sz w:val="10"/>
                <w:szCs w:val="10"/>
                <w:b w:val="1"/>
                <w:bCs w:val="1"/>
                <w:color w:val="auto"/>
                <w:w w:val="88"/>
              </w:rPr>
              <w:t>ended</w:t>
            </w:r>
          </w:p>
        </w:tc>
      </w:tr>
      <w:tr>
        <w:trPr>
          <w:trHeight w:val="119"/>
        </w:trPr>
        <w:tc>
          <w:tcPr>
            <w:tcW w:w="3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6"/>
          </w:tcPr>
          <w:p>
            <w:pPr>
              <w:jc w:val="center"/>
              <w:ind w:left="200"/>
              <w:spacing w:after="0"/>
              <w:rPr>
                <w:sz w:val="20"/>
                <w:szCs w:val="20"/>
                <w:color w:val="auto"/>
              </w:rPr>
            </w:pPr>
            <w:r>
              <w:rPr>
                <w:rFonts w:ascii="Arial" w:cs="Arial" w:eastAsia="Arial" w:hAnsi="Arial"/>
                <w:sz w:val="10"/>
                <w:szCs w:val="10"/>
                <w:b w:val="1"/>
                <w:bCs w:val="1"/>
                <w:color w:val="auto"/>
                <w:w w:val="89"/>
              </w:rPr>
              <w:t>June 30,</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5"/>
          </w:tcPr>
          <w:p>
            <w:pPr>
              <w:jc w:val="center"/>
              <w:ind w:right="480"/>
              <w:spacing w:after="0"/>
              <w:rPr>
                <w:sz w:val="20"/>
                <w:szCs w:val="20"/>
                <w:color w:val="auto"/>
              </w:rPr>
            </w:pPr>
            <w:r>
              <w:rPr>
                <w:rFonts w:ascii="Arial" w:cs="Arial" w:eastAsia="Arial" w:hAnsi="Arial"/>
                <w:sz w:val="10"/>
                <w:szCs w:val="10"/>
                <w:b w:val="1"/>
                <w:bCs w:val="1"/>
                <w:color w:val="auto"/>
                <w:w w:val="89"/>
              </w:rPr>
              <w:t>June 30,</w:t>
            </w:r>
          </w:p>
        </w:tc>
      </w:tr>
      <w:tr>
        <w:trPr>
          <w:trHeight w:val="94"/>
        </w:trPr>
        <w:tc>
          <w:tcPr>
            <w:tcW w:w="3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20"/>
              <w:spacing w:after="0" w:line="94" w:lineRule="exact"/>
              <w:rPr>
                <w:sz w:val="20"/>
                <w:szCs w:val="20"/>
                <w:color w:val="auto"/>
              </w:rPr>
            </w:pPr>
            <w:r>
              <w:rPr>
                <w:rFonts w:ascii="Arial" w:cs="Arial" w:eastAsia="Arial" w:hAnsi="Arial"/>
                <w:sz w:val="10"/>
                <w:szCs w:val="10"/>
                <w:b w:val="1"/>
                <w:bCs w:val="1"/>
                <w:color w:val="auto"/>
              </w:rPr>
              <w:t>2023</w:t>
            </w: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gridSpan w:val="2"/>
          </w:tcPr>
          <w:p>
            <w:pPr>
              <w:jc w:val="right"/>
              <w:ind w:right="118"/>
              <w:spacing w:after="0" w:line="94" w:lineRule="exact"/>
              <w:rPr>
                <w:sz w:val="20"/>
                <w:szCs w:val="20"/>
                <w:color w:val="auto"/>
              </w:rPr>
            </w:pPr>
            <w:r>
              <w:rPr>
                <w:rFonts w:ascii="Arial" w:cs="Arial" w:eastAsia="Arial" w:hAnsi="Arial"/>
                <w:sz w:val="10"/>
                <w:szCs w:val="10"/>
                <w:b w:val="1"/>
                <w:bCs w:val="1"/>
                <w:color w:val="auto"/>
              </w:rPr>
              <w:t>2022</w:t>
            </w:r>
          </w:p>
        </w:tc>
        <w:tc>
          <w:tcPr>
            <w:tcW w:w="120" w:type="dxa"/>
            <w:vAlign w:val="bottom"/>
          </w:tcPr>
          <w:p>
            <w:pPr>
              <w:spacing w:after="0"/>
              <w:rPr>
                <w:sz w:val="8"/>
                <w:szCs w:val="8"/>
                <w:color w:val="auto"/>
              </w:rPr>
            </w:pPr>
          </w:p>
        </w:tc>
        <w:tc>
          <w:tcPr>
            <w:tcW w:w="420" w:type="dxa"/>
            <w:vAlign w:val="bottom"/>
            <w:tcBorders>
              <w:top w:val="single" w:sz="8" w:color="auto"/>
              <w:bottom w:val="single" w:sz="8" w:color="auto"/>
            </w:tcBorders>
            <w:gridSpan w:val="2"/>
          </w:tcPr>
          <w:p>
            <w:pPr>
              <w:jc w:val="right"/>
              <w:ind w:right="5"/>
              <w:spacing w:after="0" w:line="94" w:lineRule="exact"/>
              <w:rPr>
                <w:sz w:val="20"/>
                <w:szCs w:val="20"/>
                <w:color w:val="auto"/>
              </w:rPr>
            </w:pPr>
            <w:r>
              <w:rPr>
                <w:rFonts w:ascii="Arial" w:cs="Arial" w:eastAsia="Arial" w:hAnsi="Arial"/>
                <w:sz w:val="10"/>
                <w:szCs w:val="10"/>
                <w:b w:val="1"/>
                <w:bCs w:val="1"/>
                <w:color w:val="auto"/>
              </w:rPr>
              <w:t>2023</w:t>
            </w:r>
          </w:p>
        </w:tc>
        <w:tc>
          <w:tcPr>
            <w:tcW w:w="100" w:type="dxa"/>
            <w:vAlign w:val="bottom"/>
            <w:tcBorders>
              <w:top w:val="single" w:sz="8" w:color="auto"/>
              <w:bottom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00" w:type="dxa"/>
            <w:vAlign w:val="bottom"/>
            <w:tcBorders>
              <w:top w:val="single" w:sz="8" w:color="auto"/>
              <w:bottom w:val="single" w:sz="8" w:color="auto"/>
            </w:tcBorders>
          </w:tcPr>
          <w:p>
            <w:pPr>
              <w:jc w:val="right"/>
              <w:ind w:right="119"/>
              <w:spacing w:after="0" w:line="94" w:lineRule="exact"/>
              <w:rPr>
                <w:sz w:val="20"/>
                <w:szCs w:val="20"/>
                <w:color w:val="auto"/>
              </w:rPr>
            </w:pPr>
            <w:r>
              <w:rPr>
                <w:rFonts w:ascii="Arial" w:cs="Arial" w:eastAsia="Arial" w:hAnsi="Arial"/>
                <w:sz w:val="10"/>
                <w:szCs w:val="10"/>
                <w:b w:val="1"/>
                <w:bCs w:val="1"/>
                <w:color w:val="auto"/>
              </w:rPr>
              <w:t>2022</w:t>
            </w:r>
          </w:p>
        </w:tc>
        <w:tc>
          <w:tcPr>
            <w:tcW w:w="40" w:type="dxa"/>
            <w:vAlign w:val="bottom"/>
            <w:tcBorders>
              <w:top w:val="single" w:sz="8" w:color="auto"/>
              <w:bottom w:val="single" w:sz="8" w:color="auto"/>
            </w:tcBorders>
          </w:tcPr>
          <w:p>
            <w:pPr>
              <w:spacing w:after="0"/>
              <w:rPr>
                <w:sz w:val="8"/>
                <w:szCs w:val="8"/>
                <w:color w:val="auto"/>
              </w:rPr>
            </w:pPr>
          </w:p>
        </w:tc>
        <w:tc>
          <w:tcPr>
            <w:tcW w:w="40" w:type="dxa"/>
            <w:vAlign w:val="bottom"/>
          </w:tcPr>
          <w:p>
            <w:pPr>
              <w:spacing w:after="0"/>
              <w:rPr>
                <w:sz w:val="8"/>
                <w:szCs w:val="8"/>
                <w:color w:val="auto"/>
              </w:rPr>
            </w:pPr>
          </w:p>
        </w:tc>
      </w:tr>
      <w:tr>
        <w:trPr>
          <w:trHeight w:val="103"/>
        </w:trPr>
        <w:tc>
          <w:tcPr>
            <w:tcW w:w="3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gridSpan w:val="4"/>
          </w:tcPr>
          <w:p>
            <w:pPr>
              <w:jc w:val="right"/>
              <w:ind w:right="120"/>
              <w:spacing w:after="0" w:line="104" w:lineRule="exact"/>
              <w:rPr>
                <w:sz w:val="20"/>
                <w:szCs w:val="20"/>
                <w:color w:val="auto"/>
              </w:rPr>
            </w:pPr>
            <w:r>
              <w:rPr>
                <w:rFonts w:ascii="Arial" w:cs="Arial" w:eastAsia="Arial" w:hAnsi="Arial"/>
                <w:sz w:val="10"/>
                <w:szCs w:val="10"/>
                <w:b w:val="1"/>
                <w:bCs w:val="1"/>
                <w:color w:val="auto"/>
              </w:rPr>
              <w:t>(Euros in</w:t>
            </w:r>
          </w:p>
        </w:tc>
        <w:tc>
          <w:tcPr>
            <w:tcW w:w="580" w:type="dxa"/>
            <w:vAlign w:val="bottom"/>
            <w:gridSpan w:val="3"/>
          </w:tcPr>
          <w:p>
            <w:pPr>
              <w:jc w:val="right"/>
              <w:ind w:right="138"/>
              <w:spacing w:after="0"/>
              <w:rPr>
                <w:sz w:val="20"/>
                <w:szCs w:val="20"/>
                <w:color w:val="auto"/>
              </w:rPr>
            </w:pPr>
            <w:r>
              <w:rPr>
                <w:rFonts w:ascii="Arial" w:cs="Arial" w:eastAsia="Arial" w:hAnsi="Arial"/>
                <w:sz w:val="9"/>
                <w:szCs w:val="9"/>
                <w:b w:val="1"/>
                <w:bCs w:val="1"/>
                <w:color w:val="auto"/>
                <w:w w:val="74"/>
              </w:rPr>
              <w:t>thousands)</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gridSpan w:val="2"/>
          </w:tcPr>
          <w:p>
            <w:pPr>
              <w:jc w:val="right"/>
              <w:spacing w:after="0" w:line="104" w:lineRule="exact"/>
              <w:rPr>
                <w:sz w:val="20"/>
                <w:szCs w:val="20"/>
                <w:color w:val="auto"/>
              </w:rPr>
            </w:pPr>
            <w:r>
              <w:rPr>
                <w:rFonts w:ascii="Arial" w:cs="Arial" w:eastAsia="Arial" w:hAnsi="Arial"/>
                <w:sz w:val="10"/>
                <w:szCs w:val="10"/>
                <w:b w:val="1"/>
                <w:bCs w:val="1"/>
                <w:color w:val="auto"/>
                <w:w w:val="88"/>
              </w:rPr>
              <w:t>(Euros</w:t>
            </w:r>
          </w:p>
        </w:tc>
        <w:tc>
          <w:tcPr>
            <w:tcW w:w="140" w:type="dxa"/>
            <w:vAlign w:val="bottom"/>
          </w:tcPr>
          <w:p>
            <w:pPr>
              <w:jc w:val="right"/>
              <w:ind w:right="15"/>
              <w:spacing w:after="0"/>
              <w:rPr>
                <w:sz w:val="20"/>
                <w:szCs w:val="20"/>
                <w:color w:val="auto"/>
              </w:rPr>
            </w:pPr>
            <w:r>
              <w:rPr>
                <w:rFonts w:ascii="Arial" w:cs="Arial" w:eastAsia="Arial" w:hAnsi="Arial"/>
                <w:sz w:val="9"/>
                <w:szCs w:val="9"/>
                <w:b w:val="1"/>
                <w:bCs w:val="1"/>
                <w:color w:val="auto"/>
                <w:w w:val="74"/>
              </w:rPr>
              <w:t>in</w:t>
            </w:r>
          </w:p>
        </w:tc>
        <w:tc>
          <w:tcPr>
            <w:tcW w:w="640" w:type="dxa"/>
            <w:vAlign w:val="bottom"/>
            <w:gridSpan w:val="2"/>
          </w:tcPr>
          <w:p>
            <w:pPr>
              <w:jc w:val="right"/>
              <w:ind w:right="200"/>
              <w:spacing w:after="0" w:line="104" w:lineRule="exact"/>
              <w:rPr>
                <w:sz w:val="20"/>
                <w:szCs w:val="20"/>
                <w:color w:val="auto"/>
              </w:rPr>
            </w:pPr>
            <w:r>
              <w:rPr>
                <w:rFonts w:ascii="Arial" w:cs="Arial" w:eastAsia="Arial" w:hAnsi="Arial"/>
                <w:sz w:val="10"/>
                <w:szCs w:val="10"/>
                <w:b w:val="1"/>
                <w:bCs w:val="1"/>
                <w:color w:val="auto"/>
                <w:w w:val="77"/>
              </w:rPr>
              <w:t>thousands)</w:t>
            </w:r>
          </w:p>
        </w:tc>
        <w:tc>
          <w:tcPr>
            <w:tcW w:w="40" w:type="dxa"/>
            <w:vAlign w:val="bottom"/>
          </w:tcPr>
          <w:p>
            <w:pPr>
              <w:spacing w:after="0"/>
              <w:rPr>
                <w:sz w:val="8"/>
                <w:szCs w:val="8"/>
                <w:color w:val="auto"/>
              </w:rPr>
            </w:pPr>
          </w:p>
        </w:tc>
      </w:tr>
      <w:tr>
        <w:trPr>
          <w:trHeight w:val="152"/>
        </w:trPr>
        <w:tc>
          <w:tcPr>
            <w:tcW w:w="32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Genmab, Denmark</w:t>
            </w:r>
          </w:p>
        </w:tc>
        <w:tc>
          <w:tcPr>
            <w:tcW w:w="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915</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4,125</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215</w:t>
            </w:r>
          </w:p>
        </w:tc>
        <w:tc>
          <w:tcPr>
            <w:tcW w:w="14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7,044</w:t>
            </w:r>
          </w:p>
        </w:tc>
      </w:tr>
      <w:tr>
        <w:trPr>
          <w:trHeight w:val="152"/>
        </w:trPr>
        <w:tc>
          <w:tcPr>
            <w:tcW w:w="32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BMS, United States</w:t>
            </w: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21,439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80"/>
              </w:rPr>
              <w:t>12,107</w:t>
            </w:r>
          </w:p>
        </w:tc>
        <w:tc>
          <w:tcPr>
            <w:tcW w:w="780" w:type="dxa"/>
            <w:vAlign w:val="bottom"/>
            <w:gridSpan w:val="5"/>
          </w:tcPr>
          <w:p>
            <w:pPr>
              <w:jc w:val="right"/>
              <w:ind w:right="95"/>
              <w:spacing w:after="0"/>
              <w:rPr>
                <w:sz w:val="20"/>
                <w:szCs w:val="20"/>
                <w:color w:val="auto"/>
              </w:rPr>
            </w:pPr>
            <w:r>
              <w:rPr>
                <w:rFonts w:ascii="Arial" w:cs="Arial" w:eastAsia="Arial" w:hAnsi="Arial"/>
                <w:sz w:val="13"/>
                <w:szCs w:val="13"/>
                <w:color w:val="auto"/>
              </w:rPr>
              <w:t>31,935</w:t>
            </w:r>
          </w:p>
        </w:tc>
        <w:tc>
          <w:tcPr>
            <w:tcW w:w="680" w:type="dxa"/>
            <w:vAlign w:val="bottom"/>
            <w:gridSpan w:val="3"/>
          </w:tcPr>
          <w:p>
            <w:pPr>
              <w:jc w:val="right"/>
              <w:ind w:right="40"/>
              <w:spacing w:after="0"/>
              <w:rPr>
                <w:sz w:val="20"/>
                <w:szCs w:val="20"/>
                <w:color w:val="auto"/>
              </w:rPr>
            </w:pPr>
            <w:r>
              <w:rPr>
                <w:rFonts w:ascii="Arial" w:cs="Arial" w:eastAsia="Arial" w:hAnsi="Arial"/>
                <w:sz w:val="13"/>
                <w:szCs w:val="13"/>
                <w:color w:val="auto"/>
              </w:rPr>
              <w:t>110,532</w:t>
            </w:r>
          </w:p>
        </w:tc>
      </w:tr>
      <w:tr>
        <w:trPr>
          <w:trHeight w:val="152"/>
        </w:trPr>
        <w:tc>
          <w:tcPr>
            <w:tcW w:w="32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GSK, United Kingdom</w:t>
            </w:r>
          </w:p>
        </w:tc>
        <w:tc>
          <w:tcPr>
            <w:tcW w:w="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5"/>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983</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2,547</w:t>
            </w:r>
          </w:p>
        </w:tc>
      </w:tr>
      <w:tr>
        <w:trPr>
          <w:trHeight w:val="159"/>
        </w:trPr>
        <w:tc>
          <w:tcPr>
            <w:tcW w:w="32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22,354</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0"/>
              </w:rPr>
              <w:t>17,215</w:t>
            </w:r>
          </w:p>
        </w:tc>
        <w:tc>
          <w:tcPr>
            <w:tcW w:w="120" w:type="dxa"/>
            <w:vAlign w:val="bottom"/>
          </w:tcPr>
          <w:p>
            <w:pPr>
              <w:spacing w:after="0"/>
              <w:rPr>
                <w:sz w:val="13"/>
                <w:szCs w:val="13"/>
                <w:color w:val="auto"/>
              </w:rPr>
            </w:pP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32,150</w:t>
            </w:r>
          </w:p>
        </w:tc>
        <w:tc>
          <w:tcPr>
            <w:tcW w:w="140" w:type="dxa"/>
            <w:vAlign w:val="bottom"/>
          </w:tcPr>
          <w:p>
            <w:pPr>
              <w:spacing w:after="0"/>
              <w:rPr>
                <w:sz w:val="13"/>
                <w:szCs w:val="13"/>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120,123</w:t>
            </w:r>
          </w:p>
        </w:tc>
        <w:tc>
          <w:tcPr>
            <w:tcW w:w="40" w:type="dxa"/>
            <w:vAlign w:val="bottom"/>
          </w:tcPr>
          <w:p>
            <w:pPr>
              <w:spacing w:after="0"/>
              <w:rPr>
                <w:sz w:val="13"/>
                <w:szCs w:val="13"/>
                <w:color w:val="auto"/>
              </w:rPr>
            </w:pPr>
          </w:p>
        </w:tc>
      </w:tr>
    </w:tbl>
    <w:p>
      <w:pPr>
        <w:sectPr>
          <w:pgSz w:w="11900" w:h="16838" w:orient="portrait"/>
          <w:cols w:equalWidth="0" w:num="1">
            <w:col w:w="9019"/>
          </w:cols>
          <w:pgMar w:left="1440" w:top="254" w:right="1440" w:bottom="1440" w:gutter="0" w:footer="0" w:header="0"/>
        </w:sectPr>
      </w:pPr>
    </w:p>
    <w:bookmarkStart w:id="25" w:name="page26"/>
    <w:bookmarkEnd w:id="25"/>
    <w:p>
      <w:pPr>
        <w:ind w:left="640" w:right="719" w:firstLine="309"/>
        <w:spacing w:after="0" w:line="249"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0425" cy="42545"/>
                    </a:xfrm>
                    <a:prstGeom prst="rect">
                      <a:avLst/>
                    </a:prstGeom>
                    <a:noFill/>
                  </pic:spPr>
                </pic:pic>
              </a:graphicData>
            </a:graphic>
          </wp:anchor>
        </w:drawing>
        <w:t>Our Revenue from collaboration agreements increased from €17.2 million for the three months ended June 30, 2022 to €22.4 million for the three months ended June 30, 2023. The increase in revenue of €5.2 million is mainly due to the revenue recognized regarding the BMS Opt-in payment of €13.7 million for the three months ended June 30, 2023, partially offset by lower revenue from the Genmab collaboration due to lower progress of the collaboration.</w:t>
      </w:r>
    </w:p>
    <w:p>
      <w:pPr>
        <w:spacing w:after="0" w:line="138" w:lineRule="exact"/>
        <w:rPr>
          <w:sz w:val="20"/>
          <w:szCs w:val="20"/>
          <w:color w:val="auto"/>
        </w:rPr>
      </w:pPr>
    </w:p>
    <w:p>
      <w:pPr>
        <w:ind w:left="640" w:right="719" w:firstLine="309"/>
        <w:spacing w:after="0" w:line="245" w:lineRule="auto"/>
        <w:rPr>
          <w:sz w:val="20"/>
          <w:szCs w:val="20"/>
          <w:color w:val="auto"/>
        </w:rPr>
      </w:pPr>
      <w:r>
        <w:rPr>
          <w:rFonts w:ascii="Arial" w:cs="Arial" w:eastAsia="Arial" w:hAnsi="Arial"/>
          <w:sz w:val="13"/>
          <w:szCs w:val="13"/>
          <w:color w:val="auto"/>
        </w:rPr>
        <w:t>Our Revenue from collaboration agreements decreased from €120.1 million for the six months ended June 30, 2022 to €32.2 million for the six months ended June 30, 2023. The decrease in revenue of €87.9 million is mainly due to the recognized revenue regarding the right-to-use license for IMA401 amounting to €91.3 million for the six months ended June 30, 2022, partially offset by revenue recognized regarding the BMS Opt-in payment of €13.7 million for the six months ended June 30, 2023. The revenue for the six months ended June 30, 2023 from the collaboration agreement with Genmab decreased in comparison to the revenue for the three months ended June 30, 2023, due to the negative revenue for the three months ended March 31, 2023, which was a result of changes to the inputs in the cost-to-cost model resulting from an increase in the expected cost of the collaboration. The collaboration with GSK was terminated in 2022, so no further revenue was recognized for the three and six months ended June 30, 2023.</w:t>
      </w:r>
    </w:p>
    <w:p>
      <w:pPr>
        <w:spacing w:after="0" w:line="144" w:lineRule="exact"/>
        <w:rPr>
          <w:sz w:val="20"/>
          <w:szCs w:val="20"/>
          <w:color w:val="auto"/>
        </w:rPr>
      </w:pPr>
    </w:p>
    <w:p>
      <w:pPr>
        <w:ind w:left="940"/>
        <w:spacing w:after="0"/>
        <w:rPr>
          <w:sz w:val="20"/>
          <w:szCs w:val="20"/>
          <w:color w:val="auto"/>
        </w:rPr>
      </w:pPr>
      <w:r>
        <w:rPr>
          <w:rFonts w:ascii="Arial" w:cs="Arial" w:eastAsia="Arial" w:hAnsi="Arial"/>
          <w:sz w:val="11"/>
          <w:szCs w:val="11"/>
          <w:color w:val="auto"/>
        </w:rPr>
        <w:t>We did not achieve any milestones or receive any royalty payments in connection with our collaboration agreements during the presented periods.</w:t>
      </w:r>
    </w:p>
    <w:p>
      <w:pPr>
        <w:spacing w:after="0" w:line="253" w:lineRule="exact"/>
        <w:rPr>
          <w:sz w:val="20"/>
          <w:szCs w:val="20"/>
          <w:color w:val="auto"/>
        </w:rPr>
      </w:pPr>
    </w:p>
    <w:p>
      <w:pPr>
        <w:ind w:left="940"/>
        <w:spacing w:after="0"/>
        <w:rPr>
          <w:sz w:val="20"/>
          <w:szCs w:val="20"/>
          <w:color w:val="auto"/>
        </w:rPr>
      </w:pPr>
      <w:r>
        <w:rPr>
          <w:rFonts w:ascii="Arial" w:cs="Arial" w:eastAsia="Arial" w:hAnsi="Arial"/>
          <w:sz w:val="13"/>
          <w:szCs w:val="13"/>
          <w:i w:val="1"/>
          <w:iCs w:val="1"/>
          <w:color w:val="auto"/>
        </w:rPr>
        <w:t>Research and Development Expenses</w:t>
      </w:r>
    </w:p>
    <w:p>
      <w:pPr>
        <w:spacing w:after="0" w:line="78" w:lineRule="exact"/>
        <w:rPr>
          <w:sz w:val="20"/>
          <w:szCs w:val="20"/>
          <w:color w:val="auto"/>
        </w:rPr>
      </w:pPr>
    </w:p>
    <w:p>
      <w:pPr>
        <w:ind w:left="940"/>
        <w:spacing w:after="0"/>
        <w:rPr>
          <w:sz w:val="20"/>
          <w:szCs w:val="20"/>
          <w:color w:val="auto"/>
        </w:rPr>
      </w:pPr>
      <w:r>
        <w:rPr>
          <w:rFonts w:ascii="Arial" w:cs="Arial" w:eastAsia="Arial" w:hAnsi="Arial"/>
          <w:sz w:val="13"/>
          <w:szCs w:val="13"/>
          <w:color w:val="auto"/>
        </w:rPr>
        <w:t>The following table summarizes our research and development expenses for the periods indicated:</w:t>
      </w:r>
    </w:p>
    <w:p>
      <w:pPr>
        <w:spacing w:after="0" w:line="156" w:lineRule="exact"/>
        <w:rPr>
          <w:sz w:val="20"/>
          <w:szCs w:val="20"/>
          <w:color w:val="auto"/>
        </w:rPr>
      </w:pPr>
    </w:p>
    <w:tbl>
      <w:tblPr>
        <w:tblLayout w:type="fixed"/>
        <w:tblInd w:w="960" w:type="dxa"/>
        <w:tblCellMar>
          <w:top w:w="0" w:type="dxa"/>
          <w:left w:w="0" w:type="dxa"/>
          <w:bottom w:w="0" w:type="dxa"/>
          <w:right w:w="0" w:type="dxa"/>
        </w:tblCellMar>
      </w:tblPr>
      <w:tr>
        <w:trPr>
          <w:trHeight w:val="115"/>
        </w:trPr>
        <w:tc>
          <w:tcPr>
            <w:tcW w:w="4520" w:type="dxa"/>
            <w:vAlign w:val="bottom"/>
          </w:tcPr>
          <w:p>
            <w:pPr>
              <w:spacing w:after="0"/>
              <w:rPr>
                <w:sz w:val="10"/>
                <w:szCs w:val="10"/>
                <w:color w:val="auto"/>
              </w:rPr>
            </w:pPr>
          </w:p>
        </w:tc>
        <w:tc>
          <w:tcPr>
            <w:tcW w:w="1420" w:type="dxa"/>
            <w:vAlign w:val="bottom"/>
            <w:gridSpan w:val="4"/>
          </w:tcPr>
          <w:p>
            <w:pPr>
              <w:jc w:val="center"/>
              <w:ind w:right="238"/>
              <w:spacing w:after="0"/>
              <w:rPr>
                <w:sz w:val="20"/>
                <w:szCs w:val="20"/>
                <w:color w:val="auto"/>
              </w:rPr>
            </w:pPr>
            <w:r>
              <w:rPr>
                <w:rFonts w:ascii="Arial" w:cs="Arial" w:eastAsia="Arial" w:hAnsi="Arial"/>
                <w:sz w:val="10"/>
                <w:szCs w:val="10"/>
                <w:b w:val="1"/>
                <w:bCs w:val="1"/>
                <w:color w:val="auto"/>
                <w:w w:val="94"/>
              </w:rPr>
              <w:t>Three Months</w:t>
            </w:r>
          </w:p>
        </w:tc>
        <w:tc>
          <w:tcPr>
            <w:tcW w:w="1160" w:type="dxa"/>
            <w:vAlign w:val="bottom"/>
            <w:gridSpan w:val="4"/>
          </w:tcPr>
          <w:p>
            <w:pPr>
              <w:jc w:val="center"/>
              <w:ind w:right="38"/>
              <w:spacing w:after="0"/>
              <w:rPr>
                <w:sz w:val="20"/>
                <w:szCs w:val="20"/>
                <w:color w:val="auto"/>
              </w:rPr>
            </w:pPr>
            <w:r>
              <w:rPr>
                <w:rFonts w:ascii="Arial" w:cs="Arial" w:eastAsia="Arial" w:hAnsi="Arial"/>
                <w:sz w:val="10"/>
                <w:szCs w:val="10"/>
                <w:b w:val="1"/>
                <w:bCs w:val="1"/>
                <w:color w:val="auto"/>
                <w:w w:val="89"/>
              </w:rPr>
              <w:t>Six Months</w:t>
            </w:r>
          </w:p>
        </w:tc>
        <w:tc>
          <w:tcPr>
            <w:tcW w:w="0" w:type="dxa"/>
            <w:vAlign w:val="bottom"/>
          </w:tcPr>
          <w:p>
            <w:pPr>
              <w:spacing w:after="0"/>
              <w:rPr>
                <w:sz w:val="1"/>
                <w:szCs w:val="1"/>
                <w:color w:val="auto"/>
              </w:rPr>
            </w:pPr>
          </w:p>
        </w:tc>
      </w:tr>
      <w:tr>
        <w:trPr>
          <w:trHeight w:val="104"/>
        </w:trPr>
        <w:tc>
          <w:tcPr>
            <w:tcW w:w="4520" w:type="dxa"/>
            <w:vAlign w:val="bottom"/>
          </w:tcPr>
          <w:p>
            <w:pPr>
              <w:spacing w:after="0"/>
              <w:rPr>
                <w:sz w:val="9"/>
                <w:szCs w:val="9"/>
                <w:color w:val="auto"/>
              </w:rPr>
            </w:pPr>
          </w:p>
        </w:tc>
        <w:tc>
          <w:tcPr>
            <w:tcW w:w="740" w:type="dxa"/>
            <w:vAlign w:val="bottom"/>
            <w:gridSpan w:val="2"/>
          </w:tcPr>
          <w:p>
            <w:pPr>
              <w:jc w:val="center"/>
              <w:ind w:left="320"/>
              <w:spacing w:after="0" w:line="104" w:lineRule="exact"/>
              <w:rPr>
                <w:sz w:val="20"/>
                <w:szCs w:val="20"/>
                <w:color w:val="auto"/>
              </w:rPr>
            </w:pPr>
            <w:r>
              <w:rPr>
                <w:rFonts w:ascii="Arial" w:cs="Arial" w:eastAsia="Arial" w:hAnsi="Arial"/>
                <w:sz w:val="10"/>
                <w:szCs w:val="10"/>
                <w:b w:val="1"/>
                <w:bCs w:val="1"/>
                <w:color w:val="auto"/>
                <w:w w:val="91"/>
              </w:rPr>
              <w:t>Ended</w:t>
            </w: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gridSpan w:val="2"/>
          </w:tcPr>
          <w:p>
            <w:pPr>
              <w:jc w:val="center"/>
              <w:ind w:left="340"/>
              <w:spacing w:after="0" w:line="104" w:lineRule="exact"/>
              <w:rPr>
                <w:sz w:val="20"/>
                <w:szCs w:val="20"/>
                <w:color w:val="auto"/>
              </w:rPr>
            </w:pPr>
            <w:r>
              <w:rPr>
                <w:rFonts w:ascii="Arial" w:cs="Arial" w:eastAsia="Arial" w:hAnsi="Arial"/>
                <w:sz w:val="10"/>
                <w:szCs w:val="10"/>
                <w:b w:val="1"/>
                <w:bCs w:val="1"/>
                <w:color w:val="auto"/>
                <w:w w:val="91"/>
              </w:rPr>
              <w:t>Ended</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4520" w:type="dxa"/>
            <w:vAlign w:val="bottom"/>
          </w:tcPr>
          <w:p>
            <w:pPr>
              <w:spacing w:after="0"/>
              <w:rPr>
                <w:sz w:val="10"/>
                <w:szCs w:val="10"/>
                <w:color w:val="auto"/>
              </w:rPr>
            </w:pPr>
          </w:p>
        </w:tc>
        <w:tc>
          <w:tcPr>
            <w:tcW w:w="740" w:type="dxa"/>
            <w:vAlign w:val="bottom"/>
            <w:gridSpan w:val="2"/>
          </w:tcPr>
          <w:p>
            <w:pPr>
              <w:jc w:val="center"/>
              <w:ind w:left="320"/>
              <w:spacing w:after="0"/>
              <w:rPr>
                <w:sz w:val="20"/>
                <w:szCs w:val="20"/>
                <w:color w:val="auto"/>
              </w:rPr>
            </w:pPr>
            <w:r>
              <w:rPr>
                <w:rFonts w:ascii="Arial" w:cs="Arial" w:eastAsia="Arial" w:hAnsi="Arial"/>
                <w:sz w:val="10"/>
                <w:szCs w:val="10"/>
                <w:b w:val="1"/>
                <w:bCs w:val="1"/>
                <w:color w:val="auto"/>
                <w:w w:val="89"/>
              </w:rPr>
              <w:t>June 30,</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gridSpan w:val="4"/>
          </w:tcPr>
          <w:p>
            <w:pPr>
              <w:jc w:val="center"/>
              <w:ind w:right="38"/>
              <w:spacing w:after="0"/>
              <w:rPr>
                <w:sz w:val="20"/>
                <w:szCs w:val="20"/>
                <w:color w:val="auto"/>
              </w:rPr>
            </w:pPr>
            <w:r>
              <w:rPr>
                <w:rFonts w:ascii="Arial" w:cs="Arial" w:eastAsia="Arial" w:hAnsi="Arial"/>
                <w:sz w:val="10"/>
                <w:szCs w:val="10"/>
                <w:b w:val="1"/>
                <w:bCs w:val="1"/>
                <w:color w:val="auto"/>
                <w:w w:val="89"/>
              </w:rPr>
              <w:t>June 30,</w:t>
            </w:r>
          </w:p>
        </w:tc>
        <w:tc>
          <w:tcPr>
            <w:tcW w:w="0" w:type="dxa"/>
            <w:vAlign w:val="bottom"/>
          </w:tcPr>
          <w:p>
            <w:pPr>
              <w:spacing w:after="0"/>
              <w:rPr>
                <w:sz w:val="1"/>
                <w:szCs w:val="1"/>
                <w:color w:val="auto"/>
              </w:rPr>
            </w:pPr>
          </w:p>
        </w:tc>
      </w:tr>
      <w:tr>
        <w:trPr>
          <w:trHeight w:val="94"/>
        </w:trPr>
        <w:tc>
          <w:tcPr>
            <w:tcW w:w="4520" w:type="dxa"/>
            <w:vAlign w:val="bottom"/>
            <w:vMerge w:val="restart"/>
          </w:tcPr>
          <w:p>
            <w:pPr>
              <w:spacing w:after="0"/>
              <w:rPr>
                <w:sz w:val="20"/>
                <w:szCs w:val="20"/>
                <w:color w:val="auto"/>
              </w:rPr>
            </w:pPr>
            <w:r>
              <w:rPr>
                <w:rFonts w:ascii="Arial" w:cs="Arial" w:eastAsia="Arial" w:hAnsi="Arial"/>
                <w:sz w:val="10"/>
                <w:szCs w:val="10"/>
                <w:b w:val="1"/>
                <w:bCs w:val="1"/>
                <w:color w:val="auto"/>
              </w:rPr>
              <w:t>(Euros in thousands)</w:t>
            </w:r>
          </w:p>
        </w:tc>
        <w:tc>
          <w:tcPr>
            <w:tcW w:w="420" w:type="dxa"/>
            <w:vAlign w:val="bottom"/>
            <w:tcBorders>
              <w:top w:val="single" w:sz="8" w:color="auto"/>
              <w:bottom w:val="single" w:sz="8" w:color="auto"/>
            </w:tcBorders>
          </w:tcPr>
          <w:p>
            <w:pPr>
              <w:jc w:val="right"/>
              <w:ind w:right="60"/>
              <w:spacing w:after="0" w:line="94" w:lineRule="exact"/>
              <w:rPr>
                <w:sz w:val="20"/>
                <w:szCs w:val="20"/>
                <w:color w:val="auto"/>
              </w:rPr>
            </w:pPr>
            <w:r>
              <w:rPr>
                <w:rFonts w:ascii="Arial" w:cs="Arial" w:eastAsia="Arial" w:hAnsi="Arial"/>
                <w:sz w:val="10"/>
                <w:szCs w:val="10"/>
                <w:b w:val="1"/>
                <w:bCs w:val="1"/>
                <w:color w:val="auto"/>
              </w:rPr>
              <w:t>2023</w:t>
            </w:r>
          </w:p>
        </w:tc>
        <w:tc>
          <w:tcPr>
            <w:tcW w:w="320" w:type="dxa"/>
            <w:vAlign w:val="bottom"/>
            <w:tcBorders>
              <w:top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58"/>
              <w:spacing w:after="0" w:line="94" w:lineRule="exact"/>
              <w:rPr>
                <w:sz w:val="20"/>
                <w:szCs w:val="20"/>
                <w:color w:val="auto"/>
              </w:rPr>
            </w:pPr>
            <w:r>
              <w:rPr>
                <w:rFonts w:ascii="Arial" w:cs="Arial" w:eastAsia="Arial" w:hAnsi="Arial"/>
                <w:sz w:val="10"/>
                <w:szCs w:val="10"/>
                <w:b w:val="1"/>
                <w:bCs w:val="1"/>
                <w:color w:val="auto"/>
              </w:rPr>
              <w:t>2022</w:t>
            </w:r>
          </w:p>
        </w:tc>
        <w:tc>
          <w:tcPr>
            <w:tcW w:w="280" w:type="dxa"/>
            <w:vAlign w:val="bottom"/>
          </w:tcPr>
          <w:p>
            <w:pPr>
              <w:spacing w:after="0"/>
              <w:rPr>
                <w:sz w:val="8"/>
                <w:szCs w:val="8"/>
                <w:color w:val="auto"/>
              </w:rPr>
            </w:pPr>
          </w:p>
        </w:tc>
        <w:tc>
          <w:tcPr>
            <w:tcW w:w="420" w:type="dxa"/>
            <w:vAlign w:val="bottom"/>
            <w:tcBorders>
              <w:top w:val="single" w:sz="8" w:color="auto"/>
              <w:bottom w:val="single" w:sz="8" w:color="auto"/>
            </w:tcBorders>
          </w:tcPr>
          <w:p>
            <w:pPr>
              <w:jc w:val="right"/>
              <w:ind w:right="40"/>
              <w:spacing w:after="0" w:line="94" w:lineRule="exact"/>
              <w:rPr>
                <w:sz w:val="20"/>
                <w:szCs w:val="20"/>
                <w:color w:val="auto"/>
              </w:rPr>
            </w:pPr>
            <w:r>
              <w:rPr>
                <w:rFonts w:ascii="Arial" w:cs="Arial" w:eastAsia="Arial" w:hAnsi="Arial"/>
                <w:sz w:val="10"/>
                <w:szCs w:val="10"/>
                <w:b w:val="1"/>
                <w:bCs w:val="1"/>
                <w:color w:val="auto"/>
              </w:rPr>
              <w:t>2023</w:t>
            </w:r>
          </w:p>
        </w:tc>
        <w:tc>
          <w:tcPr>
            <w:tcW w:w="260" w:type="dxa"/>
            <w:vAlign w:val="bottom"/>
            <w:tcBorders>
              <w:top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58"/>
              <w:spacing w:after="0" w:line="94" w:lineRule="exact"/>
              <w:rPr>
                <w:sz w:val="20"/>
                <w:szCs w:val="20"/>
                <w:color w:val="auto"/>
              </w:rPr>
            </w:pPr>
            <w:r>
              <w:rPr>
                <w:rFonts w:ascii="Arial" w:cs="Arial" w:eastAsia="Arial" w:hAnsi="Arial"/>
                <w:sz w:val="10"/>
                <w:szCs w:val="10"/>
                <w:b w:val="1"/>
                <w:bCs w:val="1"/>
                <w:color w:val="auto"/>
              </w:rPr>
              <w:t>2022</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5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45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Direct external research and development expenses by program:</w:t>
            </w:r>
          </w:p>
        </w:tc>
        <w:tc>
          <w:tcPr>
            <w:tcW w:w="42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520" w:type="dxa"/>
            <w:vAlign w:val="bottom"/>
          </w:tcPr>
          <w:p>
            <w:pPr>
              <w:ind w:left="240"/>
              <w:spacing w:after="0"/>
              <w:rPr>
                <w:sz w:val="20"/>
                <w:szCs w:val="20"/>
                <w:color w:val="auto"/>
              </w:rPr>
            </w:pPr>
            <w:r>
              <w:rPr>
                <w:rFonts w:ascii="Arial" w:cs="Arial" w:eastAsia="Arial" w:hAnsi="Arial"/>
                <w:sz w:val="13"/>
                <w:szCs w:val="13"/>
                <w:color w:val="auto"/>
              </w:rPr>
              <w:t>ACT Programs</w:t>
            </w:r>
          </w:p>
        </w:tc>
        <w:tc>
          <w:tcPr>
            <w:tcW w:w="740" w:type="dxa"/>
            <w:vAlign w:val="bottom"/>
            <w:gridSpan w:val="2"/>
          </w:tcPr>
          <w:p>
            <w:pPr>
              <w:jc w:val="right"/>
              <w:ind w:right="238"/>
              <w:spacing w:after="0"/>
              <w:rPr>
                <w:sz w:val="20"/>
                <w:szCs w:val="20"/>
                <w:color w:val="auto"/>
              </w:rPr>
            </w:pPr>
            <w:r>
              <w:rPr>
                <w:rFonts w:ascii="Arial" w:cs="Arial" w:eastAsia="Arial" w:hAnsi="Arial"/>
                <w:sz w:val="13"/>
                <w:szCs w:val="13"/>
                <w:color w:val="auto"/>
              </w:rPr>
              <w:t>(5,204)</w:t>
            </w:r>
          </w:p>
        </w:tc>
        <w:tc>
          <w:tcPr>
            <w:tcW w:w="680" w:type="dxa"/>
            <w:vAlign w:val="bottom"/>
            <w:gridSpan w:val="2"/>
          </w:tcPr>
          <w:p>
            <w:pPr>
              <w:jc w:val="right"/>
              <w:ind w:right="198"/>
              <w:spacing w:after="0"/>
              <w:rPr>
                <w:sz w:val="20"/>
                <w:szCs w:val="20"/>
                <w:color w:val="auto"/>
              </w:rPr>
            </w:pPr>
            <w:r>
              <w:rPr>
                <w:rFonts w:ascii="Arial" w:cs="Arial" w:eastAsia="Arial" w:hAnsi="Arial"/>
                <w:sz w:val="13"/>
                <w:szCs w:val="13"/>
                <w:color w:val="auto"/>
              </w:rPr>
              <w:t>(3,910)</w:t>
            </w:r>
          </w:p>
        </w:tc>
        <w:tc>
          <w:tcPr>
            <w:tcW w:w="680" w:type="dxa"/>
            <w:vAlign w:val="bottom"/>
            <w:gridSpan w:val="2"/>
          </w:tcPr>
          <w:p>
            <w:pPr>
              <w:jc w:val="right"/>
              <w:ind w:right="137"/>
              <w:spacing w:after="0"/>
              <w:rPr>
                <w:sz w:val="20"/>
                <w:szCs w:val="20"/>
                <w:color w:val="auto"/>
              </w:rPr>
            </w:pPr>
            <w:r>
              <w:rPr>
                <w:rFonts w:ascii="Arial" w:cs="Arial" w:eastAsia="Arial" w:hAnsi="Arial"/>
                <w:sz w:val="13"/>
                <w:szCs w:val="13"/>
                <w:color w:val="auto"/>
              </w:rPr>
              <w:t>(8,803)</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(8,667)</w:t>
            </w:r>
          </w:p>
        </w:tc>
        <w:tc>
          <w:tcPr>
            <w:tcW w:w="0" w:type="dxa"/>
            <w:vAlign w:val="bottom"/>
          </w:tcPr>
          <w:p>
            <w:pPr>
              <w:spacing w:after="0"/>
              <w:rPr>
                <w:sz w:val="1"/>
                <w:szCs w:val="1"/>
                <w:color w:val="auto"/>
              </w:rPr>
            </w:pPr>
          </w:p>
        </w:tc>
      </w:tr>
      <w:tr>
        <w:trPr>
          <w:trHeight w:val="152"/>
        </w:trPr>
        <w:tc>
          <w:tcPr>
            <w:tcW w:w="45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TCR Bispecifics Programs</w:t>
            </w:r>
          </w:p>
        </w:tc>
        <w:tc>
          <w:tcPr>
            <w:tcW w:w="740" w:type="dxa"/>
            <w:vAlign w:val="bottom"/>
            <w:tcBorders>
              <w:right w:val="single" w:sz="8" w:color="CCEEFF"/>
            </w:tcBorders>
            <w:gridSpan w:val="2"/>
            <w:shd w:val="clear" w:color="auto" w:fill="CCEEFF"/>
          </w:tcPr>
          <w:p>
            <w:pPr>
              <w:jc w:val="right"/>
              <w:ind w:right="238"/>
              <w:spacing w:after="0"/>
              <w:rPr>
                <w:sz w:val="20"/>
                <w:szCs w:val="20"/>
                <w:color w:val="auto"/>
              </w:rPr>
            </w:pPr>
            <w:r>
              <w:rPr>
                <w:rFonts w:ascii="Arial" w:cs="Arial" w:eastAsia="Arial" w:hAnsi="Arial"/>
                <w:sz w:val="13"/>
                <w:szCs w:val="13"/>
                <w:color w:val="auto"/>
              </w:rPr>
              <w:t>(1,274)</w:t>
            </w:r>
          </w:p>
        </w:tc>
        <w:tc>
          <w:tcPr>
            <w:tcW w:w="680" w:type="dxa"/>
            <w:vAlign w:val="bottom"/>
            <w:gridSpan w:val="2"/>
            <w:shd w:val="clear" w:color="auto" w:fill="CCEEFF"/>
          </w:tcPr>
          <w:p>
            <w:pPr>
              <w:jc w:val="right"/>
              <w:ind w:right="198"/>
              <w:spacing w:after="0"/>
              <w:rPr>
                <w:sz w:val="20"/>
                <w:szCs w:val="20"/>
                <w:color w:val="auto"/>
              </w:rPr>
            </w:pPr>
            <w:r>
              <w:rPr>
                <w:rFonts w:ascii="Arial" w:cs="Arial" w:eastAsia="Arial" w:hAnsi="Arial"/>
                <w:sz w:val="13"/>
                <w:szCs w:val="13"/>
                <w:color w:val="auto"/>
              </w:rPr>
              <w:t>(1,028)</w:t>
            </w:r>
          </w:p>
        </w:tc>
        <w:tc>
          <w:tcPr>
            <w:tcW w:w="680" w:type="dxa"/>
            <w:vAlign w:val="bottom"/>
            <w:tcBorders>
              <w:right w:val="single" w:sz="8" w:color="CCEEFF"/>
            </w:tcBorders>
            <w:gridSpan w:val="2"/>
            <w:shd w:val="clear" w:color="auto" w:fill="CCEEFF"/>
          </w:tcPr>
          <w:p>
            <w:pPr>
              <w:jc w:val="right"/>
              <w:ind w:right="137"/>
              <w:spacing w:after="0"/>
              <w:rPr>
                <w:sz w:val="20"/>
                <w:szCs w:val="20"/>
                <w:color w:val="auto"/>
              </w:rPr>
            </w:pPr>
            <w:r>
              <w:rPr>
                <w:rFonts w:ascii="Arial" w:cs="Arial" w:eastAsia="Arial" w:hAnsi="Arial"/>
                <w:sz w:val="13"/>
                <w:szCs w:val="13"/>
                <w:color w:val="auto"/>
              </w:rPr>
              <w:t>(3,590)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(2,090)</w:t>
            </w:r>
          </w:p>
        </w:tc>
        <w:tc>
          <w:tcPr>
            <w:tcW w:w="0" w:type="dxa"/>
            <w:vAlign w:val="bottom"/>
          </w:tcPr>
          <w:p>
            <w:pPr>
              <w:spacing w:after="0"/>
              <w:rPr>
                <w:sz w:val="1"/>
                <w:szCs w:val="1"/>
                <w:color w:val="auto"/>
              </w:rPr>
            </w:pPr>
          </w:p>
        </w:tc>
      </w:tr>
      <w:tr>
        <w:trPr>
          <w:trHeight w:val="152"/>
        </w:trPr>
        <w:tc>
          <w:tcPr>
            <w:tcW w:w="4520" w:type="dxa"/>
            <w:vAlign w:val="bottom"/>
          </w:tcPr>
          <w:p>
            <w:pPr>
              <w:ind w:left="240"/>
              <w:spacing w:after="0"/>
              <w:rPr>
                <w:sz w:val="20"/>
                <w:szCs w:val="20"/>
                <w:color w:val="auto"/>
              </w:rPr>
            </w:pPr>
            <w:r>
              <w:rPr>
                <w:rFonts w:ascii="Arial" w:cs="Arial" w:eastAsia="Arial" w:hAnsi="Arial"/>
                <w:sz w:val="13"/>
                <w:szCs w:val="13"/>
                <w:color w:val="auto"/>
              </w:rPr>
              <w:t>Other programs</w:t>
            </w:r>
          </w:p>
        </w:tc>
        <w:tc>
          <w:tcPr>
            <w:tcW w:w="740" w:type="dxa"/>
            <w:vAlign w:val="bottom"/>
            <w:gridSpan w:val="2"/>
          </w:tcPr>
          <w:p>
            <w:pPr>
              <w:jc w:val="right"/>
              <w:ind w:right="238"/>
              <w:spacing w:after="0"/>
              <w:rPr>
                <w:sz w:val="20"/>
                <w:szCs w:val="20"/>
                <w:color w:val="auto"/>
              </w:rPr>
            </w:pPr>
            <w:r>
              <w:rPr>
                <w:rFonts w:ascii="Arial" w:cs="Arial" w:eastAsia="Arial" w:hAnsi="Arial"/>
                <w:sz w:val="13"/>
                <w:szCs w:val="13"/>
                <w:color w:val="auto"/>
              </w:rPr>
              <w:t>(1,441)</w:t>
            </w:r>
          </w:p>
        </w:tc>
        <w:tc>
          <w:tcPr>
            <w:tcW w:w="680" w:type="dxa"/>
            <w:vAlign w:val="bottom"/>
            <w:gridSpan w:val="2"/>
          </w:tcPr>
          <w:p>
            <w:pPr>
              <w:jc w:val="right"/>
              <w:ind w:right="198"/>
              <w:spacing w:after="0"/>
              <w:rPr>
                <w:sz w:val="20"/>
                <w:szCs w:val="20"/>
                <w:color w:val="auto"/>
              </w:rPr>
            </w:pPr>
            <w:r>
              <w:rPr>
                <w:rFonts w:ascii="Arial" w:cs="Arial" w:eastAsia="Arial" w:hAnsi="Arial"/>
                <w:sz w:val="13"/>
                <w:szCs w:val="13"/>
                <w:color w:val="auto"/>
              </w:rPr>
              <w:t>(2,010)</w:t>
            </w:r>
          </w:p>
        </w:tc>
        <w:tc>
          <w:tcPr>
            <w:tcW w:w="680" w:type="dxa"/>
            <w:vAlign w:val="bottom"/>
            <w:gridSpan w:val="2"/>
          </w:tcPr>
          <w:p>
            <w:pPr>
              <w:jc w:val="right"/>
              <w:ind w:right="137"/>
              <w:spacing w:after="0"/>
              <w:rPr>
                <w:sz w:val="20"/>
                <w:szCs w:val="20"/>
                <w:color w:val="auto"/>
              </w:rPr>
            </w:pPr>
            <w:r>
              <w:rPr>
                <w:rFonts w:ascii="Arial" w:cs="Arial" w:eastAsia="Arial" w:hAnsi="Arial"/>
                <w:sz w:val="13"/>
                <w:szCs w:val="13"/>
                <w:color w:val="auto"/>
              </w:rPr>
              <w:t>(3,032)</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(3,232)</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520" w:type="dxa"/>
            <w:vAlign w:val="bottom"/>
            <w:shd w:val="clear" w:color="auto" w:fill="CCEEFF"/>
          </w:tcPr>
          <w:p>
            <w:pPr>
              <w:ind w:left="240"/>
              <w:spacing w:after="0"/>
              <w:rPr>
                <w:sz w:val="20"/>
                <w:szCs w:val="20"/>
                <w:color w:val="auto"/>
              </w:rPr>
            </w:pPr>
            <w:r>
              <w:rPr>
                <w:rFonts w:ascii="Arial" w:cs="Arial" w:eastAsia="Arial" w:hAnsi="Arial"/>
                <w:sz w:val="13"/>
                <w:szCs w:val="13"/>
                <w:b w:val="1"/>
                <w:bCs w:val="1"/>
                <w:color w:val="auto"/>
              </w:rPr>
              <w:t>Sub-total direct external expenses</w:t>
            </w:r>
          </w:p>
        </w:tc>
        <w:tc>
          <w:tcPr>
            <w:tcW w:w="740" w:type="dxa"/>
            <w:vAlign w:val="bottom"/>
            <w:tcBorders>
              <w:right w:val="single" w:sz="8" w:color="CCEEFF"/>
            </w:tcBorders>
            <w:gridSpan w:val="2"/>
            <w:shd w:val="clear" w:color="auto" w:fill="CCEEFF"/>
          </w:tcPr>
          <w:p>
            <w:pPr>
              <w:jc w:val="right"/>
              <w:ind w:right="238"/>
              <w:spacing w:after="0"/>
              <w:rPr>
                <w:sz w:val="20"/>
                <w:szCs w:val="20"/>
                <w:color w:val="auto"/>
              </w:rPr>
            </w:pPr>
            <w:r>
              <w:rPr>
                <w:rFonts w:ascii="Arial" w:cs="Arial" w:eastAsia="Arial" w:hAnsi="Arial"/>
                <w:sz w:val="13"/>
                <w:szCs w:val="13"/>
                <w:b w:val="1"/>
                <w:bCs w:val="1"/>
                <w:color w:val="auto"/>
              </w:rPr>
              <w:t>(7,919)</w:t>
            </w:r>
          </w:p>
        </w:tc>
        <w:tc>
          <w:tcPr>
            <w:tcW w:w="680" w:type="dxa"/>
            <w:vAlign w:val="bottom"/>
            <w:gridSpan w:val="2"/>
            <w:shd w:val="clear" w:color="auto" w:fill="CCEEFF"/>
          </w:tcPr>
          <w:p>
            <w:pPr>
              <w:jc w:val="right"/>
              <w:ind w:right="198"/>
              <w:spacing w:after="0"/>
              <w:rPr>
                <w:sz w:val="20"/>
                <w:szCs w:val="20"/>
                <w:color w:val="auto"/>
              </w:rPr>
            </w:pPr>
            <w:r>
              <w:rPr>
                <w:rFonts w:ascii="Arial" w:cs="Arial" w:eastAsia="Arial" w:hAnsi="Arial"/>
                <w:sz w:val="13"/>
                <w:szCs w:val="13"/>
                <w:b w:val="1"/>
                <w:bCs w:val="1"/>
                <w:color w:val="auto"/>
              </w:rPr>
              <w:t>(6,947)</w:t>
            </w:r>
          </w:p>
        </w:tc>
        <w:tc>
          <w:tcPr>
            <w:tcW w:w="680" w:type="dxa"/>
            <w:vAlign w:val="bottom"/>
            <w:tcBorders>
              <w:right w:val="single" w:sz="8" w:color="CCEEFF"/>
            </w:tcBorders>
            <w:gridSpan w:val="2"/>
            <w:shd w:val="clear" w:color="auto" w:fill="CCEEFF"/>
          </w:tcPr>
          <w:p>
            <w:pPr>
              <w:jc w:val="right"/>
              <w:ind w:right="137"/>
              <w:spacing w:after="0"/>
              <w:rPr>
                <w:sz w:val="20"/>
                <w:szCs w:val="20"/>
                <w:color w:val="auto"/>
              </w:rPr>
            </w:pPr>
            <w:r>
              <w:rPr>
                <w:rFonts w:ascii="Arial" w:cs="Arial" w:eastAsia="Arial" w:hAnsi="Arial"/>
                <w:sz w:val="13"/>
                <w:szCs w:val="13"/>
                <w:b w:val="1"/>
                <w:bCs w:val="1"/>
                <w:color w:val="auto"/>
                <w:w w:val="94"/>
              </w:rPr>
              <w:t>(15,425)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w w:val="86"/>
              </w:rPr>
              <w:t>(13,990)</w:t>
            </w:r>
          </w:p>
        </w:tc>
        <w:tc>
          <w:tcPr>
            <w:tcW w:w="0" w:type="dxa"/>
            <w:vAlign w:val="bottom"/>
          </w:tcPr>
          <w:p>
            <w:pPr>
              <w:spacing w:after="0"/>
              <w:rPr>
                <w:sz w:val="1"/>
                <w:szCs w:val="1"/>
                <w:color w:val="auto"/>
              </w:rPr>
            </w:pPr>
          </w:p>
        </w:tc>
      </w:tr>
      <w:tr>
        <w:trPr>
          <w:trHeight w:val="151"/>
        </w:trPr>
        <w:tc>
          <w:tcPr>
            <w:tcW w:w="4520" w:type="dxa"/>
            <w:vAlign w:val="bottom"/>
          </w:tcPr>
          <w:p>
            <w:pPr>
              <w:spacing w:after="0"/>
              <w:rPr>
                <w:sz w:val="20"/>
                <w:szCs w:val="20"/>
                <w:color w:val="auto"/>
              </w:rPr>
            </w:pPr>
            <w:r>
              <w:rPr>
                <w:rFonts w:ascii="Arial" w:cs="Arial" w:eastAsia="Arial" w:hAnsi="Arial"/>
                <w:sz w:val="13"/>
                <w:szCs w:val="13"/>
                <w:b w:val="1"/>
                <w:bCs w:val="1"/>
                <w:color w:val="auto"/>
              </w:rPr>
              <w:t>Indirect research and development expenses:</w:t>
            </w:r>
          </w:p>
        </w:tc>
        <w:tc>
          <w:tcPr>
            <w:tcW w:w="4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5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Personnel related (excluding share-based compensation)</w:t>
            </w:r>
          </w:p>
        </w:tc>
        <w:tc>
          <w:tcPr>
            <w:tcW w:w="740" w:type="dxa"/>
            <w:vAlign w:val="bottom"/>
            <w:tcBorders>
              <w:right w:val="single" w:sz="8" w:color="CCEEFF"/>
            </w:tcBorders>
            <w:gridSpan w:val="2"/>
            <w:shd w:val="clear" w:color="auto" w:fill="CCEEFF"/>
          </w:tcPr>
          <w:p>
            <w:pPr>
              <w:jc w:val="right"/>
              <w:ind w:right="238"/>
              <w:spacing w:after="0"/>
              <w:rPr>
                <w:sz w:val="20"/>
                <w:szCs w:val="20"/>
                <w:color w:val="auto"/>
              </w:rPr>
            </w:pPr>
            <w:r>
              <w:rPr>
                <w:rFonts w:ascii="Arial" w:cs="Arial" w:eastAsia="Arial" w:hAnsi="Arial"/>
                <w:sz w:val="13"/>
                <w:szCs w:val="13"/>
                <w:color w:val="auto"/>
              </w:rPr>
              <w:t>(9,973)</w:t>
            </w:r>
          </w:p>
        </w:tc>
        <w:tc>
          <w:tcPr>
            <w:tcW w:w="680" w:type="dxa"/>
            <w:vAlign w:val="bottom"/>
            <w:gridSpan w:val="2"/>
            <w:shd w:val="clear" w:color="auto" w:fill="CCEEFF"/>
          </w:tcPr>
          <w:p>
            <w:pPr>
              <w:jc w:val="right"/>
              <w:ind w:right="198"/>
              <w:spacing w:after="0"/>
              <w:rPr>
                <w:sz w:val="20"/>
                <w:szCs w:val="20"/>
                <w:color w:val="auto"/>
              </w:rPr>
            </w:pPr>
            <w:r>
              <w:rPr>
                <w:rFonts w:ascii="Arial" w:cs="Arial" w:eastAsia="Arial" w:hAnsi="Arial"/>
                <w:sz w:val="13"/>
                <w:szCs w:val="13"/>
                <w:color w:val="auto"/>
              </w:rPr>
              <w:t>(9,265)</w:t>
            </w:r>
          </w:p>
        </w:tc>
        <w:tc>
          <w:tcPr>
            <w:tcW w:w="680" w:type="dxa"/>
            <w:vAlign w:val="bottom"/>
            <w:tcBorders>
              <w:right w:val="single" w:sz="8" w:color="CCEEFF"/>
            </w:tcBorders>
            <w:gridSpan w:val="2"/>
            <w:shd w:val="clear" w:color="auto" w:fill="CCEEFF"/>
          </w:tcPr>
          <w:p>
            <w:pPr>
              <w:jc w:val="right"/>
              <w:ind w:right="137"/>
              <w:spacing w:after="0"/>
              <w:rPr>
                <w:sz w:val="20"/>
                <w:szCs w:val="20"/>
                <w:color w:val="auto"/>
              </w:rPr>
            </w:pPr>
            <w:r>
              <w:rPr>
                <w:rFonts w:ascii="Arial" w:cs="Arial" w:eastAsia="Arial" w:hAnsi="Arial"/>
                <w:sz w:val="13"/>
                <w:szCs w:val="13"/>
                <w:color w:val="auto"/>
                <w:w w:val="94"/>
              </w:rPr>
              <w:t>(19,882)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6"/>
              </w:rPr>
              <w:t>(18,244)</w:t>
            </w:r>
          </w:p>
        </w:tc>
        <w:tc>
          <w:tcPr>
            <w:tcW w:w="0" w:type="dxa"/>
            <w:vAlign w:val="bottom"/>
          </w:tcPr>
          <w:p>
            <w:pPr>
              <w:spacing w:after="0"/>
              <w:rPr>
                <w:sz w:val="1"/>
                <w:szCs w:val="1"/>
                <w:color w:val="auto"/>
              </w:rPr>
            </w:pPr>
          </w:p>
        </w:tc>
      </w:tr>
      <w:tr>
        <w:trPr>
          <w:trHeight w:val="152"/>
        </w:trPr>
        <w:tc>
          <w:tcPr>
            <w:tcW w:w="4520" w:type="dxa"/>
            <w:vAlign w:val="bottom"/>
          </w:tcPr>
          <w:p>
            <w:pPr>
              <w:ind w:left="240"/>
              <w:spacing w:after="0"/>
              <w:rPr>
                <w:sz w:val="20"/>
                <w:szCs w:val="20"/>
                <w:color w:val="auto"/>
              </w:rPr>
            </w:pPr>
            <w:r>
              <w:rPr>
                <w:rFonts w:ascii="Arial" w:cs="Arial" w:eastAsia="Arial" w:hAnsi="Arial"/>
                <w:sz w:val="13"/>
                <w:szCs w:val="13"/>
                <w:color w:val="auto"/>
              </w:rPr>
              <w:t>Share-based compensation expenses</w:t>
            </w:r>
          </w:p>
        </w:tc>
        <w:tc>
          <w:tcPr>
            <w:tcW w:w="740" w:type="dxa"/>
            <w:vAlign w:val="bottom"/>
            <w:gridSpan w:val="2"/>
          </w:tcPr>
          <w:p>
            <w:pPr>
              <w:jc w:val="right"/>
              <w:ind w:right="238"/>
              <w:spacing w:after="0"/>
              <w:rPr>
                <w:sz w:val="20"/>
                <w:szCs w:val="20"/>
                <w:color w:val="auto"/>
              </w:rPr>
            </w:pPr>
            <w:r>
              <w:rPr>
                <w:rFonts w:ascii="Arial" w:cs="Arial" w:eastAsia="Arial" w:hAnsi="Arial"/>
                <w:sz w:val="13"/>
                <w:szCs w:val="13"/>
                <w:color w:val="auto"/>
              </w:rPr>
              <w:t>(3,282)</w:t>
            </w:r>
          </w:p>
        </w:tc>
        <w:tc>
          <w:tcPr>
            <w:tcW w:w="680" w:type="dxa"/>
            <w:vAlign w:val="bottom"/>
            <w:gridSpan w:val="2"/>
          </w:tcPr>
          <w:p>
            <w:pPr>
              <w:jc w:val="right"/>
              <w:ind w:right="198"/>
              <w:spacing w:after="0"/>
              <w:rPr>
                <w:sz w:val="20"/>
                <w:szCs w:val="20"/>
                <w:color w:val="auto"/>
              </w:rPr>
            </w:pPr>
            <w:r>
              <w:rPr>
                <w:rFonts w:ascii="Arial" w:cs="Arial" w:eastAsia="Arial" w:hAnsi="Arial"/>
                <w:sz w:val="13"/>
                <w:szCs w:val="13"/>
                <w:color w:val="auto"/>
              </w:rPr>
              <w:t>(3,107)</w:t>
            </w:r>
          </w:p>
        </w:tc>
        <w:tc>
          <w:tcPr>
            <w:tcW w:w="680" w:type="dxa"/>
            <w:vAlign w:val="bottom"/>
            <w:gridSpan w:val="2"/>
          </w:tcPr>
          <w:p>
            <w:pPr>
              <w:jc w:val="right"/>
              <w:ind w:right="137"/>
              <w:spacing w:after="0"/>
              <w:rPr>
                <w:sz w:val="20"/>
                <w:szCs w:val="20"/>
                <w:color w:val="auto"/>
              </w:rPr>
            </w:pPr>
            <w:r>
              <w:rPr>
                <w:rFonts w:ascii="Arial" w:cs="Arial" w:eastAsia="Arial" w:hAnsi="Arial"/>
                <w:sz w:val="13"/>
                <w:szCs w:val="13"/>
                <w:color w:val="auto"/>
              </w:rPr>
              <w:t>(6,815)</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(6,375)</w:t>
            </w:r>
          </w:p>
        </w:tc>
        <w:tc>
          <w:tcPr>
            <w:tcW w:w="0" w:type="dxa"/>
            <w:vAlign w:val="bottom"/>
          </w:tcPr>
          <w:p>
            <w:pPr>
              <w:spacing w:after="0"/>
              <w:rPr>
                <w:sz w:val="1"/>
                <w:szCs w:val="1"/>
                <w:color w:val="auto"/>
              </w:rPr>
            </w:pPr>
          </w:p>
        </w:tc>
      </w:tr>
      <w:tr>
        <w:trPr>
          <w:trHeight w:val="152"/>
        </w:trPr>
        <w:tc>
          <w:tcPr>
            <w:tcW w:w="45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IP Expenses</w:t>
            </w:r>
          </w:p>
        </w:tc>
        <w:tc>
          <w:tcPr>
            <w:tcW w:w="740" w:type="dxa"/>
            <w:vAlign w:val="bottom"/>
            <w:tcBorders>
              <w:right w:val="single" w:sz="8" w:color="CCEEFF"/>
            </w:tcBorders>
            <w:gridSpan w:val="2"/>
            <w:shd w:val="clear" w:color="auto" w:fill="CCEEFF"/>
          </w:tcPr>
          <w:p>
            <w:pPr>
              <w:jc w:val="right"/>
              <w:ind w:right="238"/>
              <w:spacing w:after="0"/>
              <w:rPr>
                <w:sz w:val="20"/>
                <w:szCs w:val="20"/>
                <w:color w:val="auto"/>
              </w:rPr>
            </w:pPr>
            <w:r>
              <w:rPr>
                <w:rFonts w:ascii="Arial" w:cs="Arial" w:eastAsia="Arial" w:hAnsi="Arial"/>
                <w:sz w:val="13"/>
                <w:szCs w:val="13"/>
                <w:color w:val="auto"/>
              </w:rPr>
              <w:t>(2,213)</w:t>
            </w:r>
          </w:p>
        </w:tc>
        <w:tc>
          <w:tcPr>
            <w:tcW w:w="680" w:type="dxa"/>
            <w:vAlign w:val="bottom"/>
            <w:gridSpan w:val="2"/>
            <w:shd w:val="clear" w:color="auto" w:fill="CCEEFF"/>
          </w:tcPr>
          <w:p>
            <w:pPr>
              <w:jc w:val="right"/>
              <w:ind w:right="198"/>
              <w:spacing w:after="0"/>
              <w:rPr>
                <w:sz w:val="20"/>
                <w:szCs w:val="20"/>
                <w:color w:val="auto"/>
              </w:rPr>
            </w:pPr>
            <w:r>
              <w:rPr>
                <w:rFonts w:ascii="Arial" w:cs="Arial" w:eastAsia="Arial" w:hAnsi="Arial"/>
                <w:sz w:val="13"/>
                <w:szCs w:val="13"/>
                <w:color w:val="auto"/>
              </w:rPr>
              <w:t>(2,051)</w:t>
            </w:r>
          </w:p>
        </w:tc>
        <w:tc>
          <w:tcPr>
            <w:tcW w:w="680" w:type="dxa"/>
            <w:vAlign w:val="bottom"/>
            <w:tcBorders>
              <w:right w:val="single" w:sz="8" w:color="CCEEFF"/>
            </w:tcBorders>
            <w:gridSpan w:val="2"/>
            <w:shd w:val="clear" w:color="auto" w:fill="CCEEFF"/>
          </w:tcPr>
          <w:p>
            <w:pPr>
              <w:jc w:val="right"/>
              <w:ind w:right="137"/>
              <w:spacing w:after="0"/>
              <w:rPr>
                <w:sz w:val="20"/>
                <w:szCs w:val="20"/>
                <w:color w:val="auto"/>
              </w:rPr>
            </w:pPr>
            <w:r>
              <w:rPr>
                <w:rFonts w:ascii="Arial" w:cs="Arial" w:eastAsia="Arial" w:hAnsi="Arial"/>
                <w:sz w:val="13"/>
                <w:szCs w:val="13"/>
                <w:color w:val="auto"/>
              </w:rPr>
              <w:t>(4,563)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(4,364)</w:t>
            </w:r>
          </w:p>
        </w:tc>
        <w:tc>
          <w:tcPr>
            <w:tcW w:w="0" w:type="dxa"/>
            <w:vAlign w:val="bottom"/>
          </w:tcPr>
          <w:p>
            <w:pPr>
              <w:spacing w:after="0"/>
              <w:rPr>
                <w:sz w:val="1"/>
                <w:szCs w:val="1"/>
                <w:color w:val="auto"/>
              </w:rPr>
            </w:pPr>
          </w:p>
        </w:tc>
      </w:tr>
      <w:tr>
        <w:trPr>
          <w:trHeight w:val="152"/>
        </w:trPr>
        <w:tc>
          <w:tcPr>
            <w:tcW w:w="4520" w:type="dxa"/>
            <w:vAlign w:val="bottom"/>
          </w:tcPr>
          <w:p>
            <w:pPr>
              <w:ind w:left="240"/>
              <w:spacing w:after="0"/>
              <w:rPr>
                <w:sz w:val="20"/>
                <w:szCs w:val="20"/>
                <w:color w:val="auto"/>
              </w:rPr>
            </w:pPr>
            <w:r>
              <w:rPr>
                <w:rFonts w:ascii="Arial" w:cs="Arial" w:eastAsia="Arial" w:hAnsi="Arial"/>
                <w:sz w:val="13"/>
                <w:szCs w:val="13"/>
                <w:color w:val="auto"/>
              </w:rPr>
              <w:t>Facility and depreciation</w:t>
            </w:r>
          </w:p>
        </w:tc>
        <w:tc>
          <w:tcPr>
            <w:tcW w:w="740" w:type="dxa"/>
            <w:vAlign w:val="bottom"/>
            <w:gridSpan w:val="2"/>
          </w:tcPr>
          <w:p>
            <w:pPr>
              <w:jc w:val="right"/>
              <w:ind w:right="238"/>
              <w:spacing w:after="0"/>
              <w:rPr>
                <w:sz w:val="20"/>
                <w:szCs w:val="20"/>
                <w:color w:val="auto"/>
              </w:rPr>
            </w:pPr>
            <w:r>
              <w:rPr>
                <w:rFonts w:ascii="Arial" w:cs="Arial" w:eastAsia="Arial" w:hAnsi="Arial"/>
                <w:sz w:val="13"/>
                <w:szCs w:val="13"/>
                <w:color w:val="auto"/>
              </w:rPr>
              <w:t>(1,956)</w:t>
            </w:r>
          </w:p>
        </w:tc>
        <w:tc>
          <w:tcPr>
            <w:tcW w:w="680" w:type="dxa"/>
            <w:vAlign w:val="bottom"/>
            <w:gridSpan w:val="2"/>
          </w:tcPr>
          <w:p>
            <w:pPr>
              <w:jc w:val="right"/>
              <w:ind w:right="198"/>
              <w:spacing w:after="0"/>
              <w:rPr>
                <w:sz w:val="20"/>
                <w:szCs w:val="20"/>
                <w:color w:val="auto"/>
              </w:rPr>
            </w:pPr>
            <w:r>
              <w:rPr>
                <w:rFonts w:ascii="Arial" w:cs="Arial" w:eastAsia="Arial" w:hAnsi="Arial"/>
                <w:sz w:val="13"/>
                <w:szCs w:val="13"/>
                <w:color w:val="auto"/>
              </w:rPr>
              <w:t>(1,718)</w:t>
            </w:r>
          </w:p>
        </w:tc>
        <w:tc>
          <w:tcPr>
            <w:tcW w:w="680" w:type="dxa"/>
            <w:vAlign w:val="bottom"/>
            <w:gridSpan w:val="2"/>
          </w:tcPr>
          <w:p>
            <w:pPr>
              <w:jc w:val="right"/>
              <w:ind w:right="137"/>
              <w:spacing w:after="0"/>
              <w:rPr>
                <w:sz w:val="20"/>
                <w:szCs w:val="20"/>
                <w:color w:val="auto"/>
              </w:rPr>
            </w:pPr>
            <w:r>
              <w:rPr>
                <w:rFonts w:ascii="Arial" w:cs="Arial" w:eastAsia="Arial" w:hAnsi="Arial"/>
                <w:sz w:val="13"/>
                <w:szCs w:val="13"/>
                <w:color w:val="auto"/>
              </w:rPr>
              <w:t>(3,732)</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(3,414)</w:t>
            </w:r>
          </w:p>
        </w:tc>
        <w:tc>
          <w:tcPr>
            <w:tcW w:w="0" w:type="dxa"/>
            <w:vAlign w:val="bottom"/>
          </w:tcPr>
          <w:p>
            <w:pPr>
              <w:spacing w:after="0"/>
              <w:rPr>
                <w:sz w:val="1"/>
                <w:szCs w:val="1"/>
                <w:color w:val="auto"/>
              </w:rPr>
            </w:pPr>
          </w:p>
        </w:tc>
      </w:tr>
      <w:tr>
        <w:trPr>
          <w:trHeight w:val="152"/>
        </w:trPr>
        <w:tc>
          <w:tcPr>
            <w:tcW w:w="45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indirect costs</w:t>
            </w:r>
          </w:p>
        </w:tc>
        <w:tc>
          <w:tcPr>
            <w:tcW w:w="740" w:type="dxa"/>
            <w:vAlign w:val="bottom"/>
            <w:tcBorders>
              <w:right w:val="single" w:sz="8" w:color="CCEEFF"/>
            </w:tcBorders>
            <w:gridSpan w:val="2"/>
            <w:shd w:val="clear" w:color="auto" w:fill="CCEEFF"/>
          </w:tcPr>
          <w:p>
            <w:pPr>
              <w:jc w:val="right"/>
              <w:ind w:right="238"/>
              <w:spacing w:after="0"/>
              <w:rPr>
                <w:sz w:val="20"/>
                <w:szCs w:val="20"/>
                <w:color w:val="auto"/>
              </w:rPr>
            </w:pPr>
            <w:r>
              <w:rPr>
                <w:rFonts w:ascii="Arial" w:cs="Arial" w:eastAsia="Arial" w:hAnsi="Arial"/>
                <w:sz w:val="13"/>
                <w:szCs w:val="13"/>
                <w:color w:val="auto"/>
              </w:rPr>
              <w:t>(1,974)</w:t>
            </w:r>
          </w:p>
        </w:tc>
        <w:tc>
          <w:tcPr>
            <w:tcW w:w="680" w:type="dxa"/>
            <w:vAlign w:val="bottom"/>
            <w:gridSpan w:val="2"/>
            <w:shd w:val="clear" w:color="auto" w:fill="CCEEFF"/>
          </w:tcPr>
          <w:p>
            <w:pPr>
              <w:jc w:val="right"/>
              <w:ind w:right="198"/>
              <w:spacing w:after="0"/>
              <w:rPr>
                <w:sz w:val="20"/>
                <w:szCs w:val="20"/>
                <w:color w:val="auto"/>
              </w:rPr>
            </w:pPr>
            <w:r>
              <w:rPr>
                <w:rFonts w:ascii="Arial" w:cs="Arial" w:eastAsia="Arial" w:hAnsi="Arial"/>
                <w:sz w:val="13"/>
                <w:szCs w:val="13"/>
                <w:color w:val="auto"/>
              </w:rPr>
              <w:t>(2,128)</w:t>
            </w:r>
          </w:p>
        </w:tc>
        <w:tc>
          <w:tcPr>
            <w:tcW w:w="680" w:type="dxa"/>
            <w:vAlign w:val="bottom"/>
            <w:tcBorders>
              <w:right w:val="single" w:sz="8" w:color="CCEEFF"/>
            </w:tcBorders>
            <w:gridSpan w:val="2"/>
            <w:shd w:val="clear" w:color="auto" w:fill="CCEEFF"/>
          </w:tcPr>
          <w:p>
            <w:pPr>
              <w:jc w:val="right"/>
              <w:ind w:right="137"/>
              <w:spacing w:after="0"/>
              <w:rPr>
                <w:sz w:val="20"/>
                <w:szCs w:val="20"/>
                <w:color w:val="auto"/>
              </w:rPr>
            </w:pPr>
            <w:r>
              <w:rPr>
                <w:rFonts w:ascii="Arial" w:cs="Arial" w:eastAsia="Arial" w:hAnsi="Arial"/>
                <w:sz w:val="13"/>
                <w:szCs w:val="13"/>
                <w:color w:val="auto"/>
              </w:rPr>
              <w:t>(4,481)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(3,974)</w:t>
            </w:r>
          </w:p>
        </w:tc>
        <w:tc>
          <w:tcPr>
            <w:tcW w:w="0" w:type="dxa"/>
            <w:vAlign w:val="bottom"/>
          </w:tcPr>
          <w:p>
            <w:pPr>
              <w:spacing w:after="0"/>
              <w:rPr>
                <w:sz w:val="1"/>
                <w:szCs w:val="1"/>
                <w:color w:val="auto"/>
              </w:rPr>
            </w:pPr>
          </w:p>
        </w:tc>
      </w:tr>
      <w:tr>
        <w:trPr>
          <w:trHeight w:val="151"/>
        </w:trPr>
        <w:tc>
          <w:tcPr>
            <w:tcW w:w="4520" w:type="dxa"/>
            <w:vAlign w:val="bottom"/>
          </w:tcPr>
          <w:p>
            <w:pPr>
              <w:ind w:left="240"/>
              <w:spacing w:after="0"/>
              <w:rPr>
                <w:sz w:val="20"/>
                <w:szCs w:val="20"/>
                <w:color w:val="auto"/>
              </w:rPr>
            </w:pPr>
            <w:r>
              <w:rPr>
                <w:rFonts w:ascii="Arial" w:cs="Arial" w:eastAsia="Arial" w:hAnsi="Arial"/>
                <w:sz w:val="13"/>
                <w:szCs w:val="13"/>
                <w:b w:val="1"/>
                <w:bCs w:val="1"/>
                <w:color w:val="auto"/>
              </w:rPr>
              <w:t>Sub-total indirect expenses</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90"/>
              </w:rPr>
              <w:t>(19,398</w:t>
            </w:r>
          </w:p>
        </w:tc>
        <w:tc>
          <w:tcPr>
            <w:tcW w:w="320" w:type="dxa"/>
            <w:vAlign w:val="bottom"/>
          </w:tcPr>
          <w:p>
            <w:pPr>
              <w:jc w:val="right"/>
              <w:ind w:right="238"/>
              <w:spacing w:after="0"/>
              <w:rPr>
                <w:sz w:val="20"/>
                <w:szCs w:val="20"/>
                <w:color w:val="auto"/>
              </w:rPr>
            </w:pPr>
            <w:r>
              <w:rPr>
                <w:rFonts w:ascii="Arial" w:cs="Arial" w:eastAsia="Arial" w:hAnsi="Arial"/>
                <w:sz w:val="8"/>
                <w:szCs w:val="8"/>
                <w:b w:val="1"/>
                <w:bCs w:val="1"/>
                <w:color w:val="auto"/>
                <w:w w:val="73"/>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6"/>
              </w:rPr>
              <w:t>(18,268</w:t>
            </w:r>
          </w:p>
        </w:tc>
        <w:tc>
          <w:tcPr>
            <w:tcW w:w="280" w:type="dxa"/>
            <w:vAlign w:val="bottom"/>
          </w:tcPr>
          <w:p>
            <w:pPr>
              <w:jc w:val="right"/>
              <w:ind w:right="198"/>
              <w:spacing w:after="0"/>
              <w:rPr>
                <w:sz w:val="20"/>
                <w:szCs w:val="20"/>
                <w:color w:val="auto"/>
              </w:rPr>
            </w:pPr>
            <w:r>
              <w:rPr>
                <w:rFonts w:ascii="Arial" w:cs="Arial" w:eastAsia="Arial" w:hAnsi="Arial"/>
                <w:sz w:val="8"/>
                <w:szCs w:val="8"/>
                <w:b w:val="1"/>
                <w:bCs w:val="1"/>
                <w:color w:val="auto"/>
                <w:w w:val="73"/>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90"/>
              </w:rPr>
              <w:t>(39,473</w:t>
            </w:r>
          </w:p>
        </w:tc>
        <w:tc>
          <w:tcPr>
            <w:tcW w:w="260" w:type="dxa"/>
            <w:vAlign w:val="bottom"/>
          </w:tcPr>
          <w:p>
            <w:pPr>
              <w:jc w:val="right"/>
              <w:ind w:right="137"/>
              <w:spacing w:after="0"/>
              <w:rPr>
                <w:sz w:val="20"/>
                <w:szCs w:val="20"/>
                <w:color w:val="auto"/>
              </w:rPr>
            </w:pPr>
            <w:r>
              <w:rPr>
                <w:rFonts w:ascii="Arial" w:cs="Arial" w:eastAsia="Arial" w:hAnsi="Arial"/>
                <w:sz w:val="13"/>
                <w:szCs w:val="13"/>
                <w:b w:val="1"/>
                <w:bCs w:val="1"/>
                <w:color w:val="auto"/>
                <w:w w:val="9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6"/>
              </w:rPr>
              <w:t>(36,371</w:t>
            </w:r>
          </w:p>
        </w:tc>
        <w:tc>
          <w:tcPr>
            <w:tcW w:w="8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51"/>
        </w:trPr>
        <w:tc>
          <w:tcPr>
            <w:tcW w:w="45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w:t>
            </w:r>
          </w:p>
        </w:tc>
        <w:tc>
          <w:tcPr>
            <w:tcW w:w="740" w:type="dxa"/>
            <w:vAlign w:val="bottom"/>
            <w:tcBorders>
              <w:right w:val="single" w:sz="8" w:color="CCEEFF"/>
            </w:tcBorders>
            <w:gridSpan w:val="2"/>
            <w:shd w:val="clear" w:color="auto" w:fill="CCEEFF"/>
          </w:tcPr>
          <w:p>
            <w:pPr>
              <w:jc w:val="right"/>
              <w:ind w:right="238"/>
              <w:spacing w:after="0"/>
              <w:rPr>
                <w:sz w:val="20"/>
                <w:szCs w:val="20"/>
                <w:color w:val="auto"/>
              </w:rPr>
            </w:pPr>
            <w:r>
              <w:rPr>
                <w:rFonts w:ascii="Arial" w:cs="Arial" w:eastAsia="Arial" w:hAnsi="Arial"/>
                <w:sz w:val="13"/>
                <w:szCs w:val="13"/>
                <w:b w:val="1"/>
                <w:bCs w:val="1"/>
                <w:color w:val="auto"/>
                <w:w w:val="90"/>
              </w:rPr>
              <w:t>(27,317)</w:t>
            </w:r>
          </w:p>
        </w:tc>
        <w:tc>
          <w:tcPr>
            <w:tcW w:w="680" w:type="dxa"/>
            <w:vAlign w:val="bottom"/>
            <w:gridSpan w:val="2"/>
            <w:shd w:val="clear" w:color="auto" w:fill="CCEEFF"/>
          </w:tcPr>
          <w:p>
            <w:pPr>
              <w:jc w:val="right"/>
              <w:ind w:right="198"/>
              <w:spacing w:after="0"/>
              <w:rPr>
                <w:sz w:val="20"/>
                <w:szCs w:val="20"/>
                <w:color w:val="auto"/>
              </w:rPr>
            </w:pPr>
            <w:r>
              <w:rPr>
                <w:rFonts w:ascii="Arial" w:cs="Arial" w:eastAsia="Arial" w:hAnsi="Arial"/>
                <w:sz w:val="13"/>
                <w:szCs w:val="13"/>
                <w:b w:val="1"/>
                <w:bCs w:val="1"/>
                <w:color w:val="auto"/>
                <w:w w:val="86"/>
              </w:rPr>
              <w:t>(25,216)</w:t>
            </w:r>
          </w:p>
        </w:tc>
        <w:tc>
          <w:tcPr>
            <w:tcW w:w="680" w:type="dxa"/>
            <w:vAlign w:val="bottom"/>
            <w:tcBorders>
              <w:right w:val="single" w:sz="8" w:color="CCEEFF"/>
            </w:tcBorders>
            <w:gridSpan w:val="2"/>
            <w:shd w:val="clear" w:color="auto" w:fill="CCEEFF"/>
          </w:tcPr>
          <w:p>
            <w:pPr>
              <w:jc w:val="right"/>
              <w:ind w:right="137"/>
              <w:spacing w:after="0"/>
              <w:rPr>
                <w:sz w:val="20"/>
                <w:szCs w:val="20"/>
                <w:color w:val="auto"/>
              </w:rPr>
            </w:pPr>
            <w:r>
              <w:rPr>
                <w:rFonts w:ascii="Arial" w:cs="Arial" w:eastAsia="Arial" w:hAnsi="Arial"/>
                <w:sz w:val="13"/>
                <w:szCs w:val="13"/>
                <w:b w:val="1"/>
                <w:bCs w:val="1"/>
                <w:color w:val="auto"/>
                <w:w w:val="94"/>
              </w:rPr>
              <w:t>(54,898)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w w:val="86"/>
              </w:rPr>
              <w:t>(50,360)</w:t>
            </w:r>
          </w:p>
        </w:tc>
        <w:tc>
          <w:tcPr>
            <w:tcW w:w="0" w:type="dxa"/>
            <w:vAlign w:val="bottom"/>
          </w:tcPr>
          <w:p>
            <w:pPr>
              <w:spacing w:after="0"/>
              <w:rPr>
                <w:sz w:val="1"/>
                <w:szCs w:val="1"/>
                <w:color w:val="auto"/>
              </w:rPr>
            </w:pPr>
          </w:p>
        </w:tc>
      </w:tr>
      <w:tr>
        <w:trPr>
          <w:trHeight w:val="28"/>
        </w:trPr>
        <w:tc>
          <w:tcPr>
            <w:tcW w:w="45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640" w:right="739" w:firstLine="309"/>
        <w:spacing w:after="0" w:line="271" w:lineRule="auto"/>
        <w:rPr>
          <w:sz w:val="20"/>
          <w:szCs w:val="20"/>
          <w:color w:val="auto"/>
        </w:rPr>
      </w:pPr>
      <w:r>
        <w:rPr>
          <w:rFonts w:ascii="Arial" w:cs="Arial" w:eastAsia="Arial" w:hAnsi="Arial"/>
          <w:sz w:val="12"/>
          <w:szCs w:val="12"/>
          <w:color w:val="auto"/>
        </w:rPr>
        <w:t>Direct external research and development expenses for our ACT programs increased from €3.9 million for the three months ended June 30, 2022 to €5.2 million for the three months ended June 30, 2023. This increase mainly resulted from increased activities in our clinical trials during the second quarter of 2023, which was triggered in part by an increased number of patients recruited. Direct external research and development expenses for our TCR Bispecifics programs increased from €1.0 million for the three months ended June 30, 2022 to €1.3 million for the three months ended June 30, 2023. This increase mainly resulted from additional activities in our preclinical studies for IMA402 for which we applied for clinical trial approval in April 2023 and are preparing the start of the clinical trial.</w:t>
      </w:r>
    </w:p>
    <w:p>
      <w:pPr>
        <w:spacing w:after="0" w:line="127" w:lineRule="exact"/>
        <w:rPr>
          <w:sz w:val="20"/>
          <w:szCs w:val="20"/>
          <w:color w:val="auto"/>
        </w:rPr>
      </w:pPr>
    </w:p>
    <w:p>
      <w:pPr>
        <w:ind w:left="640" w:right="659" w:firstLine="309"/>
        <w:spacing w:after="0" w:line="249" w:lineRule="auto"/>
        <w:rPr>
          <w:sz w:val="20"/>
          <w:szCs w:val="20"/>
          <w:color w:val="auto"/>
        </w:rPr>
      </w:pPr>
      <w:r>
        <w:rPr>
          <w:rFonts w:ascii="Arial" w:cs="Arial" w:eastAsia="Arial" w:hAnsi="Arial"/>
          <w:sz w:val="13"/>
          <w:szCs w:val="13"/>
          <w:color w:val="auto"/>
        </w:rPr>
        <w:t>Direct external research and development expenses for our other programs such as technology platforms and collaboration agreements decreased from €2.0 million for the three months ended June 30, 2022 to €1.4 million for the three months ended June 30, 2023. This decrease mainly resulted from collaboration timeline extensions which resulted in cost shifts as well as the termination of the GSK collaboration which was effective in the fourth quarter of 2022.</w:t>
      </w:r>
    </w:p>
    <w:p>
      <w:pPr>
        <w:spacing w:after="0" w:line="138" w:lineRule="exact"/>
        <w:rPr>
          <w:sz w:val="20"/>
          <w:szCs w:val="20"/>
          <w:color w:val="auto"/>
        </w:rPr>
      </w:pPr>
    </w:p>
    <w:p>
      <w:pPr>
        <w:ind w:left="640" w:right="719" w:firstLine="309"/>
        <w:spacing w:after="0" w:line="293" w:lineRule="auto"/>
        <w:rPr>
          <w:sz w:val="20"/>
          <w:szCs w:val="20"/>
          <w:color w:val="auto"/>
        </w:rPr>
      </w:pPr>
      <w:r>
        <w:rPr>
          <w:rFonts w:ascii="Arial" w:cs="Arial" w:eastAsia="Arial" w:hAnsi="Arial"/>
          <w:sz w:val="11"/>
          <w:szCs w:val="11"/>
          <w:color w:val="auto"/>
        </w:rPr>
        <w:t>Direct external research and development expenses for our ACT programs increased from €8.7 million for the six months ended June 30, 2022 to €8.8 million for the six months ended June 30, 2023. This increase mainly resulted from increased activities in our clinical trials. Direct external research and development expenses for our TCR Bispecifics programs increased from €2.1 million for the six months ended June 30, 2022 to</w:t>
      </w:r>
    </w:p>
    <w:p>
      <w:pPr>
        <w:spacing w:after="0" w:line="1" w:lineRule="exact"/>
        <w:rPr>
          <w:sz w:val="20"/>
          <w:szCs w:val="20"/>
          <w:color w:val="auto"/>
        </w:rPr>
      </w:pPr>
    </w:p>
    <w:p>
      <w:pPr>
        <w:ind w:left="640" w:right="799"/>
        <w:spacing w:after="0" w:line="246" w:lineRule="auto"/>
        <w:rPr>
          <w:sz w:val="20"/>
          <w:szCs w:val="20"/>
          <w:color w:val="auto"/>
        </w:rPr>
      </w:pPr>
      <w:r>
        <w:rPr>
          <w:rFonts w:ascii="Arial" w:cs="Arial" w:eastAsia="Arial" w:hAnsi="Arial"/>
          <w:sz w:val="13"/>
          <w:szCs w:val="13"/>
          <w:color w:val="auto"/>
        </w:rPr>
        <w:t>€3.6 million for the six months ended June 30, 2023. This increase mainly resulted from additional activities in our preclinical studies for IMA402 for which we applied for clinical trial approval in April 2023.</w:t>
      </w:r>
    </w:p>
    <w:p>
      <w:pPr>
        <w:sectPr>
          <w:pgSz w:w="11900" w:h="16838" w:orient="portrait"/>
          <w:cols w:equalWidth="0" w:num="1">
            <w:col w:w="9019"/>
          </w:cols>
          <w:pgMar w:left="1440" w:top="254" w:right="1440" w:bottom="1440" w:gutter="0" w:footer="0" w:header="0"/>
        </w:sectPr>
      </w:pPr>
    </w:p>
    <w:bookmarkStart w:id="26" w:name="page27"/>
    <w:bookmarkEnd w:id="26"/>
    <w:p>
      <w:pPr>
        <w:ind w:left="640" w:right="739" w:firstLine="309"/>
        <w:spacing w:after="0" w:line="249"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0425" cy="42545"/>
                    </a:xfrm>
                    <a:prstGeom prst="rect">
                      <a:avLst/>
                    </a:prstGeom>
                    <a:noFill/>
                  </pic:spPr>
                </pic:pic>
              </a:graphicData>
            </a:graphic>
          </wp:anchor>
        </w:drawing>
        <w:t>Direct external research and development expenses for our other programs such as technology platforms and collaboration agreements decreased from €3.2 million for the six months ended June 30, 2022 to €3.0 million for the six months ended June 30, 2023. This decrease mainly resulted from collaboration timeline extensions which resulted in cost shifts as well as the termination of the GSK collaboration which was effective in the fourth quarter of 2022.</w:t>
      </w:r>
    </w:p>
    <w:p>
      <w:pPr>
        <w:spacing w:after="0" w:line="138" w:lineRule="exact"/>
        <w:rPr>
          <w:sz w:val="20"/>
          <w:szCs w:val="20"/>
          <w:color w:val="auto"/>
        </w:rPr>
      </w:pPr>
    </w:p>
    <w:p>
      <w:pPr>
        <w:ind w:left="640" w:right="639" w:firstLine="309"/>
        <w:spacing w:after="0" w:line="273" w:lineRule="auto"/>
        <w:rPr>
          <w:sz w:val="20"/>
          <w:szCs w:val="20"/>
          <w:color w:val="auto"/>
        </w:rPr>
      </w:pPr>
      <w:r>
        <w:rPr>
          <w:rFonts w:ascii="Arial" w:cs="Arial" w:eastAsia="Arial" w:hAnsi="Arial"/>
          <w:sz w:val="12"/>
          <w:szCs w:val="12"/>
          <w:color w:val="auto"/>
        </w:rPr>
        <w:t>We do not allocate indirect research and development expenses by program, as our research and development personnel work across programs. Our intellectual property expenses are incurred for the protection of cancer antigen targets, T cell receptors, antibodies, bispecific molecules, and antigen discovery platforms which are beneficial to the whole research and development group rather than for specific programs. Our programs use common research and development facilities and laboratory equipment, and we also incur other costs such as general laboratory material or maintenance expenses that are incurred for commonly used activities within the whole research and development group.</w:t>
      </w:r>
    </w:p>
    <w:p>
      <w:pPr>
        <w:spacing w:after="0" w:line="125" w:lineRule="exact"/>
        <w:rPr>
          <w:sz w:val="20"/>
          <w:szCs w:val="20"/>
          <w:color w:val="auto"/>
        </w:rPr>
      </w:pPr>
    </w:p>
    <w:p>
      <w:pPr>
        <w:ind w:left="640" w:right="819" w:firstLine="309"/>
        <w:spacing w:after="0" w:line="269" w:lineRule="auto"/>
        <w:rPr>
          <w:sz w:val="20"/>
          <w:szCs w:val="20"/>
          <w:color w:val="auto"/>
        </w:rPr>
      </w:pPr>
      <w:r>
        <w:rPr>
          <w:rFonts w:ascii="Arial" w:cs="Arial" w:eastAsia="Arial" w:hAnsi="Arial"/>
          <w:sz w:val="12"/>
          <w:szCs w:val="12"/>
          <w:color w:val="auto"/>
        </w:rPr>
        <w:t>Personnel-related expenses increased from €9.3 million for the three months ended June 30, 2022 to €10.0 million for the three months ended June 30, 2023. This increase resulted from our headcount growth due to our increased research and development activities including clinical trials. Share-based compensation expenses increased from €3.1 million for the three months ended June 30, 2022 to €3.3 million for the three months ended June 30, 2023. IP expenses increased from €2.1 million for the three months ended June 30, 2022 to €2.2 million for the three months ended June 30, 2023 due to our ongoing expansion of our IP portfolio. Facility and depreciation expenses increased from €1.7 million for the three months ended June 30, 2022 to €2.0 million for the three months ended June 30, 2023. This increase resulted from the acquisition of laboratory equipment and leasehold improvements. Other indirect expenses decreased from €2.1 million for the three months ended June 30, 2022 to €2.0 million for the three months ended June 30, 2023.</w:t>
      </w:r>
    </w:p>
    <w:p>
      <w:pPr>
        <w:spacing w:after="0" w:line="127" w:lineRule="exact"/>
        <w:rPr>
          <w:sz w:val="20"/>
          <w:szCs w:val="20"/>
          <w:color w:val="auto"/>
        </w:rPr>
      </w:pPr>
    </w:p>
    <w:p>
      <w:pPr>
        <w:ind w:left="640" w:right="659" w:firstLine="309"/>
        <w:spacing w:after="0" w:line="245" w:lineRule="auto"/>
        <w:rPr>
          <w:sz w:val="20"/>
          <w:szCs w:val="20"/>
          <w:color w:val="auto"/>
        </w:rPr>
      </w:pPr>
      <w:r>
        <w:rPr>
          <w:rFonts w:ascii="Arial" w:cs="Arial" w:eastAsia="Arial" w:hAnsi="Arial"/>
          <w:sz w:val="13"/>
          <w:szCs w:val="13"/>
          <w:color w:val="auto"/>
        </w:rPr>
        <w:t>Personnel-related expenses increased from €18.2 million for the six months ended June 30, 2022 to €19.9 million for the six months ended June 30, 2023. This increase resulted from our headcount growth due to our increased research and development activities including clinical trials. Share-based compensation expenses increased from €6.4 million for the six months ended June 30, 2022 to €6.8 million for the six months ended June 30, 2023. IP expenses increased from €4.4 million for the six months ended June 30, 2022 to €4.6 million for the six months ended June 30, 2023 due to our ongoing expansion of our IP portfolio. Facility and depreciation expenses increased from €3.4 million for the six months ended June 30, 2022 to €3.7 million for the six months ended June 30, 2023. This increase resulted from the acquisition of laboratory equipment and leasehold improvements. Other indirect expenses increased from €4.0 million for the six months ended June 30, 2022 to €4.5 million for the six months ended June 30, 2023.</w:t>
      </w:r>
    </w:p>
    <w:p>
      <w:pPr>
        <w:spacing w:after="0" w:line="220" w:lineRule="exact"/>
        <w:rPr>
          <w:sz w:val="20"/>
          <w:szCs w:val="20"/>
          <w:color w:val="auto"/>
        </w:rPr>
      </w:pPr>
    </w:p>
    <w:p>
      <w:pPr>
        <w:ind w:left="940"/>
        <w:spacing w:after="0"/>
        <w:rPr>
          <w:sz w:val="20"/>
          <w:szCs w:val="20"/>
          <w:color w:val="auto"/>
        </w:rPr>
      </w:pPr>
      <w:r>
        <w:rPr>
          <w:rFonts w:ascii="Arial" w:cs="Arial" w:eastAsia="Arial" w:hAnsi="Arial"/>
          <w:sz w:val="13"/>
          <w:szCs w:val="13"/>
          <w:i w:val="1"/>
          <w:iCs w:val="1"/>
          <w:color w:val="auto"/>
        </w:rPr>
        <w:t>General and Administrative Expenses</w:t>
      </w:r>
    </w:p>
    <w:p>
      <w:pPr>
        <w:spacing w:after="0" w:line="78" w:lineRule="exact"/>
        <w:rPr>
          <w:sz w:val="20"/>
          <w:szCs w:val="20"/>
          <w:color w:val="auto"/>
        </w:rPr>
      </w:pPr>
    </w:p>
    <w:p>
      <w:pPr>
        <w:ind w:left="940"/>
        <w:spacing w:after="0"/>
        <w:rPr>
          <w:sz w:val="20"/>
          <w:szCs w:val="20"/>
          <w:color w:val="auto"/>
        </w:rPr>
      </w:pPr>
      <w:r>
        <w:rPr>
          <w:rFonts w:ascii="Arial" w:cs="Arial" w:eastAsia="Arial" w:hAnsi="Arial"/>
          <w:sz w:val="13"/>
          <w:szCs w:val="13"/>
          <w:color w:val="auto"/>
        </w:rPr>
        <w:t>The following table summarizes our General and administrative expenses for the periods indicated:</w:t>
      </w:r>
    </w:p>
    <w:p>
      <w:pPr>
        <w:spacing w:after="0" w:line="156" w:lineRule="exact"/>
        <w:rPr>
          <w:sz w:val="20"/>
          <w:szCs w:val="20"/>
          <w:color w:val="auto"/>
        </w:rPr>
      </w:pPr>
    </w:p>
    <w:tbl>
      <w:tblPr>
        <w:tblLayout w:type="fixed"/>
        <w:tblInd w:w="960" w:type="dxa"/>
        <w:tblCellMar>
          <w:top w:w="0" w:type="dxa"/>
          <w:left w:w="0" w:type="dxa"/>
          <w:bottom w:w="0" w:type="dxa"/>
          <w:right w:w="0" w:type="dxa"/>
        </w:tblCellMar>
      </w:tblPr>
      <w:tr>
        <w:trPr>
          <w:trHeight w:val="115"/>
        </w:trPr>
        <w:tc>
          <w:tcPr>
            <w:tcW w:w="4720" w:type="dxa"/>
            <w:vAlign w:val="bottom"/>
          </w:tcPr>
          <w:p>
            <w:pPr>
              <w:spacing w:after="0"/>
              <w:rPr>
                <w:sz w:val="10"/>
                <w:szCs w:val="10"/>
                <w:color w:val="auto"/>
              </w:rPr>
            </w:pPr>
          </w:p>
        </w:tc>
        <w:tc>
          <w:tcPr>
            <w:tcW w:w="1220" w:type="dxa"/>
            <w:vAlign w:val="bottom"/>
            <w:gridSpan w:val="4"/>
          </w:tcPr>
          <w:p>
            <w:pPr>
              <w:jc w:val="right"/>
              <w:ind w:right="260"/>
              <w:spacing w:after="0"/>
              <w:rPr>
                <w:sz w:val="20"/>
                <w:szCs w:val="20"/>
                <w:color w:val="auto"/>
              </w:rPr>
            </w:pPr>
            <w:r>
              <w:rPr>
                <w:rFonts w:ascii="Arial" w:cs="Arial" w:eastAsia="Arial" w:hAnsi="Arial"/>
                <w:sz w:val="10"/>
                <w:szCs w:val="10"/>
                <w:b w:val="1"/>
                <w:bCs w:val="1"/>
                <w:color w:val="auto"/>
                <w:w w:val="94"/>
              </w:rPr>
              <w:t>Three Months Ended</w:t>
            </w:r>
          </w:p>
        </w:tc>
        <w:tc>
          <w:tcPr>
            <w:tcW w:w="1160" w:type="dxa"/>
            <w:vAlign w:val="bottom"/>
            <w:gridSpan w:val="4"/>
          </w:tcPr>
          <w:p>
            <w:pPr>
              <w:jc w:val="right"/>
              <w:ind w:right="220"/>
              <w:spacing w:after="0"/>
              <w:rPr>
                <w:sz w:val="20"/>
                <w:szCs w:val="20"/>
                <w:color w:val="auto"/>
              </w:rPr>
            </w:pPr>
            <w:r>
              <w:rPr>
                <w:rFonts w:ascii="Arial" w:cs="Arial" w:eastAsia="Arial" w:hAnsi="Arial"/>
                <w:sz w:val="10"/>
                <w:szCs w:val="10"/>
                <w:b w:val="1"/>
                <w:bCs w:val="1"/>
                <w:color w:val="auto"/>
              </w:rPr>
              <w:t>Six Months Ended</w:t>
            </w:r>
          </w:p>
        </w:tc>
        <w:tc>
          <w:tcPr>
            <w:tcW w:w="0" w:type="dxa"/>
            <w:vAlign w:val="bottom"/>
          </w:tcPr>
          <w:p>
            <w:pPr>
              <w:spacing w:after="0"/>
              <w:rPr>
                <w:sz w:val="1"/>
                <w:szCs w:val="1"/>
                <w:color w:val="auto"/>
              </w:rPr>
            </w:pPr>
          </w:p>
        </w:tc>
      </w:tr>
      <w:tr>
        <w:trPr>
          <w:trHeight w:val="119"/>
        </w:trPr>
        <w:tc>
          <w:tcPr>
            <w:tcW w:w="4720" w:type="dxa"/>
            <w:vAlign w:val="bottom"/>
          </w:tcPr>
          <w:p>
            <w:pPr>
              <w:spacing w:after="0"/>
              <w:rPr>
                <w:sz w:val="10"/>
                <w:szCs w:val="10"/>
                <w:color w:val="auto"/>
              </w:rPr>
            </w:pPr>
          </w:p>
        </w:tc>
        <w:tc>
          <w:tcPr>
            <w:tcW w:w="1220" w:type="dxa"/>
            <w:vAlign w:val="bottom"/>
            <w:gridSpan w:val="4"/>
          </w:tcPr>
          <w:p>
            <w:pPr>
              <w:jc w:val="right"/>
              <w:ind w:right="540"/>
              <w:spacing w:after="0"/>
              <w:rPr>
                <w:sz w:val="20"/>
                <w:szCs w:val="20"/>
                <w:color w:val="auto"/>
              </w:rPr>
            </w:pPr>
            <w:r>
              <w:rPr>
                <w:rFonts w:ascii="Arial" w:cs="Arial" w:eastAsia="Arial" w:hAnsi="Arial"/>
                <w:sz w:val="10"/>
                <w:szCs w:val="10"/>
                <w:b w:val="1"/>
                <w:bCs w:val="1"/>
                <w:color w:val="auto"/>
              </w:rPr>
              <w:t>June 30,</w:t>
            </w:r>
          </w:p>
        </w:tc>
        <w:tc>
          <w:tcPr>
            <w:tcW w:w="1160" w:type="dxa"/>
            <w:vAlign w:val="bottom"/>
            <w:gridSpan w:val="4"/>
          </w:tcPr>
          <w:p>
            <w:pPr>
              <w:jc w:val="right"/>
              <w:ind w:right="440"/>
              <w:spacing w:after="0"/>
              <w:rPr>
                <w:sz w:val="20"/>
                <w:szCs w:val="20"/>
                <w:color w:val="auto"/>
              </w:rPr>
            </w:pPr>
            <w:r>
              <w:rPr>
                <w:rFonts w:ascii="Arial" w:cs="Arial" w:eastAsia="Arial" w:hAnsi="Arial"/>
                <w:sz w:val="10"/>
                <w:szCs w:val="10"/>
                <w:b w:val="1"/>
                <w:bCs w:val="1"/>
                <w:color w:val="auto"/>
              </w:rPr>
              <w:t>June 30,</w:t>
            </w:r>
          </w:p>
        </w:tc>
        <w:tc>
          <w:tcPr>
            <w:tcW w:w="0" w:type="dxa"/>
            <w:vAlign w:val="bottom"/>
          </w:tcPr>
          <w:p>
            <w:pPr>
              <w:spacing w:after="0"/>
              <w:rPr>
                <w:sz w:val="1"/>
                <w:szCs w:val="1"/>
                <w:color w:val="auto"/>
              </w:rPr>
            </w:pPr>
          </w:p>
        </w:tc>
      </w:tr>
      <w:tr>
        <w:trPr>
          <w:trHeight w:val="94"/>
        </w:trPr>
        <w:tc>
          <w:tcPr>
            <w:tcW w:w="4720" w:type="dxa"/>
            <w:vAlign w:val="bottom"/>
            <w:vMerge w:val="restart"/>
          </w:tcPr>
          <w:p>
            <w:pPr>
              <w:spacing w:after="0"/>
              <w:rPr>
                <w:sz w:val="20"/>
                <w:szCs w:val="20"/>
                <w:color w:val="auto"/>
              </w:rPr>
            </w:pPr>
            <w:r>
              <w:rPr>
                <w:rFonts w:ascii="Arial" w:cs="Arial" w:eastAsia="Arial" w:hAnsi="Arial"/>
                <w:sz w:val="10"/>
                <w:szCs w:val="10"/>
                <w:b w:val="1"/>
                <w:bCs w:val="1"/>
                <w:color w:val="auto"/>
              </w:rPr>
              <w:t>(Euros in thousands)</w:t>
            </w:r>
          </w:p>
        </w:tc>
        <w:tc>
          <w:tcPr>
            <w:tcW w:w="380" w:type="dxa"/>
            <w:vAlign w:val="bottom"/>
            <w:tcBorders>
              <w:top w:val="single" w:sz="8" w:color="auto"/>
              <w:bottom w:val="single" w:sz="8" w:color="auto"/>
            </w:tcBorders>
          </w:tcPr>
          <w:p>
            <w:pPr>
              <w:jc w:val="right"/>
              <w:ind w:right="42"/>
              <w:spacing w:after="0" w:line="94" w:lineRule="exact"/>
              <w:rPr>
                <w:sz w:val="20"/>
                <w:szCs w:val="20"/>
                <w:color w:val="auto"/>
              </w:rPr>
            </w:pPr>
            <w:r>
              <w:rPr>
                <w:rFonts w:ascii="Arial" w:cs="Arial" w:eastAsia="Arial" w:hAnsi="Arial"/>
                <w:sz w:val="10"/>
                <w:szCs w:val="10"/>
                <w:b w:val="1"/>
                <w:bCs w:val="1"/>
                <w:color w:val="auto"/>
              </w:rPr>
              <w:t>2023</w:t>
            </w:r>
          </w:p>
        </w:tc>
        <w:tc>
          <w:tcPr>
            <w:tcW w:w="220" w:type="dxa"/>
            <w:vAlign w:val="bottom"/>
            <w:tcBorders>
              <w:top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39"/>
              <w:spacing w:after="0" w:line="94" w:lineRule="exact"/>
              <w:rPr>
                <w:sz w:val="20"/>
                <w:szCs w:val="20"/>
                <w:color w:val="auto"/>
              </w:rPr>
            </w:pPr>
            <w:r>
              <w:rPr>
                <w:rFonts w:ascii="Arial" w:cs="Arial" w:eastAsia="Arial" w:hAnsi="Arial"/>
                <w:sz w:val="10"/>
                <w:szCs w:val="10"/>
                <w:b w:val="1"/>
                <w:bCs w:val="1"/>
                <w:color w:val="auto"/>
              </w:rPr>
              <w:t>2022</w:t>
            </w:r>
          </w:p>
        </w:tc>
        <w:tc>
          <w:tcPr>
            <w:tcW w:w="220" w:type="dxa"/>
            <w:vAlign w:val="bottom"/>
          </w:tcPr>
          <w:p>
            <w:pPr>
              <w:spacing w:after="0"/>
              <w:rPr>
                <w:sz w:val="8"/>
                <w:szCs w:val="8"/>
                <w:color w:val="auto"/>
              </w:rPr>
            </w:pPr>
          </w:p>
        </w:tc>
        <w:tc>
          <w:tcPr>
            <w:tcW w:w="420" w:type="dxa"/>
            <w:vAlign w:val="bottom"/>
            <w:tcBorders>
              <w:top w:val="single" w:sz="8" w:color="auto"/>
              <w:bottom w:val="single" w:sz="8" w:color="auto"/>
            </w:tcBorders>
          </w:tcPr>
          <w:p>
            <w:pPr>
              <w:jc w:val="right"/>
              <w:ind w:right="42"/>
              <w:spacing w:after="0" w:line="94" w:lineRule="exact"/>
              <w:rPr>
                <w:sz w:val="20"/>
                <w:szCs w:val="20"/>
                <w:color w:val="auto"/>
              </w:rPr>
            </w:pPr>
            <w:r>
              <w:rPr>
                <w:rFonts w:ascii="Arial" w:cs="Arial" w:eastAsia="Arial" w:hAnsi="Arial"/>
                <w:sz w:val="10"/>
                <w:szCs w:val="10"/>
                <w:b w:val="1"/>
                <w:bCs w:val="1"/>
                <w:color w:val="auto"/>
              </w:rPr>
              <w:t>2023</w:t>
            </w:r>
          </w:p>
        </w:tc>
        <w:tc>
          <w:tcPr>
            <w:tcW w:w="220" w:type="dxa"/>
            <w:vAlign w:val="bottom"/>
            <w:tcBorders>
              <w:top w:val="single" w:sz="8" w:color="auto"/>
            </w:tcBorders>
          </w:tcPr>
          <w:p>
            <w:pPr>
              <w:spacing w:after="0"/>
              <w:rPr>
                <w:sz w:val="8"/>
                <w:szCs w:val="8"/>
                <w:color w:val="auto"/>
              </w:rPr>
            </w:pPr>
          </w:p>
        </w:tc>
        <w:tc>
          <w:tcPr>
            <w:tcW w:w="440" w:type="dxa"/>
            <w:vAlign w:val="bottom"/>
            <w:tcBorders>
              <w:top w:val="single" w:sz="8" w:color="auto"/>
              <w:bottom w:val="single" w:sz="8" w:color="auto"/>
            </w:tcBorders>
          </w:tcPr>
          <w:p>
            <w:pPr>
              <w:jc w:val="right"/>
              <w:ind w:right="59"/>
              <w:spacing w:after="0" w:line="94" w:lineRule="exact"/>
              <w:rPr>
                <w:sz w:val="20"/>
                <w:szCs w:val="20"/>
                <w:color w:val="auto"/>
              </w:rPr>
            </w:pPr>
            <w:r>
              <w:rPr>
                <w:rFonts w:ascii="Arial" w:cs="Arial" w:eastAsia="Arial" w:hAnsi="Arial"/>
                <w:sz w:val="10"/>
                <w:szCs w:val="10"/>
                <w:b w:val="1"/>
                <w:bCs w:val="1"/>
                <w:color w:val="auto"/>
              </w:rPr>
              <w:t>2022</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72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4720" w:type="dxa"/>
            <w:vAlign w:val="bottom"/>
            <w:shd w:val="clear" w:color="auto" w:fill="CCEEFF"/>
          </w:tcPr>
          <w:p>
            <w:pPr>
              <w:spacing w:after="0"/>
              <w:rPr>
                <w:sz w:val="20"/>
                <w:szCs w:val="20"/>
                <w:color w:val="auto"/>
              </w:rPr>
            </w:pPr>
            <w:r>
              <w:rPr>
                <w:rFonts w:ascii="Arial" w:cs="Arial" w:eastAsia="Arial" w:hAnsi="Arial"/>
                <w:sz w:val="13"/>
                <w:szCs w:val="13"/>
                <w:color w:val="auto"/>
              </w:rPr>
              <w:t>Share-based compensation expenses</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7"/>
              </w:rPr>
              <w:t>(2,231)</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(2,453)</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(4,800)</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(4,887)</w:t>
            </w:r>
          </w:p>
        </w:tc>
        <w:tc>
          <w:tcPr>
            <w:tcW w:w="0" w:type="dxa"/>
            <w:vAlign w:val="bottom"/>
          </w:tcPr>
          <w:p>
            <w:pPr>
              <w:spacing w:after="0"/>
              <w:rPr>
                <w:sz w:val="1"/>
                <w:szCs w:val="1"/>
                <w:color w:val="auto"/>
              </w:rPr>
            </w:pPr>
          </w:p>
        </w:tc>
      </w:tr>
      <w:tr>
        <w:trPr>
          <w:trHeight w:val="152"/>
        </w:trPr>
        <w:tc>
          <w:tcPr>
            <w:tcW w:w="4720" w:type="dxa"/>
            <w:vAlign w:val="bottom"/>
          </w:tcPr>
          <w:p>
            <w:pPr>
              <w:spacing w:after="0"/>
              <w:rPr>
                <w:sz w:val="20"/>
                <w:szCs w:val="20"/>
                <w:color w:val="auto"/>
              </w:rPr>
            </w:pPr>
            <w:r>
              <w:rPr>
                <w:rFonts w:ascii="Arial" w:cs="Arial" w:eastAsia="Arial" w:hAnsi="Arial"/>
                <w:sz w:val="13"/>
                <w:szCs w:val="13"/>
                <w:color w:val="auto"/>
              </w:rPr>
              <w:t>Personnel related (excluding share-based compensation)</w:t>
            </w: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w w:val="97"/>
              </w:rPr>
              <w:t>(2,891)</w:t>
            </w: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(2,626)</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(6,441)</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(5,240)</w:t>
            </w:r>
          </w:p>
        </w:tc>
        <w:tc>
          <w:tcPr>
            <w:tcW w:w="0" w:type="dxa"/>
            <w:vAlign w:val="bottom"/>
          </w:tcPr>
          <w:p>
            <w:pPr>
              <w:spacing w:after="0"/>
              <w:rPr>
                <w:sz w:val="1"/>
                <w:szCs w:val="1"/>
                <w:color w:val="auto"/>
              </w:rPr>
            </w:pPr>
          </w:p>
        </w:tc>
      </w:tr>
      <w:tr>
        <w:trPr>
          <w:trHeight w:val="152"/>
        </w:trPr>
        <w:tc>
          <w:tcPr>
            <w:tcW w:w="4720" w:type="dxa"/>
            <w:vAlign w:val="bottom"/>
            <w:shd w:val="clear" w:color="auto" w:fill="CCEEFF"/>
          </w:tcPr>
          <w:p>
            <w:pPr>
              <w:spacing w:after="0"/>
              <w:rPr>
                <w:sz w:val="20"/>
                <w:szCs w:val="20"/>
                <w:color w:val="auto"/>
              </w:rPr>
            </w:pPr>
            <w:r>
              <w:rPr>
                <w:rFonts w:ascii="Arial" w:cs="Arial" w:eastAsia="Arial" w:hAnsi="Arial"/>
                <w:sz w:val="13"/>
                <w:szCs w:val="13"/>
                <w:color w:val="auto"/>
              </w:rPr>
              <w:t>Professional and consulting fees</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7"/>
              </w:rPr>
              <w:t>(1,698)</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(1,789)</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(2,658)</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(3,079)</w:t>
            </w:r>
          </w:p>
        </w:tc>
        <w:tc>
          <w:tcPr>
            <w:tcW w:w="0" w:type="dxa"/>
            <w:vAlign w:val="bottom"/>
          </w:tcPr>
          <w:p>
            <w:pPr>
              <w:spacing w:after="0"/>
              <w:rPr>
                <w:sz w:val="1"/>
                <w:szCs w:val="1"/>
                <w:color w:val="auto"/>
              </w:rPr>
            </w:pPr>
          </w:p>
        </w:tc>
      </w:tr>
      <w:tr>
        <w:trPr>
          <w:trHeight w:val="152"/>
        </w:trPr>
        <w:tc>
          <w:tcPr>
            <w:tcW w:w="4720" w:type="dxa"/>
            <w:vAlign w:val="bottom"/>
          </w:tcPr>
          <w:p>
            <w:pPr>
              <w:spacing w:after="0"/>
              <w:rPr>
                <w:sz w:val="20"/>
                <w:szCs w:val="20"/>
                <w:color w:val="auto"/>
              </w:rPr>
            </w:pPr>
            <w:r>
              <w:rPr>
                <w:rFonts w:ascii="Arial" w:cs="Arial" w:eastAsia="Arial" w:hAnsi="Arial"/>
                <w:sz w:val="13"/>
                <w:szCs w:val="13"/>
                <w:color w:val="auto"/>
              </w:rPr>
              <w:t>Other external general and administrative expenses</w:t>
            </w: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w w:val="97"/>
              </w:rPr>
              <w:t>(2,538)</w:t>
            </w: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(1,816)</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(5,045)</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(4,759)</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7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w w:val="97"/>
              </w:rPr>
              <w:t>(9,358)</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(8,683)</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w w:val="94"/>
              </w:rPr>
              <w:t>(18,944)</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w w:val="94"/>
              </w:rPr>
              <w:t>(17,961)</w:t>
            </w:r>
          </w:p>
        </w:tc>
        <w:tc>
          <w:tcPr>
            <w:tcW w:w="0" w:type="dxa"/>
            <w:vAlign w:val="bottom"/>
          </w:tcPr>
          <w:p>
            <w:pPr>
              <w:spacing w:after="0"/>
              <w:rPr>
                <w:sz w:val="1"/>
                <w:szCs w:val="1"/>
                <w:color w:val="auto"/>
              </w:rPr>
            </w:pPr>
          </w:p>
        </w:tc>
      </w:tr>
      <w:tr>
        <w:trPr>
          <w:trHeight w:val="28"/>
        </w:trPr>
        <w:tc>
          <w:tcPr>
            <w:tcW w:w="47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640" w:right="819" w:firstLine="309"/>
        <w:spacing w:after="0" w:line="261" w:lineRule="auto"/>
        <w:rPr>
          <w:sz w:val="20"/>
          <w:szCs w:val="20"/>
          <w:color w:val="auto"/>
        </w:rPr>
      </w:pPr>
      <w:r>
        <w:rPr>
          <w:rFonts w:ascii="Arial" w:cs="Arial" w:eastAsia="Arial" w:hAnsi="Arial"/>
          <w:sz w:val="13"/>
          <w:szCs w:val="13"/>
          <w:color w:val="auto"/>
        </w:rPr>
        <w:t>General and administrative expenses increased from €8.7 million for the three months ended June 30, 2022 to €9.4 million for the three months ended June 30, 2023.</w:t>
      </w:r>
    </w:p>
    <w:p>
      <w:pPr>
        <w:spacing w:after="0" w:line="130" w:lineRule="exact"/>
        <w:rPr>
          <w:sz w:val="20"/>
          <w:szCs w:val="20"/>
          <w:color w:val="auto"/>
        </w:rPr>
      </w:pPr>
    </w:p>
    <w:p>
      <w:pPr>
        <w:ind w:left="640" w:right="819" w:firstLine="309"/>
        <w:spacing w:after="0" w:line="261" w:lineRule="auto"/>
        <w:rPr>
          <w:sz w:val="20"/>
          <w:szCs w:val="20"/>
          <w:color w:val="auto"/>
        </w:rPr>
      </w:pPr>
      <w:r>
        <w:rPr>
          <w:rFonts w:ascii="Arial" w:cs="Arial" w:eastAsia="Arial" w:hAnsi="Arial"/>
          <w:sz w:val="13"/>
          <w:szCs w:val="13"/>
          <w:color w:val="auto"/>
        </w:rPr>
        <w:t>Share-based compensation expenses decreased from €2.5 million for the three months ended June 30, 2022 to €2.2 million for the three months ended June 30, 2023.</w:t>
      </w:r>
    </w:p>
    <w:p>
      <w:pPr>
        <w:spacing w:after="0" w:line="130" w:lineRule="exact"/>
        <w:rPr>
          <w:sz w:val="20"/>
          <w:szCs w:val="20"/>
          <w:color w:val="auto"/>
        </w:rPr>
      </w:pPr>
    </w:p>
    <w:p>
      <w:pPr>
        <w:ind w:left="640" w:right="679" w:firstLine="309"/>
        <w:spacing w:after="0" w:line="252" w:lineRule="auto"/>
        <w:rPr>
          <w:sz w:val="20"/>
          <w:szCs w:val="20"/>
          <w:color w:val="auto"/>
        </w:rPr>
      </w:pPr>
      <w:r>
        <w:rPr>
          <w:rFonts w:ascii="Arial" w:cs="Arial" w:eastAsia="Arial" w:hAnsi="Arial"/>
          <w:sz w:val="13"/>
          <w:szCs w:val="13"/>
          <w:color w:val="auto"/>
        </w:rPr>
        <w:t>Personnel related general and administrative expenses, excluding share-based compensation, increased from €2.6 million for the three months ended June 30, 2022 to €2.9 million for the three months ended June 30, 2023. The increase mainly resulted from an increased headcount in our finance, IT, human resources and communications functions.</w:t>
      </w:r>
    </w:p>
    <w:p>
      <w:pPr>
        <w:spacing w:after="0" w:line="136" w:lineRule="exact"/>
        <w:rPr>
          <w:sz w:val="20"/>
          <w:szCs w:val="20"/>
          <w:color w:val="auto"/>
        </w:rPr>
      </w:pPr>
    </w:p>
    <w:p>
      <w:pPr>
        <w:ind w:left="640" w:right="699" w:firstLine="309"/>
        <w:spacing w:after="0" w:line="352" w:lineRule="auto"/>
        <w:rPr>
          <w:sz w:val="20"/>
          <w:szCs w:val="20"/>
          <w:color w:val="auto"/>
        </w:rPr>
      </w:pPr>
      <w:r>
        <w:rPr>
          <w:rFonts w:ascii="Arial" w:cs="Arial" w:eastAsia="Arial" w:hAnsi="Arial"/>
          <w:sz w:val="11"/>
          <w:szCs w:val="11"/>
          <w:color w:val="auto"/>
        </w:rPr>
        <w:t>Professional and consulting fees decreased from €1.8 million for the three months ended June 30, 2022 to €1.7 million for the three months ended June 30, 2023. The decrease in professional and consulting fees resulted mainly from lower legal expenses and consulting expenses.</w:t>
      </w:r>
    </w:p>
    <w:p>
      <w:pPr>
        <w:sectPr>
          <w:pgSz w:w="11900" w:h="16838" w:orient="portrait"/>
          <w:cols w:equalWidth="0" w:num="1">
            <w:col w:w="9019"/>
          </w:cols>
          <w:pgMar w:left="1440" w:top="254" w:right="1440" w:bottom="1440" w:gutter="0" w:footer="0" w:header="0"/>
        </w:sectPr>
      </w:pPr>
    </w:p>
    <w:bookmarkStart w:id="27" w:name="page28"/>
    <w:bookmarkEnd w:id="27"/>
    <w:p>
      <w:pPr>
        <w:ind w:left="640" w:right="679" w:firstLine="309"/>
        <w:spacing w:after="0" w:line="26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0425" cy="42545"/>
                    </a:xfrm>
                    <a:prstGeom prst="rect">
                      <a:avLst/>
                    </a:prstGeom>
                    <a:noFill/>
                  </pic:spPr>
                </pic:pic>
              </a:graphicData>
            </a:graphic>
          </wp:anchor>
        </w:drawing>
        <w:t>Other external expenses increased from €1.8 million for the three months ended June 30, 2022 to €2.5 million for the three months ended June 30, 2023. The increase in other expenses mainly resulted from increased other operating expenses.</w:t>
      </w:r>
    </w:p>
    <w:p>
      <w:pPr>
        <w:spacing w:after="0" w:line="130" w:lineRule="exact"/>
        <w:rPr>
          <w:sz w:val="20"/>
          <w:szCs w:val="20"/>
          <w:color w:val="auto"/>
        </w:rPr>
      </w:pPr>
    </w:p>
    <w:p>
      <w:pPr>
        <w:ind w:left="640" w:right="919" w:firstLine="309"/>
        <w:spacing w:after="0" w:line="261" w:lineRule="auto"/>
        <w:rPr>
          <w:sz w:val="20"/>
          <w:szCs w:val="20"/>
          <w:color w:val="auto"/>
        </w:rPr>
      </w:pPr>
      <w:r>
        <w:rPr>
          <w:rFonts w:ascii="Arial" w:cs="Arial" w:eastAsia="Arial" w:hAnsi="Arial"/>
          <w:sz w:val="13"/>
          <w:szCs w:val="13"/>
          <w:color w:val="auto"/>
        </w:rPr>
        <w:t>General and administrative expenses increased from €18.0 million for the six months ended June 30, 2022 to €18.9 million for the six months ended June 30, 2023.</w:t>
      </w:r>
    </w:p>
    <w:p>
      <w:pPr>
        <w:spacing w:after="0" w:line="130" w:lineRule="exact"/>
        <w:rPr>
          <w:sz w:val="20"/>
          <w:szCs w:val="20"/>
          <w:color w:val="auto"/>
        </w:rPr>
      </w:pPr>
    </w:p>
    <w:p>
      <w:pPr>
        <w:ind w:left="640" w:right="699" w:firstLine="309"/>
        <w:spacing w:after="0" w:line="261" w:lineRule="auto"/>
        <w:rPr>
          <w:sz w:val="20"/>
          <w:szCs w:val="20"/>
          <w:color w:val="auto"/>
        </w:rPr>
      </w:pPr>
      <w:r>
        <w:rPr>
          <w:rFonts w:ascii="Arial" w:cs="Arial" w:eastAsia="Arial" w:hAnsi="Arial"/>
          <w:sz w:val="13"/>
          <w:szCs w:val="13"/>
          <w:color w:val="auto"/>
        </w:rPr>
        <w:t>Share-based compensation expenses decreased from €4.9 million for the six months ended June 30, 2022 to €4.8 million for the six months ended June 30, 2023.</w:t>
      </w:r>
    </w:p>
    <w:p>
      <w:pPr>
        <w:spacing w:after="0" w:line="130" w:lineRule="exact"/>
        <w:rPr>
          <w:sz w:val="20"/>
          <w:szCs w:val="20"/>
          <w:color w:val="auto"/>
        </w:rPr>
      </w:pPr>
    </w:p>
    <w:p>
      <w:pPr>
        <w:ind w:left="640" w:right="679" w:firstLine="309"/>
        <w:spacing w:after="0" w:line="252" w:lineRule="auto"/>
        <w:rPr>
          <w:sz w:val="20"/>
          <w:szCs w:val="20"/>
          <w:color w:val="auto"/>
        </w:rPr>
      </w:pPr>
      <w:r>
        <w:rPr>
          <w:rFonts w:ascii="Arial" w:cs="Arial" w:eastAsia="Arial" w:hAnsi="Arial"/>
          <w:sz w:val="13"/>
          <w:szCs w:val="13"/>
          <w:color w:val="auto"/>
        </w:rPr>
        <w:t>Personnel related general and administrative expenses, excluding share-based compensation, increased from €5.2 million for the six months ended June 30, 2022 to €6.4 million for the six months ended June 30, 2023. The increase mainly resulted from an increased headcount in our finance, IT, human resources and communications functions.</w:t>
      </w:r>
    </w:p>
    <w:p>
      <w:pPr>
        <w:spacing w:after="0" w:line="136" w:lineRule="exact"/>
        <w:rPr>
          <w:sz w:val="20"/>
          <w:szCs w:val="20"/>
          <w:color w:val="auto"/>
        </w:rPr>
      </w:pPr>
    </w:p>
    <w:p>
      <w:pPr>
        <w:ind w:left="640" w:right="899" w:firstLine="309"/>
        <w:spacing w:after="0" w:line="302" w:lineRule="auto"/>
        <w:rPr>
          <w:sz w:val="20"/>
          <w:szCs w:val="20"/>
          <w:color w:val="auto"/>
        </w:rPr>
      </w:pPr>
      <w:r>
        <w:rPr>
          <w:rFonts w:ascii="Arial" w:cs="Arial" w:eastAsia="Arial" w:hAnsi="Arial"/>
          <w:sz w:val="12"/>
          <w:szCs w:val="12"/>
          <w:color w:val="auto"/>
        </w:rPr>
        <w:t>Professional and consulting fees decreased from €3.1 million for the six months ended June 30, 2022 to €2.7 million for the six months ended June 30, 2023. The decrease in professional and consulting fees resulted mainly from lower legal expenses and consulting expenses.</w:t>
      </w:r>
    </w:p>
    <w:p>
      <w:pPr>
        <w:spacing w:after="0" w:line="108" w:lineRule="exact"/>
        <w:rPr>
          <w:sz w:val="20"/>
          <w:szCs w:val="20"/>
          <w:color w:val="auto"/>
        </w:rPr>
      </w:pPr>
    </w:p>
    <w:p>
      <w:pPr>
        <w:ind w:left="640" w:right="899" w:firstLine="309"/>
        <w:spacing w:after="0" w:line="261" w:lineRule="auto"/>
        <w:rPr>
          <w:sz w:val="20"/>
          <w:szCs w:val="20"/>
          <w:color w:val="auto"/>
        </w:rPr>
      </w:pPr>
      <w:r>
        <w:rPr>
          <w:rFonts w:ascii="Arial" w:cs="Arial" w:eastAsia="Arial" w:hAnsi="Arial"/>
          <w:sz w:val="13"/>
          <w:szCs w:val="13"/>
          <w:color w:val="auto"/>
        </w:rPr>
        <w:t>Other external expenses increased from €4.8 million for the six months ended June 30, 2022 to €5.0 million for the six months ended June 30, 2023. The increase in other expenses mainly resulted from increased other operating expenses.</w:t>
      </w:r>
    </w:p>
    <w:p>
      <w:pPr>
        <w:spacing w:after="0" w:line="206" w:lineRule="exact"/>
        <w:rPr>
          <w:sz w:val="20"/>
          <w:szCs w:val="20"/>
          <w:color w:val="auto"/>
        </w:rPr>
      </w:pPr>
    </w:p>
    <w:p>
      <w:pPr>
        <w:ind w:left="940"/>
        <w:spacing w:after="0"/>
        <w:rPr>
          <w:sz w:val="20"/>
          <w:szCs w:val="20"/>
          <w:color w:val="auto"/>
        </w:rPr>
      </w:pPr>
      <w:r>
        <w:rPr>
          <w:rFonts w:ascii="Arial" w:cs="Arial" w:eastAsia="Arial" w:hAnsi="Arial"/>
          <w:sz w:val="13"/>
          <w:szCs w:val="13"/>
          <w:i w:val="1"/>
          <w:iCs w:val="1"/>
          <w:color w:val="auto"/>
        </w:rPr>
        <w:t>Other Financial Income and Other Financial Expenses</w:t>
      </w:r>
    </w:p>
    <w:p>
      <w:pPr>
        <w:spacing w:after="0" w:line="78" w:lineRule="exact"/>
        <w:rPr>
          <w:sz w:val="20"/>
          <w:szCs w:val="20"/>
          <w:color w:val="auto"/>
        </w:rPr>
      </w:pPr>
    </w:p>
    <w:p>
      <w:pPr>
        <w:ind w:left="940"/>
        <w:spacing w:after="0"/>
        <w:rPr>
          <w:sz w:val="20"/>
          <w:szCs w:val="20"/>
          <w:color w:val="auto"/>
        </w:rPr>
      </w:pPr>
      <w:r>
        <w:rPr>
          <w:rFonts w:ascii="Arial" w:cs="Arial" w:eastAsia="Arial" w:hAnsi="Arial"/>
          <w:sz w:val="11"/>
          <w:szCs w:val="11"/>
          <w:color w:val="auto"/>
        </w:rPr>
        <w:t>Other financial income decreased from €7.0 million for the three months ended June 30, 2022 to €4.0 million for the three months ended June 30,</w:t>
      </w:r>
    </w:p>
    <w:p>
      <w:pPr>
        <w:spacing w:after="0" w:line="3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2023. The decrease mainly resulted from lower foreign exchange gains.</w:t>
      </w:r>
    </w:p>
    <w:p>
      <w:pPr>
        <w:spacing w:after="0" w:line="145" w:lineRule="exact"/>
        <w:rPr>
          <w:sz w:val="20"/>
          <w:szCs w:val="20"/>
          <w:color w:val="auto"/>
        </w:rPr>
      </w:pPr>
    </w:p>
    <w:p>
      <w:pPr>
        <w:ind w:left="640" w:right="659" w:firstLine="309"/>
        <w:spacing w:after="0" w:line="261" w:lineRule="auto"/>
        <w:rPr>
          <w:sz w:val="20"/>
          <w:szCs w:val="20"/>
          <w:color w:val="auto"/>
        </w:rPr>
      </w:pPr>
      <w:r>
        <w:rPr>
          <w:rFonts w:ascii="Arial" w:cs="Arial" w:eastAsia="Arial" w:hAnsi="Arial"/>
          <w:sz w:val="13"/>
          <w:szCs w:val="13"/>
          <w:color w:val="auto"/>
        </w:rPr>
        <w:t>Other financial expenses increased from €0.4 million for the three months ended June 30, 2022 to €1.1 million for the three months ended June 30, 2023. The increase mainly resulted from higher foreign exchange losses.</w:t>
      </w:r>
    </w:p>
    <w:p>
      <w:pPr>
        <w:spacing w:after="0" w:line="130" w:lineRule="exact"/>
        <w:rPr>
          <w:sz w:val="20"/>
          <w:szCs w:val="20"/>
          <w:color w:val="auto"/>
        </w:rPr>
      </w:pPr>
    </w:p>
    <w:p>
      <w:pPr>
        <w:ind w:left="640" w:right="919" w:firstLine="309"/>
        <w:spacing w:after="0" w:line="261" w:lineRule="auto"/>
        <w:rPr>
          <w:sz w:val="20"/>
          <w:szCs w:val="20"/>
          <w:color w:val="auto"/>
        </w:rPr>
      </w:pPr>
      <w:r>
        <w:rPr>
          <w:rFonts w:ascii="Arial" w:cs="Arial" w:eastAsia="Arial" w:hAnsi="Arial"/>
          <w:sz w:val="13"/>
          <w:szCs w:val="13"/>
          <w:color w:val="auto"/>
        </w:rPr>
        <w:t>Other financial income decreased from €8.8 million for the six months ended June 30, 2022 to €6.7 million for the six months ended June 30, 2023. The decrease mainly resulted from lower foreign exchange gains.</w:t>
      </w:r>
    </w:p>
    <w:p>
      <w:pPr>
        <w:spacing w:after="0" w:line="130" w:lineRule="exact"/>
        <w:rPr>
          <w:sz w:val="20"/>
          <w:szCs w:val="20"/>
          <w:color w:val="auto"/>
        </w:rPr>
      </w:pPr>
    </w:p>
    <w:p>
      <w:pPr>
        <w:ind w:left="640" w:right="859" w:firstLine="309"/>
        <w:spacing w:after="0" w:line="261" w:lineRule="auto"/>
        <w:rPr>
          <w:sz w:val="20"/>
          <w:szCs w:val="20"/>
          <w:color w:val="auto"/>
        </w:rPr>
      </w:pPr>
      <w:r>
        <w:rPr>
          <w:rFonts w:ascii="Arial" w:cs="Arial" w:eastAsia="Arial" w:hAnsi="Arial"/>
          <w:sz w:val="13"/>
          <w:szCs w:val="13"/>
          <w:color w:val="auto"/>
        </w:rPr>
        <w:t>Other financial expenses increased from €1.5 million for the six months ended June 30, 2022 to €4.7 million for the six months ended June 30, 2023. The increase mainly resulted from higher foreign exchange losses.</w:t>
      </w:r>
    </w:p>
    <w:p>
      <w:pPr>
        <w:spacing w:after="0" w:line="206" w:lineRule="exact"/>
        <w:rPr>
          <w:sz w:val="20"/>
          <w:szCs w:val="20"/>
          <w:color w:val="auto"/>
        </w:rPr>
      </w:pPr>
    </w:p>
    <w:p>
      <w:pPr>
        <w:ind w:left="940"/>
        <w:spacing w:after="0"/>
        <w:rPr>
          <w:sz w:val="20"/>
          <w:szCs w:val="20"/>
          <w:color w:val="auto"/>
        </w:rPr>
      </w:pPr>
      <w:r>
        <w:rPr>
          <w:rFonts w:ascii="Arial" w:cs="Arial" w:eastAsia="Arial" w:hAnsi="Arial"/>
          <w:sz w:val="13"/>
          <w:szCs w:val="13"/>
          <w:i w:val="1"/>
          <w:iCs w:val="1"/>
          <w:color w:val="auto"/>
        </w:rPr>
        <w:t>Change in fair value of warrant liabilities</w:t>
      </w:r>
    </w:p>
    <w:p>
      <w:pPr>
        <w:spacing w:after="0" w:line="78" w:lineRule="exact"/>
        <w:rPr>
          <w:sz w:val="20"/>
          <w:szCs w:val="20"/>
          <w:color w:val="auto"/>
        </w:rPr>
      </w:pPr>
    </w:p>
    <w:p>
      <w:pPr>
        <w:ind w:left="640" w:right="699"/>
        <w:spacing w:after="0" w:line="283" w:lineRule="auto"/>
        <w:rPr>
          <w:sz w:val="20"/>
          <w:szCs w:val="20"/>
          <w:color w:val="auto"/>
        </w:rPr>
      </w:pPr>
      <w:r>
        <w:rPr>
          <w:rFonts w:ascii="Arial" w:cs="Arial" w:eastAsia="Arial" w:hAnsi="Arial"/>
          <w:sz w:val="12"/>
          <w:szCs w:val="12"/>
          <w:color w:val="auto"/>
        </w:rPr>
        <w:t>Subsequent to the Business Combination, there were 7,187,500 warrants outstanding, which were classified as financial liabilities through profit and loss. The warrants entitle the holder to purchase one ordinary share at an exercise price of $11.50 per share. The warrants will expire five years after the completion of the Business Combination or earlier upon redemption or liquidation in accordance with their terms.</w:t>
      </w:r>
    </w:p>
    <w:p>
      <w:pPr>
        <w:spacing w:after="0" w:line="118" w:lineRule="exact"/>
        <w:rPr>
          <w:sz w:val="20"/>
          <w:szCs w:val="20"/>
          <w:color w:val="auto"/>
        </w:rPr>
      </w:pPr>
    </w:p>
    <w:p>
      <w:pPr>
        <w:ind w:left="640" w:right="839" w:firstLine="309"/>
        <w:spacing w:after="0" w:line="283" w:lineRule="auto"/>
        <w:rPr>
          <w:sz w:val="20"/>
          <w:szCs w:val="20"/>
          <w:color w:val="auto"/>
        </w:rPr>
      </w:pPr>
      <w:r>
        <w:rPr>
          <w:rFonts w:ascii="Arial" w:cs="Arial" w:eastAsia="Arial" w:hAnsi="Arial"/>
          <w:sz w:val="12"/>
          <w:szCs w:val="12"/>
          <w:color w:val="auto"/>
        </w:rPr>
        <w:t>The fair value of the warrants decreased from €2.35 ($2.51) per warrant as of December 31, 2022 to €1.32 ($1.44) as of March 31, 2023 and increased to €3.15 ($3.42) as of June 30, 2023. The result is an increase in fair value of warrant liabilities of €13.1 million for the three months ended June 30, 2023 and an increase in fair value of warrant liabilities of €5.7 million for the six months ended June 30, 2023.</w:t>
      </w:r>
    </w:p>
    <w:p>
      <w:pPr>
        <w:spacing w:after="0" w:line="118" w:lineRule="exact"/>
        <w:rPr>
          <w:sz w:val="20"/>
          <w:szCs w:val="20"/>
          <w:color w:val="auto"/>
        </w:rPr>
      </w:pPr>
    </w:p>
    <w:p>
      <w:pPr>
        <w:ind w:left="640" w:right="899" w:firstLine="309"/>
        <w:spacing w:after="0" w:line="283" w:lineRule="auto"/>
        <w:rPr>
          <w:sz w:val="20"/>
          <w:szCs w:val="20"/>
          <w:color w:val="auto"/>
        </w:rPr>
      </w:pPr>
      <w:r>
        <w:rPr>
          <w:rFonts w:ascii="Arial" w:cs="Arial" w:eastAsia="Arial" w:hAnsi="Arial"/>
          <w:sz w:val="12"/>
          <w:szCs w:val="12"/>
          <w:color w:val="auto"/>
        </w:rPr>
        <w:t>The fair value of the warrants decreased from €3.88 ($4.39) per warrant as of December 31, 2021 to €1.58 ($1.75) as of March 31, 2022 and increased to €1.96 ($2.04) as of June 30, 2022. The result is an increase in fair value of warrant liabilities of €2.8 million for the three months ended June 30, 2022 and a decrease in fair value of warrant liabilities of €13.7 million for the six months ended June 30, 2022.</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Liquidity and Capital Resources</w:t>
      </w:r>
    </w:p>
    <w:p>
      <w:pPr>
        <w:spacing w:after="0" w:line="78"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Sources of Liquidity</w:t>
      </w:r>
    </w:p>
    <w:p>
      <w:pPr>
        <w:spacing w:after="0" w:line="82" w:lineRule="exact"/>
        <w:rPr>
          <w:sz w:val="20"/>
          <w:szCs w:val="20"/>
          <w:color w:val="auto"/>
        </w:rPr>
      </w:pPr>
    </w:p>
    <w:p>
      <w:pPr>
        <w:ind w:left="640" w:right="679" w:firstLine="309"/>
        <w:spacing w:after="0" w:line="252" w:lineRule="auto"/>
        <w:rPr>
          <w:sz w:val="20"/>
          <w:szCs w:val="20"/>
          <w:color w:val="auto"/>
        </w:rPr>
      </w:pPr>
      <w:r>
        <w:rPr>
          <w:rFonts w:ascii="Arial" w:cs="Arial" w:eastAsia="Arial" w:hAnsi="Arial"/>
          <w:sz w:val="13"/>
          <w:szCs w:val="13"/>
          <w:color w:val="auto"/>
        </w:rPr>
        <w:t>We have incurred losses since inception, with the exception of the year ended December 31, 2022. We have negative cash flows from operations for the six months ended June 30, 2023 and positive cash flows from operations for the six months ended June 30, 2022. As of June 30, 2023, we had an accumulated deficit of €544.7 million.</w:t>
      </w:r>
    </w:p>
    <w:p>
      <w:pPr>
        <w:sectPr>
          <w:pgSz w:w="11900" w:h="16838" w:orient="portrait"/>
          <w:cols w:equalWidth="0" w:num="1">
            <w:col w:w="9019"/>
          </w:cols>
          <w:pgMar w:left="1440" w:top="254" w:right="1440" w:bottom="1440" w:gutter="0" w:footer="0" w:header="0"/>
        </w:sectPr>
      </w:pPr>
    </w:p>
    <w:bookmarkStart w:id="28" w:name="page29"/>
    <w:bookmarkEnd w:id="28"/>
    <w:p>
      <w:pPr>
        <w:ind w:left="640" w:right="1019" w:firstLine="309"/>
        <w:spacing w:after="0" w:line="25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We have funded our operations primarily from public offerings and private placements of our ordinary shares, upfront payments from collaborations agreements, and the net proceeds generated from the ARYA Merger and PIPE Financing that closed on July 1, 2020 and our public offering in October 2022.</w:t>
      </w:r>
    </w:p>
    <w:p>
      <w:pPr>
        <w:spacing w:after="0" w:line="136" w:lineRule="exact"/>
        <w:rPr>
          <w:sz w:val="20"/>
          <w:szCs w:val="20"/>
          <w:color w:val="auto"/>
        </w:rPr>
      </w:pPr>
    </w:p>
    <w:p>
      <w:pPr>
        <w:ind w:left="940"/>
        <w:spacing w:after="0"/>
        <w:rPr>
          <w:sz w:val="20"/>
          <w:szCs w:val="20"/>
          <w:color w:val="auto"/>
        </w:rPr>
      </w:pPr>
      <w:r>
        <w:rPr>
          <w:rFonts w:ascii="Arial" w:cs="Arial" w:eastAsia="Arial" w:hAnsi="Arial"/>
          <w:sz w:val="13"/>
          <w:szCs w:val="13"/>
          <w:color w:val="auto"/>
        </w:rPr>
        <w:t>Cash and cash equivalents decreased from €148.5 million as of December 31, 2022 to €130.4 million as of June 30, 2023.</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1"/>
          <w:szCs w:val="11"/>
          <w:color w:val="auto"/>
        </w:rPr>
        <w:t>We received a €13.7 million Opt-in payment from our collaboration partner BMS during the three months ended June 30, 2023. We received</w:t>
      </w:r>
    </w:p>
    <w:p>
      <w:pPr>
        <w:spacing w:after="0" w:line="34" w:lineRule="exact"/>
        <w:rPr>
          <w:sz w:val="20"/>
          <w:szCs w:val="20"/>
          <w:color w:val="auto"/>
        </w:rPr>
      </w:pPr>
    </w:p>
    <w:p>
      <w:pPr>
        <w:ind w:left="640"/>
        <w:spacing w:after="0"/>
        <w:rPr>
          <w:sz w:val="20"/>
          <w:szCs w:val="20"/>
          <w:color w:val="auto"/>
        </w:rPr>
      </w:pPr>
      <w:r>
        <w:rPr>
          <w:rFonts w:ascii="Arial" w:cs="Arial" w:eastAsia="Arial" w:hAnsi="Arial"/>
          <w:sz w:val="11"/>
          <w:szCs w:val="11"/>
          <w:color w:val="auto"/>
        </w:rPr>
        <w:t>€212.4 million in connection with the strategic collaboration agreements with BMS and €106.2 million from a public offering of 10,905,000 ordinary</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shares during the year ended December 31, 2022.</w:t>
      </w:r>
    </w:p>
    <w:p>
      <w:pPr>
        <w:spacing w:after="0" w:line="145" w:lineRule="exact"/>
        <w:rPr>
          <w:sz w:val="20"/>
          <w:szCs w:val="20"/>
          <w:color w:val="auto"/>
        </w:rPr>
      </w:pPr>
    </w:p>
    <w:p>
      <w:pPr>
        <w:ind w:left="640" w:right="739" w:firstLine="309"/>
        <w:spacing w:after="0" w:line="303" w:lineRule="auto"/>
        <w:rPr>
          <w:sz w:val="20"/>
          <w:szCs w:val="20"/>
          <w:color w:val="auto"/>
        </w:rPr>
      </w:pPr>
      <w:r>
        <w:rPr>
          <w:rFonts w:ascii="Arial" w:cs="Arial" w:eastAsia="Arial" w:hAnsi="Arial"/>
          <w:sz w:val="11"/>
          <w:szCs w:val="11"/>
          <w:color w:val="auto"/>
        </w:rPr>
        <w:t>We believe our existing cash, cash equivalents and other financial assets will be sufficient to fund our operating expenses and capital expenditure requirements through at least the next 12 months. We may consider raising additional capital to pursue strategic investments, to take advantage of financing opportunities or for other reasons. Additionally, in 2021, we established an at-the-market (“ATM”) offering program pursuant to which we may, from time to time, issue and sell shares that have an aggregate offering price of $100 million. For the six months ended June 30, 2023, 3.7 million shares had been sold under the ATM agreement with SVB Securities LLC and collected a gross amount of €38.6 million ($41.8 million).</w:t>
      </w:r>
    </w:p>
    <w:p>
      <w:pPr>
        <w:spacing w:after="0" w:line="111" w:lineRule="exact"/>
        <w:rPr>
          <w:sz w:val="20"/>
          <w:szCs w:val="20"/>
          <w:color w:val="auto"/>
        </w:rPr>
      </w:pPr>
    </w:p>
    <w:p>
      <w:pPr>
        <w:ind w:left="640" w:right="919" w:firstLine="309"/>
        <w:spacing w:after="0" w:line="261" w:lineRule="auto"/>
        <w:rPr>
          <w:sz w:val="20"/>
          <w:szCs w:val="20"/>
          <w:color w:val="auto"/>
        </w:rPr>
      </w:pPr>
      <w:r>
        <w:rPr>
          <w:rFonts w:ascii="Arial" w:cs="Arial" w:eastAsia="Arial" w:hAnsi="Arial"/>
          <w:sz w:val="13"/>
          <w:szCs w:val="13"/>
          <w:color w:val="auto"/>
        </w:rPr>
        <w:t>The Company closed a private placement transaction of 2,419,818 ordinary shares with a subscription price of $14.46 per ordinary share with BMS and received gross proceeds of approximately $35 million after the reporting period.</w:t>
      </w:r>
    </w:p>
    <w:p>
      <w:pPr>
        <w:spacing w:after="0" w:line="130" w:lineRule="exact"/>
        <w:rPr>
          <w:sz w:val="20"/>
          <w:szCs w:val="20"/>
          <w:color w:val="auto"/>
        </w:rPr>
      </w:pPr>
    </w:p>
    <w:p>
      <w:pPr>
        <w:ind w:left="640" w:right="659" w:firstLine="309"/>
        <w:spacing w:after="0" w:line="300" w:lineRule="auto"/>
        <w:rPr>
          <w:sz w:val="20"/>
          <w:szCs w:val="20"/>
          <w:color w:val="auto"/>
        </w:rPr>
      </w:pPr>
      <w:r>
        <w:rPr>
          <w:rFonts w:ascii="Arial" w:cs="Arial" w:eastAsia="Arial" w:hAnsi="Arial"/>
          <w:sz w:val="11"/>
          <w:szCs w:val="11"/>
          <w:color w:val="auto"/>
        </w:rPr>
        <w:t>We plan to utilize the existing Cash, cash equivalents and Other financial assets on hand primarily to fund our operating activities associated with our research and development initiatives to continue or commence clinical trials and seek regulatory approval for our product candidates. We also expect to make capital expenditures in the near term related to the expansion of our laboratory spaces in Tübingen, Germany and our new GMP manufacturing facility in Houston metropolitan area, Texas and expect to continue investing in laboratory and manufacturing equipment and operations to support our anticipated growth. Cash in excess of immediate requirements is invested in accordance with our investment policy with an emphasis on liquidity and capital preservation and consist primarily of cash in banks, short-term deposits and AAA rated bonds.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Cash Flows</w:t>
      </w:r>
    </w:p>
    <w:p>
      <w:pPr>
        <w:spacing w:after="0" w:line="82" w:lineRule="exact"/>
        <w:rPr>
          <w:sz w:val="20"/>
          <w:szCs w:val="20"/>
          <w:color w:val="auto"/>
        </w:rPr>
      </w:pPr>
    </w:p>
    <w:p>
      <w:pPr>
        <w:ind w:left="940"/>
        <w:spacing w:after="0"/>
        <w:rPr>
          <w:sz w:val="20"/>
          <w:szCs w:val="20"/>
          <w:color w:val="auto"/>
        </w:rPr>
      </w:pPr>
      <w:r>
        <w:rPr>
          <w:rFonts w:ascii="Arial" w:cs="Arial" w:eastAsia="Arial" w:hAnsi="Arial"/>
          <w:sz w:val="13"/>
          <w:szCs w:val="13"/>
          <w:color w:val="auto"/>
        </w:rPr>
        <w:t>The following table summarizes our cash flows for each period presented:</w:t>
      </w:r>
    </w:p>
    <w:p>
      <w:pPr>
        <w:spacing w:after="0" w:line="167" w:lineRule="exact"/>
        <w:rPr>
          <w:sz w:val="20"/>
          <w:szCs w:val="20"/>
          <w:color w:val="auto"/>
        </w:rPr>
      </w:pPr>
    </w:p>
    <w:tbl>
      <w:tblPr>
        <w:tblLayout w:type="fixed"/>
        <w:tblInd w:w="1560" w:type="dxa"/>
        <w:tblCellMar>
          <w:top w:w="0" w:type="dxa"/>
          <w:left w:w="0" w:type="dxa"/>
          <w:bottom w:w="0" w:type="dxa"/>
          <w:right w:w="0" w:type="dxa"/>
        </w:tblCellMar>
      </w:tblPr>
      <w:tr>
        <w:trPr>
          <w:trHeight w:val="119"/>
        </w:trPr>
        <w:tc>
          <w:tcPr>
            <w:tcW w:w="4620" w:type="dxa"/>
            <w:vAlign w:val="bottom"/>
          </w:tcPr>
          <w:p>
            <w:pPr>
              <w:spacing w:after="0"/>
              <w:rPr>
                <w:sz w:val="10"/>
                <w:szCs w:val="10"/>
                <w:color w:val="auto"/>
              </w:rPr>
            </w:pPr>
          </w:p>
        </w:tc>
        <w:tc>
          <w:tcPr>
            <w:tcW w:w="1260" w:type="dxa"/>
            <w:vAlign w:val="bottom"/>
            <w:gridSpan w:val="4"/>
          </w:tcPr>
          <w:p>
            <w:pPr>
              <w:jc w:val="right"/>
              <w:ind w:right="80"/>
              <w:spacing w:after="0"/>
              <w:rPr>
                <w:sz w:val="20"/>
                <w:szCs w:val="20"/>
                <w:color w:val="auto"/>
              </w:rPr>
            </w:pPr>
            <w:r>
              <w:rPr>
                <w:rFonts w:ascii="Arial" w:cs="Arial" w:eastAsia="Arial" w:hAnsi="Arial"/>
                <w:sz w:val="10"/>
                <w:szCs w:val="10"/>
                <w:b w:val="1"/>
                <w:bCs w:val="1"/>
                <w:color w:val="auto"/>
                <w:w w:val="89"/>
              </w:rPr>
              <w:t>Six Months Ended June 30,</w:t>
            </w:r>
          </w:p>
        </w:tc>
        <w:tc>
          <w:tcPr>
            <w:tcW w:w="0" w:type="dxa"/>
            <w:vAlign w:val="bottom"/>
          </w:tcPr>
          <w:p>
            <w:pPr>
              <w:spacing w:after="0"/>
              <w:rPr>
                <w:sz w:val="1"/>
                <w:szCs w:val="1"/>
                <w:color w:val="auto"/>
              </w:rPr>
            </w:pPr>
          </w:p>
        </w:tc>
      </w:tr>
      <w:tr>
        <w:trPr>
          <w:trHeight w:val="94"/>
        </w:trPr>
        <w:tc>
          <w:tcPr>
            <w:tcW w:w="4620" w:type="dxa"/>
            <w:vAlign w:val="bottom"/>
            <w:vMerge w:val="restart"/>
          </w:tcPr>
          <w:p>
            <w:pPr>
              <w:spacing w:after="0"/>
              <w:rPr>
                <w:sz w:val="20"/>
                <w:szCs w:val="20"/>
                <w:color w:val="auto"/>
              </w:rPr>
            </w:pPr>
            <w:r>
              <w:rPr>
                <w:rFonts w:ascii="Arial" w:cs="Arial" w:eastAsia="Arial" w:hAnsi="Arial"/>
                <w:sz w:val="10"/>
                <w:szCs w:val="10"/>
                <w:b w:val="1"/>
                <w:bCs w:val="1"/>
                <w:color w:val="auto"/>
              </w:rPr>
              <w:t>(Euros in thousands)</w:t>
            </w:r>
          </w:p>
        </w:tc>
        <w:tc>
          <w:tcPr>
            <w:tcW w:w="500" w:type="dxa"/>
            <w:vAlign w:val="bottom"/>
            <w:tcBorders>
              <w:top w:val="single" w:sz="8" w:color="auto"/>
              <w:bottom w:val="single" w:sz="8" w:color="auto"/>
            </w:tcBorders>
          </w:tcPr>
          <w:p>
            <w:pPr>
              <w:jc w:val="right"/>
              <w:ind w:right="101"/>
              <w:spacing w:after="0" w:line="94" w:lineRule="exact"/>
              <w:rPr>
                <w:sz w:val="20"/>
                <w:szCs w:val="20"/>
                <w:color w:val="auto"/>
              </w:rPr>
            </w:pPr>
            <w:r>
              <w:rPr>
                <w:rFonts w:ascii="Arial" w:cs="Arial" w:eastAsia="Arial" w:hAnsi="Arial"/>
                <w:sz w:val="10"/>
                <w:szCs w:val="10"/>
                <w:b w:val="1"/>
                <w:bCs w:val="1"/>
                <w:color w:val="auto"/>
              </w:rPr>
              <w:t>2023</w:t>
            </w:r>
          </w:p>
        </w:tc>
        <w:tc>
          <w:tcPr>
            <w:tcW w:w="160" w:type="dxa"/>
            <w:vAlign w:val="bottom"/>
            <w:tcBorders>
              <w:top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99"/>
              <w:spacing w:after="0" w:line="94" w:lineRule="exact"/>
              <w:rPr>
                <w:sz w:val="20"/>
                <w:szCs w:val="20"/>
                <w:color w:val="auto"/>
              </w:rPr>
            </w:pPr>
            <w:r>
              <w:rPr>
                <w:rFonts w:ascii="Arial" w:cs="Arial" w:eastAsia="Arial" w:hAnsi="Arial"/>
                <w:sz w:val="10"/>
                <w:szCs w:val="10"/>
                <w:b w:val="1"/>
                <w:bCs w:val="1"/>
                <w:color w:val="auto"/>
              </w:rPr>
              <w:t>2022</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6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46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cash provided by / (used in):</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620" w:type="dxa"/>
            <w:vAlign w:val="bottom"/>
          </w:tcPr>
          <w:p>
            <w:pPr>
              <w:ind w:left="260"/>
              <w:spacing w:after="0"/>
              <w:rPr>
                <w:sz w:val="20"/>
                <w:szCs w:val="20"/>
                <w:color w:val="auto"/>
              </w:rPr>
            </w:pPr>
            <w:r>
              <w:rPr>
                <w:rFonts w:ascii="Arial" w:cs="Arial" w:eastAsia="Arial" w:hAnsi="Arial"/>
                <w:sz w:val="13"/>
                <w:szCs w:val="13"/>
                <w:color w:val="auto"/>
              </w:rPr>
              <w:t>Operating activities*</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(30,323)</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155,773</w:t>
            </w:r>
          </w:p>
        </w:tc>
        <w:tc>
          <w:tcPr>
            <w:tcW w:w="0" w:type="dxa"/>
            <w:vAlign w:val="bottom"/>
          </w:tcPr>
          <w:p>
            <w:pPr>
              <w:spacing w:after="0"/>
              <w:rPr>
                <w:sz w:val="1"/>
                <w:szCs w:val="1"/>
                <w:color w:val="auto"/>
              </w:rPr>
            </w:pPr>
          </w:p>
        </w:tc>
      </w:tr>
      <w:tr>
        <w:trPr>
          <w:trHeight w:val="152"/>
        </w:trPr>
        <w:tc>
          <w:tcPr>
            <w:tcW w:w="46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Investing activities</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(20,555)</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(48,528)</w:t>
            </w:r>
          </w:p>
        </w:tc>
        <w:tc>
          <w:tcPr>
            <w:tcW w:w="0" w:type="dxa"/>
            <w:vAlign w:val="bottom"/>
          </w:tcPr>
          <w:p>
            <w:pPr>
              <w:spacing w:after="0"/>
              <w:rPr>
                <w:sz w:val="1"/>
                <w:szCs w:val="1"/>
                <w:color w:val="auto"/>
              </w:rPr>
            </w:pPr>
          </w:p>
        </w:tc>
      </w:tr>
      <w:tr>
        <w:trPr>
          <w:trHeight w:val="152"/>
        </w:trPr>
        <w:tc>
          <w:tcPr>
            <w:tcW w:w="4620" w:type="dxa"/>
            <w:vAlign w:val="bottom"/>
          </w:tcPr>
          <w:p>
            <w:pPr>
              <w:ind w:left="260"/>
              <w:spacing w:after="0"/>
              <w:rPr>
                <w:sz w:val="20"/>
                <w:szCs w:val="20"/>
                <w:color w:val="auto"/>
              </w:rPr>
            </w:pPr>
            <w:r>
              <w:rPr>
                <w:rFonts w:ascii="Arial" w:cs="Arial" w:eastAsia="Arial" w:hAnsi="Arial"/>
                <w:sz w:val="13"/>
                <w:szCs w:val="13"/>
                <w:color w:val="auto"/>
              </w:rPr>
              <w:t>Financing activities</w:t>
            </w:r>
          </w:p>
        </w:tc>
        <w:tc>
          <w:tcPr>
            <w:tcW w:w="500" w:type="dxa"/>
            <w:vAlign w:val="bottom"/>
          </w:tcPr>
          <w:p>
            <w:pPr>
              <w:jc w:val="right"/>
              <w:spacing w:after="0"/>
              <w:rPr>
                <w:sz w:val="20"/>
                <w:szCs w:val="20"/>
                <w:color w:val="auto"/>
              </w:rPr>
            </w:pPr>
            <w:r>
              <w:rPr>
                <w:rFonts w:ascii="Arial" w:cs="Arial" w:eastAsia="Arial" w:hAnsi="Arial"/>
                <w:sz w:val="13"/>
                <w:szCs w:val="13"/>
                <w:color w:val="auto"/>
              </w:rPr>
              <w:t>35,585</w:t>
            </w:r>
          </w:p>
        </w:tc>
        <w:tc>
          <w:tcPr>
            <w:tcW w:w="1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15,203</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6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(15,293)</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122,448</w:t>
            </w:r>
          </w:p>
        </w:tc>
        <w:tc>
          <w:tcPr>
            <w:tcW w:w="0" w:type="dxa"/>
            <w:vAlign w:val="bottom"/>
          </w:tcPr>
          <w:p>
            <w:pPr>
              <w:spacing w:after="0"/>
              <w:rPr>
                <w:sz w:val="1"/>
                <w:szCs w:val="1"/>
                <w:color w:val="auto"/>
              </w:rPr>
            </w:pPr>
          </w:p>
        </w:tc>
      </w:tr>
      <w:tr>
        <w:trPr>
          <w:trHeight w:val="28"/>
        </w:trPr>
        <w:tc>
          <w:tcPr>
            <w:tcW w:w="46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780" w:right="779" w:hanging="143"/>
        <w:spacing w:after="0" w:line="252" w:lineRule="auto"/>
        <w:tabs>
          <w:tab w:leader="none" w:pos="780" w:val="left"/>
        </w:tabs>
        <w:numPr>
          <w:ilvl w:val="0"/>
          <w:numId w:val="12"/>
        </w:numPr>
        <w:rPr>
          <w:rFonts w:ascii="Arial" w:cs="Arial" w:eastAsia="Arial" w:hAnsi="Arial"/>
          <w:sz w:val="13"/>
          <w:szCs w:val="13"/>
          <w:i w:val="1"/>
          <w:iCs w:val="1"/>
          <w:color w:val="auto"/>
        </w:rPr>
      </w:pPr>
      <w:r>
        <w:rPr>
          <w:rFonts w:ascii="Arial" w:cs="Arial" w:eastAsia="Arial" w:hAnsi="Arial"/>
          <w:sz w:val="13"/>
          <w:szCs w:val="13"/>
          <w:color w:val="auto"/>
        </w:rPr>
        <w:t>See Note 3 of the Notes to the Unaudited Condensed Consolidated Financial Statements of Immatics N.V. for details regarding the revision of prior period numbers as a result of a correction in presentation of net foreign exchange differences and effects of exchange rate changes on cash and cash equivalents</w:t>
      </w:r>
    </w:p>
    <w:p>
      <w:pPr>
        <w:spacing w:after="0" w:line="211" w:lineRule="exact"/>
        <w:rPr>
          <w:sz w:val="20"/>
          <w:szCs w:val="20"/>
          <w:color w:val="auto"/>
        </w:rPr>
      </w:pPr>
    </w:p>
    <w:p>
      <w:pPr>
        <w:ind w:left="940"/>
        <w:spacing w:after="0"/>
        <w:rPr>
          <w:sz w:val="20"/>
          <w:szCs w:val="20"/>
          <w:color w:val="auto"/>
        </w:rPr>
      </w:pPr>
      <w:r>
        <w:rPr>
          <w:rFonts w:ascii="Arial" w:cs="Arial" w:eastAsia="Arial" w:hAnsi="Arial"/>
          <w:sz w:val="13"/>
          <w:szCs w:val="13"/>
          <w:i w:val="1"/>
          <w:iCs w:val="1"/>
          <w:color w:val="auto"/>
        </w:rPr>
        <w:t>Operating Activities</w:t>
      </w:r>
    </w:p>
    <w:p>
      <w:pPr>
        <w:spacing w:after="0" w:line="78" w:lineRule="exact"/>
        <w:rPr>
          <w:sz w:val="20"/>
          <w:szCs w:val="20"/>
          <w:color w:val="auto"/>
        </w:rPr>
      </w:pPr>
    </w:p>
    <w:p>
      <w:pPr>
        <w:ind w:left="640" w:right="659" w:firstLine="309"/>
        <w:spacing w:after="0" w:line="247" w:lineRule="auto"/>
        <w:rPr>
          <w:sz w:val="20"/>
          <w:szCs w:val="20"/>
          <w:color w:val="auto"/>
        </w:rPr>
      </w:pPr>
      <w:r>
        <w:rPr>
          <w:rFonts w:ascii="Arial" w:cs="Arial" w:eastAsia="Arial" w:hAnsi="Arial"/>
          <w:sz w:val="13"/>
          <w:szCs w:val="13"/>
          <w:color w:val="auto"/>
        </w:rPr>
        <w:t>We primarily derive cash from our collaboration agreements. Our cash used in operating activities is significantly influenced by our use of cash for operating expenses and working capital to support the business. Historically we experienced negative cash flows from operating activities as we have invested in the development of our technologies in our clinical and preclinical development of our product candidates. During the six months ended June 30, 2022, our cash flow from operating activities was positive, as we received an upfront payment from our collaboration partner BMS under the BMS IMA401 collaboration agreement.</w:t>
      </w:r>
    </w:p>
    <w:p>
      <w:pPr>
        <w:spacing w:after="0" w:line="141" w:lineRule="exact"/>
        <w:rPr>
          <w:sz w:val="20"/>
          <w:szCs w:val="20"/>
          <w:color w:val="auto"/>
        </w:rPr>
      </w:pPr>
    </w:p>
    <w:p>
      <w:pPr>
        <w:ind w:left="940"/>
        <w:spacing w:after="0"/>
        <w:rPr>
          <w:sz w:val="20"/>
          <w:szCs w:val="20"/>
          <w:color w:val="auto"/>
        </w:rPr>
      </w:pPr>
      <w:r>
        <w:rPr>
          <w:rFonts w:ascii="Arial" w:cs="Arial" w:eastAsia="Arial" w:hAnsi="Arial"/>
          <w:sz w:val="12"/>
          <w:szCs w:val="12"/>
          <w:color w:val="auto"/>
        </w:rPr>
        <w:t>Our net cash outflow from operating activities for the six months ended June, 2023 was €30.3 million. This was comprised of a loss of</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2"/>
          <w:szCs w:val="12"/>
          <w:color w:val="auto"/>
        </w:rPr>
        <w:t>€44.4 million, an increase in working capital of €8.3 million and other effects of €2.7 million related to accrued interest income, partly offset by</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1"/>
          <w:szCs w:val="11"/>
          <w:color w:val="auto"/>
        </w:rPr>
        <w:t>non-cash expense of €5.7 million related to the change in fair value of the warrants, non-cash charges from equity settled share-based compensation</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1"/>
          <w:szCs w:val="11"/>
          <w:color w:val="auto"/>
        </w:rPr>
        <w:t>expenses for employees of €11.6 million, depreciation and amortization charge of €3.7 million and net foreign exchange differences and expected credit</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1"/>
          <w:szCs w:val="11"/>
          <w:color w:val="auto"/>
        </w:rPr>
        <w:t>losses of €4.1 million. The increase in working capital mainly resulted from a decrease in deferred revenue, accounts payable and other liabilities of</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2"/>
          <w:szCs w:val="12"/>
          <w:color w:val="auto"/>
        </w:rPr>
        <w:t>€9.9 million, partly offset by a decrease in accounts receivable of €0.8 million and a decrease in other assets and prepayments of €0.8 million.</w:t>
      </w:r>
    </w:p>
    <w:p>
      <w:pPr>
        <w:sectPr>
          <w:pgSz w:w="11900" w:h="16838" w:orient="portrait"/>
          <w:cols w:equalWidth="0" w:num="1">
            <w:col w:w="9019"/>
          </w:cols>
          <w:pgMar w:left="1440" w:top="254" w:right="1440" w:bottom="1440" w:gutter="0" w:footer="0" w:header="0"/>
        </w:sectPr>
      </w:pPr>
    </w:p>
    <w:bookmarkStart w:id="29" w:name="page30"/>
    <w:bookmarkEnd w:id="29"/>
    <w:p>
      <w:pPr>
        <w:ind w:left="94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Our net cash inflow from operating activities for the six months ended June, 2022 was €155.8 million. This was comprised of a net profit of</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1"/>
          <w:szCs w:val="11"/>
          <w:color w:val="auto"/>
        </w:rPr>
        <w:t>€71.7 million, a decrease in working capital of €90.9 million, non-cash charges from equity settled share-based compensation expenses for employees of</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1"/>
          <w:szCs w:val="11"/>
          <w:color w:val="auto"/>
        </w:rPr>
        <w:t>€11.3 million and depreciation and amortization charge of €3.4 million, partly offset by a non-cash income of €13.7 million related to the change in fair</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1"/>
          <w:szCs w:val="11"/>
          <w:color w:val="auto"/>
        </w:rPr>
        <w:t>value of the warrants and net foreign exchange differences and expected credit losses of €7.8 million. The decrease in working capital mainly resulted</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2"/>
          <w:szCs w:val="12"/>
          <w:color w:val="auto"/>
        </w:rPr>
        <w:t>from an increase in deferred revenue, accounts payable and other liabilities of €98.1 million, partly offset by an increase in accounts receivable of</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€0.3 million and a decrease in other assets and prepayments of €6.9 million.</w:t>
      </w:r>
    </w:p>
    <w:p>
      <w:pPr>
        <w:spacing w:after="0" w:line="221" w:lineRule="exact"/>
        <w:rPr>
          <w:sz w:val="20"/>
          <w:szCs w:val="20"/>
          <w:color w:val="auto"/>
        </w:rPr>
      </w:pPr>
    </w:p>
    <w:p>
      <w:pPr>
        <w:ind w:left="940"/>
        <w:spacing w:after="0"/>
        <w:rPr>
          <w:sz w:val="20"/>
          <w:szCs w:val="20"/>
          <w:color w:val="auto"/>
        </w:rPr>
      </w:pPr>
      <w:r>
        <w:rPr>
          <w:rFonts w:ascii="Arial" w:cs="Arial" w:eastAsia="Arial" w:hAnsi="Arial"/>
          <w:sz w:val="13"/>
          <w:szCs w:val="13"/>
          <w:i w:val="1"/>
          <w:iCs w:val="1"/>
          <w:color w:val="auto"/>
        </w:rPr>
        <w:t>Investing Activities</w:t>
      </w:r>
    </w:p>
    <w:p>
      <w:pPr>
        <w:spacing w:after="0" w:line="78" w:lineRule="exact"/>
        <w:rPr>
          <w:sz w:val="20"/>
          <w:szCs w:val="20"/>
          <w:color w:val="auto"/>
        </w:rPr>
      </w:pPr>
    </w:p>
    <w:p>
      <w:pPr>
        <w:ind w:left="640" w:right="719" w:firstLine="309"/>
        <w:spacing w:after="0" w:line="249" w:lineRule="auto"/>
        <w:rPr>
          <w:sz w:val="20"/>
          <w:szCs w:val="20"/>
          <w:color w:val="auto"/>
        </w:rPr>
      </w:pPr>
      <w:r>
        <w:rPr>
          <w:rFonts w:ascii="Arial" w:cs="Arial" w:eastAsia="Arial" w:hAnsi="Arial"/>
          <w:sz w:val="13"/>
          <w:szCs w:val="13"/>
          <w:color w:val="auto"/>
        </w:rPr>
        <w:t>Our net outflow of cash from investing activities for the six months ended June 30, 2023 was €20.6 million. This consisted primarily of cash paid in the amount of €170.3 million for short-term deposit investments that are classified as Other financial assets and held with financial institutions to finance the company, €15.2 million as payment for new equipment and intangible assets, partially offset by cash received from maturity of bonds and short-term deposits of €164.9 million.</w:t>
      </w:r>
    </w:p>
    <w:p>
      <w:pPr>
        <w:spacing w:after="0" w:line="138" w:lineRule="exact"/>
        <w:rPr>
          <w:sz w:val="20"/>
          <w:szCs w:val="20"/>
          <w:color w:val="auto"/>
        </w:rPr>
      </w:pPr>
    </w:p>
    <w:p>
      <w:pPr>
        <w:ind w:left="640" w:right="719" w:firstLine="309"/>
        <w:spacing w:after="0" w:line="320" w:lineRule="auto"/>
        <w:rPr>
          <w:sz w:val="20"/>
          <w:szCs w:val="20"/>
          <w:color w:val="auto"/>
        </w:rPr>
      </w:pPr>
      <w:r>
        <w:rPr>
          <w:rFonts w:ascii="Arial" w:cs="Arial" w:eastAsia="Arial" w:hAnsi="Arial"/>
          <w:sz w:val="11"/>
          <w:szCs w:val="11"/>
          <w:color w:val="auto"/>
        </w:rPr>
        <w:t>Our net outflow of cash from investing activities for the six months ended June 30, 2022 was €48.5 million. This consisted primarily of cash paid in the amount of €59.2 million for bond investments that are classified as Other financial assets and held with financial institutions to finance the company, €2.0 million as payment for new equipment and intangible assets, partially offset by cash received from maturity of bonds of €12.7 million.</w:t>
      </w:r>
    </w:p>
    <w:p>
      <w:pPr>
        <w:spacing w:after="0" w:line="176" w:lineRule="exact"/>
        <w:rPr>
          <w:sz w:val="20"/>
          <w:szCs w:val="20"/>
          <w:color w:val="auto"/>
        </w:rPr>
      </w:pPr>
    </w:p>
    <w:p>
      <w:pPr>
        <w:ind w:left="940"/>
        <w:spacing w:after="0"/>
        <w:rPr>
          <w:sz w:val="20"/>
          <w:szCs w:val="20"/>
          <w:color w:val="auto"/>
        </w:rPr>
      </w:pPr>
      <w:r>
        <w:rPr>
          <w:rFonts w:ascii="Arial" w:cs="Arial" w:eastAsia="Arial" w:hAnsi="Arial"/>
          <w:sz w:val="13"/>
          <w:szCs w:val="13"/>
          <w:i w:val="1"/>
          <w:iCs w:val="1"/>
          <w:color w:val="auto"/>
        </w:rPr>
        <w:t>Financing Activities</w:t>
      </w:r>
    </w:p>
    <w:p>
      <w:pPr>
        <w:spacing w:after="0" w:line="78" w:lineRule="exact"/>
        <w:rPr>
          <w:sz w:val="20"/>
          <w:szCs w:val="20"/>
          <w:color w:val="auto"/>
        </w:rPr>
      </w:pPr>
    </w:p>
    <w:p>
      <w:pPr>
        <w:ind w:left="940"/>
        <w:spacing w:after="0"/>
        <w:rPr>
          <w:sz w:val="20"/>
          <w:szCs w:val="20"/>
          <w:color w:val="auto"/>
        </w:rPr>
      </w:pPr>
      <w:r>
        <w:rPr>
          <w:rFonts w:ascii="Arial" w:cs="Arial" w:eastAsia="Arial" w:hAnsi="Arial"/>
          <w:sz w:val="12"/>
          <w:szCs w:val="12"/>
          <w:color w:val="auto"/>
        </w:rPr>
        <w:t>During the six months ended June 30, 2023, net cash provided from financing activities amounted to €35.6 million. As of June 30, 2023,</w:t>
      </w:r>
    </w:p>
    <w:p>
      <w:pPr>
        <w:spacing w:after="0" w:line="23" w:lineRule="exact"/>
        <w:rPr>
          <w:sz w:val="20"/>
          <w:szCs w:val="20"/>
          <w:color w:val="auto"/>
        </w:rPr>
      </w:pPr>
    </w:p>
    <w:p>
      <w:pPr>
        <w:ind w:left="640" w:right="799"/>
        <w:spacing w:after="0" w:line="246" w:lineRule="auto"/>
        <w:rPr>
          <w:sz w:val="20"/>
          <w:szCs w:val="20"/>
          <w:color w:val="auto"/>
        </w:rPr>
      </w:pPr>
      <w:r>
        <w:rPr>
          <w:rFonts w:ascii="Arial" w:cs="Arial" w:eastAsia="Arial" w:hAnsi="Arial"/>
          <w:sz w:val="13"/>
          <w:szCs w:val="13"/>
          <w:color w:val="auto"/>
        </w:rPr>
        <w:t>3.7 million shares had been sold under the ATM agreement with SVB Securities LLC and resulted in net proceeds of €37.4 million. This was partially offset by the principal portion of payments in connection with lease contracts.</w:t>
      </w:r>
    </w:p>
    <w:p>
      <w:pPr>
        <w:spacing w:after="0" w:line="139" w:lineRule="exact"/>
        <w:rPr>
          <w:sz w:val="20"/>
          <w:szCs w:val="20"/>
          <w:color w:val="auto"/>
        </w:rPr>
      </w:pPr>
    </w:p>
    <w:p>
      <w:pPr>
        <w:ind w:left="940"/>
        <w:spacing w:after="0"/>
        <w:rPr>
          <w:sz w:val="20"/>
          <w:szCs w:val="20"/>
          <w:color w:val="auto"/>
        </w:rPr>
      </w:pPr>
      <w:r>
        <w:rPr>
          <w:rFonts w:ascii="Arial" w:cs="Arial" w:eastAsia="Arial" w:hAnsi="Arial"/>
          <w:sz w:val="12"/>
          <w:szCs w:val="12"/>
          <w:color w:val="auto"/>
        </w:rPr>
        <w:t>During the six months ended June 30, 2022, net cash provided from financing activities amounted to €15.2 million. As of June 30, 2022,</w:t>
      </w:r>
    </w:p>
    <w:p>
      <w:pPr>
        <w:spacing w:after="0" w:line="23" w:lineRule="exact"/>
        <w:rPr>
          <w:sz w:val="20"/>
          <w:szCs w:val="20"/>
          <w:color w:val="auto"/>
        </w:rPr>
      </w:pPr>
    </w:p>
    <w:p>
      <w:pPr>
        <w:ind w:left="640" w:right="799"/>
        <w:spacing w:after="0" w:line="246" w:lineRule="auto"/>
        <w:rPr>
          <w:sz w:val="20"/>
          <w:szCs w:val="20"/>
          <w:color w:val="auto"/>
        </w:rPr>
      </w:pPr>
      <w:r>
        <w:rPr>
          <w:rFonts w:ascii="Arial" w:cs="Arial" w:eastAsia="Arial" w:hAnsi="Arial"/>
          <w:sz w:val="13"/>
          <w:szCs w:val="13"/>
          <w:color w:val="auto"/>
        </w:rPr>
        <w:t>2.4 million shares had been sold under the ATM agreement with SVB Securities LLC and resulted in net proceeds of €16.6 million. This was partially offset by the principal portion of payments in connection with lease contracts.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Operation and Funding Requirements</w:t>
      </w:r>
    </w:p>
    <w:p>
      <w:pPr>
        <w:spacing w:after="0" w:line="82" w:lineRule="exact"/>
        <w:rPr>
          <w:sz w:val="20"/>
          <w:szCs w:val="20"/>
          <w:color w:val="auto"/>
        </w:rPr>
      </w:pPr>
    </w:p>
    <w:p>
      <w:pPr>
        <w:ind w:left="640" w:right="739" w:firstLine="309"/>
        <w:spacing w:after="0" w:line="298" w:lineRule="auto"/>
        <w:rPr>
          <w:sz w:val="20"/>
          <w:szCs w:val="20"/>
          <w:color w:val="auto"/>
        </w:rPr>
      </w:pPr>
      <w:r>
        <w:rPr>
          <w:rFonts w:ascii="Arial" w:cs="Arial" w:eastAsia="Arial" w:hAnsi="Arial"/>
          <w:sz w:val="11"/>
          <w:szCs w:val="11"/>
          <w:color w:val="auto"/>
        </w:rPr>
        <w:t>Historically, we have incurred significant losses due to our substantial research and development expenses. We have an accumulated deficit of €544.7 million as of June 30, 2023. We expect our expenses to increase in connection with our ongoing activities, particularly as we continue the research and development of, continue or commence clinical trials including GMP manufacturing of, and seek regulatory approval for, our product candidates. We believe that we have sufficient financial resources available to fund our projected operating requirements for at least the next twelve months. Because the outcome of our current and planned clinical trials is highly uncertain, we cannot reasonably estimate the actual amounts necessary to successfully complete the development and commercialization of our product candidates. For example, our costs will increase if we experience any delays in our current and planned clinical trials. Our future funding requirements will depend on many factors, including, but not limited to:</w:t>
      </w:r>
    </w:p>
    <w:p>
      <w:pPr>
        <w:spacing w:after="0" w:line="47" w:lineRule="exact"/>
        <w:rPr>
          <w:sz w:val="20"/>
          <w:szCs w:val="20"/>
          <w:color w:val="auto"/>
        </w:rPr>
      </w:pPr>
    </w:p>
    <w:p>
      <w:pPr>
        <w:ind w:left="1640" w:right="1099" w:hanging="311"/>
        <w:spacing w:after="0" w:line="352" w:lineRule="auto"/>
        <w:tabs>
          <w:tab w:leader="none" w:pos="1640" w:val="left"/>
        </w:tabs>
        <w:numPr>
          <w:ilvl w:val="0"/>
          <w:numId w:val="13"/>
        </w:numPr>
        <w:rPr>
          <w:rFonts w:ascii="Arial" w:cs="Arial" w:eastAsia="Arial" w:hAnsi="Arial"/>
          <w:sz w:val="11"/>
          <w:szCs w:val="11"/>
          <w:color w:val="auto"/>
        </w:rPr>
      </w:pPr>
      <w:r>
        <w:rPr>
          <w:rFonts w:ascii="Arial" w:cs="Arial" w:eastAsia="Arial" w:hAnsi="Arial"/>
          <w:sz w:val="11"/>
          <w:szCs w:val="11"/>
          <w:color w:val="auto"/>
        </w:rPr>
        <w:t>progress, timing, scope and costs of our clinical trials, including the ability to timely initiate clinical sites, enroll patients and manufacture ACT and TCR Bispecific product candidates for our ongoing, planned and potential future clinical trials;</w:t>
      </w:r>
    </w:p>
    <w:p>
      <w:pPr>
        <w:spacing w:after="0" w:line="17" w:lineRule="exact"/>
        <w:rPr>
          <w:rFonts w:ascii="Arial" w:cs="Arial" w:eastAsia="Arial" w:hAnsi="Arial"/>
          <w:sz w:val="11"/>
          <w:szCs w:val="11"/>
          <w:color w:val="auto"/>
        </w:rPr>
      </w:pPr>
    </w:p>
    <w:p>
      <w:pPr>
        <w:ind w:left="1640" w:hanging="311"/>
        <w:spacing w:after="0"/>
        <w:tabs>
          <w:tab w:leader="none" w:pos="16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time and cost to conduct IND- or CTA-enabling studies for our preclinical programs;</w:t>
      </w:r>
    </w:p>
    <w:p>
      <w:pPr>
        <w:spacing w:after="0" w:line="87" w:lineRule="exact"/>
        <w:rPr>
          <w:rFonts w:ascii="Arial" w:cs="Arial" w:eastAsia="Arial" w:hAnsi="Arial"/>
          <w:sz w:val="13"/>
          <w:szCs w:val="13"/>
          <w:color w:val="auto"/>
        </w:rPr>
      </w:pPr>
    </w:p>
    <w:p>
      <w:pPr>
        <w:ind w:left="1640" w:right="739" w:hanging="311"/>
        <w:spacing w:after="0" w:line="261" w:lineRule="auto"/>
        <w:tabs>
          <w:tab w:leader="none" w:pos="16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time and costs required to perform research and development to identify and characterize new product candidates from our research programs;</w:t>
      </w:r>
    </w:p>
    <w:p>
      <w:pPr>
        <w:spacing w:after="0" w:line="63" w:lineRule="exact"/>
        <w:rPr>
          <w:rFonts w:ascii="Arial" w:cs="Arial" w:eastAsia="Arial" w:hAnsi="Arial"/>
          <w:sz w:val="13"/>
          <w:szCs w:val="13"/>
          <w:color w:val="auto"/>
        </w:rPr>
      </w:pPr>
    </w:p>
    <w:p>
      <w:pPr>
        <w:ind w:left="1640" w:right="779" w:hanging="311"/>
        <w:spacing w:after="0" w:line="261" w:lineRule="auto"/>
        <w:tabs>
          <w:tab w:leader="none" w:pos="16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time and cost necessary to obtain regulatory authorizations and approvals that may be required by regulatory authorities to execute clinical trials or commercialize our products;</w:t>
      </w:r>
    </w:p>
    <w:p>
      <w:pPr>
        <w:spacing w:after="0" w:line="63" w:lineRule="exact"/>
        <w:rPr>
          <w:rFonts w:ascii="Arial" w:cs="Arial" w:eastAsia="Arial" w:hAnsi="Arial"/>
          <w:sz w:val="13"/>
          <w:szCs w:val="13"/>
          <w:color w:val="auto"/>
        </w:rPr>
      </w:pPr>
    </w:p>
    <w:p>
      <w:pPr>
        <w:ind w:left="1640" w:hanging="311"/>
        <w:spacing w:after="0"/>
        <w:tabs>
          <w:tab w:leader="none" w:pos="16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our ability to successfully commercialize our product candidates, if approved;</w:t>
      </w:r>
    </w:p>
    <w:p>
      <w:pPr>
        <w:spacing w:after="0" w:line="87" w:lineRule="exact"/>
        <w:rPr>
          <w:rFonts w:ascii="Arial" w:cs="Arial" w:eastAsia="Arial" w:hAnsi="Arial"/>
          <w:sz w:val="13"/>
          <w:szCs w:val="13"/>
          <w:color w:val="auto"/>
        </w:rPr>
      </w:pPr>
    </w:p>
    <w:p>
      <w:pPr>
        <w:ind w:left="1640" w:right="939" w:hanging="311"/>
        <w:spacing w:after="0" w:line="261" w:lineRule="auto"/>
        <w:tabs>
          <w:tab w:leader="none" w:pos="16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our ability to have clinical and commercial products successfully manufactured consistent with FDA, the EMA and comparable regulatory authorities’ regulations;</w:t>
      </w:r>
    </w:p>
    <w:p>
      <w:pPr>
        <w:spacing w:after="0" w:line="63" w:lineRule="exact"/>
        <w:rPr>
          <w:rFonts w:ascii="Arial" w:cs="Arial" w:eastAsia="Arial" w:hAnsi="Arial"/>
          <w:sz w:val="13"/>
          <w:szCs w:val="13"/>
          <w:color w:val="auto"/>
        </w:rPr>
      </w:pPr>
    </w:p>
    <w:p>
      <w:pPr>
        <w:ind w:left="1640" w:right="719" w:hanging="311"/>
        <w:spacing w:after="0" w:line="302" w:lineRule="auto"/>
        <w:tabs>
          <w:tab w:leader="none" w:pos="16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amount of sales and other revenues from product candidates that we may commercialize, if any, including the selling prices for such potential products and the availability of adequate third-party coverage and reimbursement for patients;</w:t>
      </w:r>
    </w:p>
    <w:p>
      <w:pPr>
        <w:sectPr>
          <w:pgSz w:w="11900" w:h="16838" w:orient="portrait"/>
          <w:cols w:equalWidth="0" w:num="1">
            <w:col w:w="9019"/>
          </w:cols>
          <w:pgMar w:left="1440" w:top="254" w:right="1440" w:bottom="1440" w:gutter="0" w:footer="0" w:header="0"/>
        </w:sectPr>
      </w:pPr>
    </w:p>
    <w:bookmarkStart w:id="30" w:name="page31"/>
    <w:bookmarkEnd w:id="30"/>
    <w:p>
      <w:pPr>
        <w:ind w:left="1640" w:right="779" w:hanging="311"/>
        <w:spacing w:after="0" w:line="261" w:lineRule="auto"/>
        <w:tabs>
          <w:tab w:leader="none" w:pos="1640" w:val="left"/>
        </w:tabs>
        <w:numPr>
          <w:ilvl w:val="0"/>
          <w:numId w:val="14"/>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sales and marketing costs associated with commercializing our products, if approved, including the cost and timing of building our marketing and sales capabilities;</w:t>
      </w:r>
    </w:p>
    <w:p>
      <w:pPr>
        <w:spacing w:after="0" w:line="63" w:lineRule="exact"/>
        <w:rPr>
          <w:rFonts w:ascii="Arial" w:cs="Arial" w:eastAsia="Arial" w:hAnsi="Arial"/>
          <w:sz w:val="13"/>
          <w:szCs w:val="13"/>
          <w:color w:val="auto"/>
        </w:rPr>
      </w:pPr>
    </w:p>
    <w:p>
      <w:pPr>
        <w:ind w:left="1640" w:hanging="311"/>
        <w:spacing w:after="0"/>
        <w:tabs>
          <w:tab w:leader="none" w:pos="16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cost of building, staffing and validating our manufacturing processes, which may include capital expenditure;</w:t>
      </w:r>
    </w:p>
    <w:p>
      <w:pPr>
        <w:spacing w:after="0" w:line="87" w:lineRule="exact"/>
        <w:rPr>
          <w:rFonts w:ascii="Arial" w:cs="Arial" w:eastAsia="Arial" w:hAnsi="Arial"/>
          <w:sz w:val="13"/>
          <w:szCs w:val="13"/>
          <w:color w:val="auto"/>
        </w:rPr>
      </w:pPr>
    </w:p>
    <w:p>
      <w:pPr>
        <w:ind w:left="1640" w:right="759" w:hanging="311"/>
        <w:spacing w:after="0" w:line="261" w:lineRule="auto"/>
        <w:tabs>
          <w:tab w:leader="none" w:pos="16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terms and timing of our current and any potential future collaborations, licensing or other arrangements that we have established or may establish;</w:t>
      </w:r>
    </w:p>
    <w:p>
      <w:pPr>
        <w:spacing w:after="0" w:line="63" w:lineRule="exact"/>
        <w:rPr>
          <w:rFonts w:ascii="Arial" w:cs="Arial" w:eastAsia="Arial" w:hAnsi="Arial"/>
          <w:sz w:val="13"/>
          <w:szCs w:val="13"/>
          <w:color w:val="auto"/>
        </w:rPr>
      </w:pPr>
    </w:p>
    <w:p>
      <w:pPr>
        <w:ind w:left="1640" w:hanging="311"/>
        <w:spacing w:after="0"/>
        <w:tabs>
          <w:tab w:leader="none" w:pos="16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cash requirements of any future acquisitions or the development of other product candidates;</w:t>
      </w:r>
    </w:p>
    <w:p>
      <w:pPr>
        <w:spacing w:after="0" w:line="87" w:lineRule="exact"/>
        <w:rPr>
          <w:rFonts w:ascii="Arial" w:cs="Arial" w:eastAsia="Arial" w:hAnsi="Arial"/>
          <w:sz w:val="13"/>
          <w:szCs w:val="13"/>
          <w:color w:val="auto"/>
        </w:rPr>
      </w:pPr>
    </w:p>
    <w:p>
      <w:pPr>
        <w:ind w:left="1640" w:hanging="311"/>
        <w:spacing w:after="0"/>
        <w:tabs>
          <w:tab w:leader="none" w:pos="16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costs of operating as a public company;</w:t>
      </w:r>
    </w:p>
    <w:p>
      <w:pPr>
        <w:spacing w:after="0" w:line="87" w:lineRule="exact"/>
        <w:rPr>
          <w:rFonts w:ascii="Arial" w:cs="Arial" w:eastAsia="Arial" w:hAnsi="Arial"/>
          <w:sz w:val="13"/>
          <w:szCs w:val="13"/>
          <w:color w:val="auto"/>
        </w:rPr>
      </w:pPr>
    </w:p>
    <w:p>
      <w:pPr>
        <w:ind w:left="1640" w:hanging="311"/>
        <w:spacing w:after="0"/>
        <w:tabs>
          <w:tab w:leader="none" w:pos="16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time and cost necessary to respond to technological, regulatory, political and market developments;</w:t>
      </w:r>
    </w:p>
    <w:p>
      <w:pPr>
        <w:spacing w:after="0" w:line="87" w:lineRule="exact"/>
        <w:rPr>
          <w:rFonts w:ascii="Arial" w:cs="Arial" w:eastAsia="Arial" w:hAnsi="Arial"/>
          <w:sz w:val="13"/>
          <w:szCs w:val="13"/>
          <w:color w:val="auto"/>
        </w:rPr>
      </w:pPr>
    </w:p>
    <w:p>
      <w:pPr>
        <w:ind w:left="1640" w:hanging="311"/>
        <w:spacing w:after="0"/>
        <w:tabs>
          <w:tab w:leader="none" w:pos="16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costs of filing, prosecuting, defending and enforcing any patent claims and other IP rights; and</w:t>
      </w:r>
    </w:p>
    <w:p>
      <w:pPr>
        <w:spacing w:after="0" w:line="87" w:lineRule="exact"/>
        <w:rPr>
          <w:rFonts w:ascii="Arial" w:cs="Arial" w:eastAsia="Arial" w:hAnsi="Arial"/>
          <w:sz w:val="13"/>
          <w:szCs w:val="13"/>
          <w:color w:val="auto"/>
        </w:rPr>
      </w:pPr>
    </w:p>
    <w:p>
      <w:pPr>
        <w:ind w:left="1640" w:right="1199" w:hanging="311"/>
        <w:spacing w:after="0" w:line="261" w:lineRule="auto"/>
        <w:tabs>
          <w:tab w:leader="none" w:pos="16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costs associated with any potential business or product acquisitions, strategic collaborations, licensing agreements or other arrangements that we may establish.</w:t>
      </w:r>
    </w:p>
    <w:p>
      <w:pPr>
        <w:spacing w:after="0" w:line="130" w:lineRule="exact"/>
        <w:rPr>
          <w:sz w:val="20"/>
          <w:szCs w:val="20"/>
          <w:color w:val="auto"/>
        </w:rPr>
      </w:pPr>
    </w:p>
    <w:p>
      <w:pPr>
        <w:ind w:left="640" w:right="659" w:firstLine="309"/>
        <w:spacing w:after="0" w:line="303" w:lineRule="auto"/>
        <w:rPr>
          <w:sz w:val="20"/>
          <w:szCs w:val="20"/>
          <w:color w:val="auto"/>
        </w:rPr>
      </w:pPr>
      <w:r>
        <w:rPr>
          <w:rFonts w:ascii="Arial" w:cs="Arial" w:eastAsia="Arial" w:hAnsi="Arial"/>
          <w:sz w:val="11"/>
          <w:szCs w:val="11"/>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regulatory approval and commercialize our product candidates. In addition, our product candidates, if approved, may not achieve commercial success. Our commercial revenues, if any, will be derived from sales of products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11" w:lineRule="exact"/>
        <w:rPr>
          <w:sz w:val="20"/>
          <w:szCs w:val="20"/>
          <w:color w:val="auto"/>
        </w:rPr>
      </w:pPr>
    </w:p>
    <w:p>
      <w:pPr>
        <w:ind w:left="640" w:right="679" w:firstLine="309"/>
        <w:spacing w:after="0" w:line="266" w:lineRule="auto"/>
        <w:rPr>
          <w:sz w:val="20"/>
          <w:szCs w:val="20"/>
          <w:color w:val="auto"/>
        </w:rPr>
      </w:pPr>
      <w:r>
        <w:rPr>
          <w:rFonts w:ascii="Arial" w:cs="Arial" w:eastAsia="Arial" w:hAnsi="Arial"/>
          <w:sz w:val="12"/>
          <w:szCs w:val="12"/>
          <w:color w:val="auto"/>
        </w:rPr>
        <w:t>Unless and until we can generate sufficient revenue to finance our cash requirements, which may never happen, we may seek additional capital through a variety of means, including through public and private equity offerings and debt financings, credit and loan facilities and additional collaborations. If we raise additional capital through the sale of equity or convertible debt securities, our existing shareholders’ ownership interest will be diluted, and the terms of such equity or convertible debt securities may include liquidation or other preferences that are senior to or otherwise adversely affect the rights of our existing shareholders. If we raise additional capital through the sale of debt securities or through entering into credit or loan facilities, we may be restricted in our ability to take certain actions, such as incurring additional debt, making capital expenditures, acquiring or licensing IP rights, declaring dividends or encumbering our assets to secure future indebtedness. Such restrictions could adversely impact our ability to conduct our operations and execute our business plan. If we raise additional capital through collaborations with third parties, we may be required to relinquish valuable rights to our IP or product candidates or we may be required to grant licenses for our IP or product candidates on unfavorable terms. If we are unable to raise additional capital when needed, we may be required to delay, limit, reduce or terminate our product development efforts or we may be required to grant rights to third parties to develop and market our product candidates that we would otherwise prefer to develop and market ourselves. For more information as to the risks associated with our future funding needs, see “Risk Factors—Risks Related to Our Financial Position” in our Annual Report.</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Critical Accounting Estimates</w:t>
      </w:r>
    </w:p>
    <w:p>
      <w:pPr>
        <w:spacing w:after="0" w:line="82" w:lineRule="exact"/>
        <w:rPr>
          <w:sz w:val="20"/>
          <w:szCs w:val="20"/>
          <w:color w:val="auto"/>
        </w:rPr>
      </w:pPr>
    </w:p>
    <w:p>
      <w:pPr>
        <w:ind w:left="640" w:right="659" w:firstLine="309"/>
        <w:spacing w:after="0" w:line="252" w:lineRule="auto"/>
        <w:rPr>
          <w:sz w:val="20"/>
          <w:szCs w:val="20"/>
          <w:color w:val="auto"/>
        </w:rPr>
      </w:pPr>
      <w:r>
        <w:rPr>
          <w:rFonts w:ascii="Arial" w:cs="Arial" w:eastAsia="Arial" w:hAnsi="Arial"/>
          <w:sz w:val="13"/>
          <w:szCs w:val="13"/>
          <w:color w:val="auto"/>
        </w:rPr>
        <w:t>Our unaudited interim condensed consolidated financial statements for the three and six month-period ended June 30, 2023 and 2022, respectively, have been prepared in accordance with International Accounting Standard 34 (Interim Financial Reporting), as issued by the International Accounting Standards Board.</w:t>
      </w:r>
    </w:p>
    <w:p>
      <w:pPr>
        <w:spacing w:after="0" w:line="136" w:lineRule="exact"/>
        <w:rPr>
          <w:sz w:val="20"/>
          <w:szCs w:val="20"/>
          <w:color w:val="auto"/>
        </w:rPr>
      </w:pPr>
    </w:p>
    <w:p>
      <w:pPr>
        <w:jc w:val="both"/>
        <w:ind w:left="640" w:right="699" w:firstLine="309"/>
        <w:spacing w:after="0" w:line="252" w:lineRule="auto"/>
        <w:rPr>
          <w:sz w:val="20"/>
          <w:szCs w:val="20"/>
          <w:color w:val="auto"/>
        </w:rPr>
      </w:pPr>
      <w:r>
        <w:rPr>
          <w:rFonts w:ascii="Arial" w:cs="Arial" w:eastAsia="Arial" w:hAnsi="Arial"/>
          <w:sz w:val="13"/>
          <w:szCs w:val="13"/>
          <w:color w:val="auto"/>
        </w:rPr>
        <w:t>The preparation of the consolidated financial statements in accordance with IFRS requires the use of estimates and assumptions, which affect the value of assets and liabilities, as well as contingent assets and liabilities, as reported on the balance sheet date, and revenues and expenses arising during the fiscal year.</w:t>
      </w:r>
    </w:p>
    <w:p>
      <w:pPr>
        <w:spacing w:after="0" w:line="136" w:lineRule="exact"/>
        <w:rPr>
          <w:sz w:val="20"/>
          <w:szCs w:val="20"/>
          <w:color w:val="auto"/>
        </w:rPr>
      </w:pPr>
    </w:p>
    <w:p>
      <w:pPr>
        <w:ind w:left="640" w:right="659" w:firstLine="309"/>
        <w:spacing w:after="0" w:line="273" w:lineRule="auto"/>
        <w:rPr>
          <w:sz w:val="20"/>
          <w:szCs w:val="20"/>
          <w:color w:val="auto"/>
        </w:rPr>
      </w:pPr>
      <w:r>
        <w:rPr>
          <w:rFonts w:ascii="Arial" w:cs="Arial" w:eastAsia="Arial" w:hAnsi="Arial"/>
          <w:sz w:val="12"/>
          <w:szCs w:val="12"/>
          <w:color w:val="auto"/>
        </w:rPr>
        <w:t>The preparation of the consolidated financial statements for the fiscal year ended December 31, 2022 and the three and six months ended June 30, 2023 in accordance with IFRS required the use of estimates and assumptions by the management that affect the value of assets and liabilities—as well as contingent assets and liabilities—as reported on the balance sheet date, and revenues and expenses arising during the year. The main areas in which assumptions, estimates and the exercising of a degree of discretion are appropriate relate to the determination of revenue recognition, research and development expenses, and share-based compensations as well as income taxes.</w:t>
      </w:r>
    </w:p>
    <w:p>
      <w:pPr>
        <w:spacing w:after="0" w:line="125" w:lineRule="exact"/>
        <w:rPr>
          <w:sz w:val="20"/>
          <w:szCs w:val="20"/>
          <w:color w:val="auto"/>
        </w:rPr>
      </w:pPr>
    </w:p>
    <w:p>
      <w:pPr>
        <w:ind w:left="640" w:right="719" w:firstLine="309"/>
        <w:spacing w:after="0" w:line="320" w:lineRule="auto"/>
        <w:rPr>
          <w:sz w:val="20"/>
          <w:szCs w:val="20"/>
          <w:color w:val="auto"/>
        </w:rPr>
      </w:pPr>
      <w:r>
        <w:rPr>
          <w:rFonts w:ascii="Arial" w:cs="Arial" w:eastAsia="Arial" w:hAnsi="Arial"/>
          <w:sz w:val="11"/>
          <w:szCs w:val="11"/>
          <w:color w:val="auto"/>
        </w:rPr>
        <w:t>Our estimates are based on historical experience and other assumptions that are considered appropriate in the circumstances, and parameters available when the consolidated financial statements were prepared. Existing circumstances and assumptions about future developments, however, may change due to market changes or circumstances arising that are beyond our control. Hence, our estimates may vary from the actual values.</w:t>
      </w:r>
    </w:p>
    <w:p>
      <w:pPr>
        <w:sectPr>
          <w:pgSz w:w="11900" w:h="16838" w:orient="portrait"/>
          <w:cols w:equalWidth="0" w:num="1">
            <w:col w:w="9019"/>
          </w:cols>
          <w:pgMar w:left="1440" w:top="254" w:right="1440" w:bottom="1440" w:gutter="0" w:footer="0" w:header="0"/>
        </w:sectPr>
      </w:pPr>
    </w:p>
    <w:bookmarkStart w:id="31" w:name="page32"/>
    <w:bookmarkEnd w:id="31"/>
    <w:p>
      <w:pPr>
        <w:ind w:left="640" w:right="739" w:firstLine="309"/>
        <w:spacing w:after="0" w:line="25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0425" cy="42545"/>
                    </a:xfrm>
                    <a:prstGeom prst="rect">
                      <a:avLst/>
                    </a:prstGeom>
                    <a:noFill/>
                  </pic:spPr>
                </pic:pic>
              </a:graphicData>
            </a:graphic>
          </wp:anchor>
        </w:drawing>
        <w:t>While our significant accounting policies are more fully discussed in our consolidated financial statements included in our Annual Report, we believe that the following accounting policies are critical to the process of making significant judgments and estimates in the preparation of our interim condensed consolidated financial statements.</w:t>
      </w:r>
    </w:p>
    <w:p>
      <w:pPr>
        <w:spacing w:after="0" w:line="211" w:lineRule="exact"/>
        <w:rPr>
          <w:sz w:val="20"/>
          <w:szCs w:val="20"/>
          <w:color w:val="auto"/>
        </w:rPr>
      </w:pPr>
    </w:p>
    <w:p>
      <w:pPr>
        <w:ind w:left="800"/>
        <w:spacing w:after="0"/>
        <w:rPr>
          <w:sz w:val="20"/>
          <w:szCs w:val="20"/>
          <w:color w:val="auto"/>
        </w:rPr>
      </w:pPr>
      <w:r>
        <w:rPr>
          <w:rFonts w:ascii="Arial" w:cs="Arial" w:eastAsia="Arial" w:hAnsi="Arial"/>
          <w:sz w:val="13"/>
          <w:szCs w:val="13"/>
          <w:b w:val="1"/>
          <w:bCs w:val="1"/>
          <w:i w:val="1"/>
          <w:iCs w:val="1"/>
          <w:color w:val="auto"/>
        </w:rPr>
        <w:t>Revenue Recognition for Collaboration Agreements</w:t>
      </w:r>
    </w:p>
    <w:p>
      <w:pPr>
        <w:spacing w:after="0" w:line="78" w:lineRule="exact"/>
        <w:rPr>
          <w:sz w:val="20"/>
          <w:szCs w:val="20"/>
          <w:color w:val="auto"/>
        </w:rPr>
      </w:pPr>
    </w:p>
    <w:p>
      <w:pPr>
        <w:ind w:left="940"/>
        <w:spacing w:after="0"/>
        <w:rPr>
          <w:sz w:val="20"/>
          <w:szCs w:val="20"/>
          <w:color w:val="auto"/>
        </w:rPr>
      </w:pPr>
      <w:r>
        <w:rPr>
          <w:rFonts w:ascii="Arial" w:cs="Arial" w:eastAsia="Arial" w:hAnsi="Arial"/>
          <w:sz w:val="13"/>
          <w:szCs w:val="13"/>
          <w:color w:val="auto"/>
        </w:rPr>
        <w:t>We recognize revenue through collaboration and license agreements and reimbursement for research and development costs.</w:t>
      </w:r>
    </w:p>
    <w:p>
      <w:pPr>
        <w:spacing w:after="0" w:line="154" w:lineRule="exact"/>
        <w:rPr>
          <w:sz w:val="20"/>
          <w:szCs w:val="20"/>
          <w:color w:val="auto"/>
        </w:rPr>
      </w:pPr>
    </w:p>
    <w:p>
      <w:pPr>
        <w:jc w:val="both"/>
        <w:ind w:left="640" w:right="699" w:firstLine="309"/>
        <w:spacing w:after="0" w:line="293" w:lineRule="auto"/>
        <w:rPr>
          <w:sz w:val="20"/>
          <w:szCs w:val="20"/>
          <w:color w:val="auto"/>
        </w:rPr>
      </w:pPr>
      <w:r>
        <w:rPr>
          <w:rFonts w:ascii="Arial" w:cs="Arial" w:eastAsia="Arial" w:hAnsi="Arial"/>
          <w:sz w:val="11"/>
          <w:szCs w:val="11"/>
          <w:color w:val="auto"/>
        </w:rPr>
        <w:t>Under our collaboration and license agreements, we may receive upfront licensing payments, milestone payments and reimbursement of research and development expenses. Such collaboration agreements also include licenses of certain of our IP to the respective collaborators. As these agreements are comprised of several commitments, it must be assessed whether these commitments are capable of being distinct within the context of the contract.</w:t>
      </w:r>
    </w:p>
    <w:p>
      <w:pPr>
        <w:spacing w:after="0" w:line="1" w:lineRule="exact"/>
        <w:rPr>
          <w:sz w:val="20"/>
          <w:szCs w:val="20"/>
          <w:color w:val="auto"/>
        </w:rPr>
      </w:pPr>
    </w:p>
    <w:p>
      <w:pPr>
        <w:ind w:left="640" w:right="679"/>
        <w:spacing w:after="0" w:line="244" w:lineRule="auto"/>
        <w:rPr>
          <w:sz w:val="20"/>
          <w:szCs w:val="20"/>
          <w:color w:val="auto"/>
        </w:rPr>
      </w:pPr>
      <w:r>
        <w:rPr>
          <w:rFonts w:ascii="Arial" w:cs="Arial" w:eastAsia="Arial" w:hAnsi="Arial"/>
          <w:sz w:val="13"/>
          <w:szCs w:val="13"/>
          <w:color w:val="auto"/>
        </w:rPr>
        <w:t>For three of our four collaboration agreements, we determined that the commitments included in each agreement represented single combined performance obligations, with a single measure of progress. The performance obligation is accounted for as a performance obligation satisfied over time on a cost-to-cost basis, as our collaboration partner simultaneously receives and consumes the benefit from our performance. Upfront licensing payments and reimbursement for development expenses are initially deferred on our statement of financial position and subsequently recognized as revenue over time as costs are incurred.</w:t>
      </w:r>
    </w:p>
    <w:p>
      <w:pPr>
        <w:spacing w:after="0" w:line="141" w:lineRule="exact"/>
        <w:rPr>
          <w:sz w:val="20"/>
          <w:szCs w:val="20"/>
          <w:color w:val="auto"/>
        </w:rPr>
      </w:pPr>
    </w:p>
    <w:p>
      <w:pPr>
        <w:ind w:left="640" w:right="679" w:firstLine="309"/>
        <w:spacing w:after="0" w:line="246" w:lineRule="auto"/>
        <w:rPr>
          <w:sz w:val="20"/>
          <w:szCs w:val="20"/>
          <w:color w:val="auto"/>
        </w:rPr>
      </w:pPr>
      <w:r>
        <w:rPr>
          <w:rFonts w:ascii="Arial" w:cs="Arial" w:eastAsia="Arial" w:hAnsi="Arial"/>
          <w:sz w:val="13"/>
          <w:szCs w:val="13"/>
          <w:color w:val="auto"/>
        </w:rPr>
        <w:t>For our collaboration with BMS regarding IMA-401 that was signed in December 2021, we concluded that the commitments from the collaboration agreement represented two distinct performance obligations. The granted license is transferred at a point in time at the effective date of the agreement and we recognized the revenue allocated to the license at the effective date. The performance obligation related to promised clinical trial services is satisfied over time. We transfer control of these agreed services over time and therefore recognize revenue over time on a cost-to-cost basis. The transaction price allocated to the commitment for clinical trial services is initially deferred on our statement of financial position and subsequently recognized as revenue as costs are incurred.</w:t>
      </w:r>
    </w:p>
    <w:p>
      <w:pPr>
        <w:spacing w:after="0" w:line="142" w:lineRule="exact"/>
        <w:rPr>
          <w:sz w:val="20"/>
          <w:szCs w:val="20"/>
          <w:color w:val="auto"/>
        </w:rPr>
      </w:pPr>
    </w:p>
    <w:p>
      <w:pPr>
        <w:ind w:left="640" w:right="679" w:firstLine="309"/>
        <w:spacing w:after="0" w:line="252" w:lineRule="auto"/>
        <w:rPr>
          <w:sz w:val="20"/>
          <w:szCs w:val="20"/>
          <w:color w:val="auto"/>
        </w:rPr>
      </w:pPr>
      <w:r>
        <w:rPr>
          <w:rFonts w:ascii="Arial" w:cs="Arial" w:eastAsia="Arial" w:hAnsi="Arial"/>
          <w:sz w:val="13"/>
          <w:szCs w:val="13"/>
          <w:color w:val="auto"/>
        </w:rPr>
        <w:t>Milestone payments are generally included in the transaction price at the amount stipulated in the respective agreement and recognized to the extent that it is highly probable that a significant reversal in the amount of cumulative revenue recognized will not occur. To date, no milestone payment has been included in the transaction price and recognized into revenue.</w:t>
      </w:r>
    </w:p>
    <w:p>
      <w:pPr>
        <w:spacing w:after="0" w:line="136" w:lineRule="exact"/>
        <w:rPr>
          <w:sz w:val="20"/>
          <w:szCs w:val="20"/>
          <w:color w:val="auto"/>
        </w:rPr>
      </w:pPr>
    </w:p>
    <w:p>
      <w:pPr>
        <w:ind w:left="640" w:right="659" w:firstLine="309"/>
        <w:spacing w:after="0" w:line="270" w:lineRule="auto"/>
        <w:rPr>
          <w:sz w:val="20"/>
          <w:szCs w:val="20"/>
          <w:color w:val="auto"/>
        </w:rPr>
      </w:pPr>
      <w:r>
        <w:rPr>
          <w:rFonts w:ascii="Arial" w:cs="Arial" w:eastAsia="Arial" w:hAnsi="Arial"/>
          <w:sz w:val="12"/>
          <w:szCs w:val="12"/>
          <w:color w:val="auto"/>
        </w:rPr>
        <w:t>We provide development and manufacturing work to our collaboration partners and recognize revenue over time using an input-based method to measure progress toward complete satisfaction of the service, because the collaboration partner simultaneously receives and consumes the benefits provided. Forecast values are used for the calculation of expected future revenue for the remaining term of the contract. These costs estimated as part of the budgeting process must be reviewed and approved before we can use them for recognition purposes. Significant management judgment is required to determine the level of effort required under an arrangement, and the period over which we expect to complete our performance obligations under the arrangement which includes total internal personnel costs and external costs to be incurred. Changes in these estimates can have a material effect on revenue recognized.</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13"/>
          <w:szCs w:val="13"/>
          <w:b w:val="1"/>
          <w:bCs w:val="1"/>
          <w:i w:val="1"/>
          <w:iCs w:val="1"/>
          <w:color w:val="auto"/>
        </w:rPr>
        <w:t>Share-based Compensation</w:t>
      </w:r>
    </w:p>
    <w:p>
      <w:pPr>
        <w:spacing w:after="0" w:line="78" w:lineRule="exact"/>
        <w:rPr>
          <w:sz w:val="20"/>
          <w:szCs w:val="20"/>
          <w:color w:val="auto"/>
        </w:rPr>
      </w:pPr>
    </w:p>
    <w:p>
      <w:pPr>
        <w:ind w:left="640" w:right="919" w:firstLine="309"/>
        <w:spacing w:after="0" w:line="261" w:lineRule="auto"/>
        <w:rPr>
          <w:sz w:val="20"/>
          <w:szCs w:val="20"/>
          <w:color w:val="auto"/>
        </w:rPr>
      </w:pPr>
      <w:r>
        <w:rPr>
          <w:rFonts w:ascii="Arial" w:cs="Arial" w:eastAsia="Arial" w:hAnsi="Arial"/>
          <w:sz w:val="13"/>
          <w:szCs w:val="13"/>
          <w:color w:val="auto"/>
        </w:rPr>
        <w:t>The Company offers a share-based compensation plan that includes PSUs and service options including a conversion of previous share-based compensation arrangements entered into by Immatics GmbH.</w:t>
      </w:r>
    </w:p>
    <w:p>
      <w:pPr>
        <w:spacing w:after="0" w:line="130" w:lineRule="exact"/>
        <w:rPr>
          <w:sz w:val="20"/>
          <w:szCs w:val="20"/>
          <w:color w:val="auto"/>
        </w:rPr>
      </w:pPr>
    </w:p>
    <w:p>
      <w:pPr>
        <w:ind w:left="640" w:right="699" w:firstLine="309"/>
        <w:spacing w:after="0" w:line="252" w:lineRule="auto"/>
        <w:rPr>
          <w:sz w:val="20"/>
          <w:szCs w:val="20"/>
          <w:color w:val="auto"/>
        </w:rPr>
      </w:pPr>
      <w:r>
        <w:rPr>
          <w:rFonts w:ascii="Arial" w:cs="Arial" w:eastAsia="Arial" w:hAnsi="Arial"/>
          <w:sz w:val="13"/>
          <w:szCs w:val="13"/>
          <w:color w:val="auto"/>
        </w:rPr>
        <w:t>The costs of equity-settled transactions are determined by the fair value at grant date, using an appropriate valuation model. Share-based expenses for the respective vesting periods, are recognized in research and development expenses and general and administrative expenses, reflecting a corresponding increase in equity.</w:t>
      </w:r>
    </w:p>
    <w:p>
      <w:pPr>
        <w:spacing w:after="0" w:line="211" w:lineRule="exact"/>
        <w:rPr>
          <w:sz w:val="20"/>
          <w:szCs w:val="20"/>
          <w:color w:val="auto"/>
        </w:rPr>
      </w:pPr>
    </w:p>
    <w:p>
      <w:pPr>
        <w:ind w:left="800"/>
        <w:spacing w:after="0"/>
        <w:rPr>
          <w:sz w:val="20"/>
          <w:szCs w:val="20"/>
          <w:color w:val="auto"/>
        </w:rPr>
      </w:pPr>
      <w:r>
        <w:rPr>
          <w:rFonts w:ascii="Arial" w:cs="Arial" w:eastAsia="Arial" w:hAnsi="Arial"/>
          <w:sz w:val="13"/>
          <w:szCs w:val="13"/>
          <w:b w:val="1"/>
          <w:bCs w:val="1"/>
          <w:i w:val="1"/>
          <w:iCs w:val="1"/>
          <w:color w:val="auto"/>
        </w:rPr>
        <w:t>Income Taxes</w:t>
      </w:r>
    </w:p>
    <w:p>
      <w:pPr>
        <w:spacing w:after="0" w:line="78" w:lineRule="exact"/>
        <w:rPr>
          <w:sz w:val="20"/>
          <w:szCs w:val="20"/>
          <w:color w:val="auto"/>
        </w:rPr>
      </w:pPr>
    </w:p>
    <w:p>
      <w:pPr>
        <w:ind w:left="640" w:right="679" w:firstLine="309"/>
        <w:spacing w:after="0" w:line="296" w:lineRule="auto"/>
        <w:rPr>
          <w:sz w:val="20"/>
          <w:szCs w:val="20"/>
          <w:color w:val="auto"/>
        </w:rPr>
      </w:pPr>
      <w:r>
        <w:rPr>
          <w:rFonts w:ascii="Arial" w:cs="Arial" w:eastAsia="Arial" w:hAnsi="Arial"/>
          <w:sz w:val="11"/>
          <w:szCs w:val="11"/>
          <w:color w:val="auto"/>
        </w:rPr>
        <w:t>Uncertainties exist with respect to the interpretation of complex tax regulations, changes in tax laws, and the amount and timing of future taxable income. Given the wide range and complexity of existing contractual agreements, differences arising between the actual results and the assumptions made, or future changes to such assumptions, could necessitate future adjustments to tax income and expenses already recorded. Deferred tax assets are recognized for unused tax losses to the extent that it is probable that taxable profit will be available which can be utilized against the losses. Significant management judgement is required to determine the amount of deferred tax assets that can be recognized, based upon the likely timing and the level of future taxable profits together with future tax planning strategies. Due to our history of loss-making over the last several years as well as our expectation for the foreseeable future, we have not recognized any deferred tax assets on tax losses carried forward despite the net income for the year ended December 31, 2022. Changes in the estimation of our potential to use of tax losses carried forward can have a material effect on our net income.</w:t>
      </w:r>
    </w:p>
    <w:p>
      <w:pPr>
        <w:sectPr>
          <w:pgSz w:w="11900" w:h="16838" w:orient="portrait"/>
          <w:cols w:equalWidth="0" w:num="1">
            <w:col w:w="9019"/>
          </w:cols>
          <w:pgMar w:left="1440" w:top="254" w:right="1440" w:bottom="1440" w:gutter="0" w:footer="0" w:header="0"/>
        </w:sectPr>
      </w:pPr>
    </w:p>
    <w:bookmarkStart w:id="32" w:name="page33"/>
    <w:bookmarkEnd w:id="32"/>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0425" cy="42545"/>
                    </a:xfrm>
                    <a:prstGeom prst="rect">
                      <a:avLst/>
                    </a:prstGeom>
                    <a:noFill/>
                  </pic:spPr>
                </pic:pic>
              </a:graphicData>
            </a:graphic>
          </wp:anchor>
        </w:drawing>
        <w:t>Recently Issued and Adopted Accounting Pronouncement</w:t>
      </w:r>
    </w:p>
    <w:p>
      <w:pPr>
        <w:spacing w:after="0" w:line="82" w:lineRule="exact"/>
        <w:rPr>
          <w:sz w:val="20"/>
          <w:szCs w:val="20"/>
          <w:color w:val="auto"/>
        </w:rPr>
      </w:pPr>
    </w:p>
    <w:p>
      <w:pPr>
        <w:ind w:left="640" w:right="859" w:firstLine="309"/>
        <w:spacing w:after="0" w:line="261" w:lineRule="auto"/>
        <w:rPr>
          <w:sz w:val="20"/>
          <w:szCs w:val="20"/>
          <w:color w:val="auto"/>
        </w:rPr>
      </w:pPr>
      <w:r>
        <w:rPr>
          <w:rFonts w:ascii="Arial" w:cs="Arial" w:eastAsia="Arial" w:hAnsi="Arial"/>
          <w:sz w:val="13"/>
          <w:szCs w:val="13"/>
          <w:color w:val="auto"/>
        </w:rPr>
        <w:t>New standards and interpretations applied for the first time as of January 1, 2023 and 2022 had no material effect on the consolidated financial statements of the Group.</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Quantitative and Qualitative Disclosures about Market Risk</w:t>
      </w:r>
    </w:p>
    <w:p>
      <w:pPr>
        <w:spacing w:after="0" w:line="82" w:lineRule="exact"/>
        <w:rPr>
          <w:sz w:val="20"/>
          <w:szCs w:val="20"/>
          <w:color w:val="auto"/>
        </w:rPr>
      </w:pPr>
    </w:p>
    <w:p>
      <w:pPr>
        <w:ind w:left="640" w:right="679" w:firstLine="309"/>
        <w:spacing w:after="0" w:line="249" w:lineRule="auto"/>
        <w:rPr>
          <w:sz w:val="20"/>
          <w:szCs w:val="20"/>
          <w:color w:val="auto"/>
        </w:rPr>
      </w:pPr>
      <w:r>
        <w:rPr>
          <w:rFonts w:ascii="Arial" w:cs="Arial" w:eastAsia="Arial" w:hAnsi="Arial"/>
          <w:sz w:val="13"/>
          <w:szCs w:val="13"/>
          <w:color w:val="auto"/>
        </w:rPr>
        <w:t>We are exposed to various risks in relation to financial instruments. Our principal financial instruments comprise cash and cash equivalents, short-term deposits, accounts receivables and bonds. The main purpose of these financial instruments is to invest the proceeds of capital contributions and upfront payments from collaboration agreements. We have various other financial instruments such as other receivables and trade accounts payables, which arise directly from its operations.</w:t>
      </w:r>
    </w:p>
    <w:p>
      <w:pPr>
        <w:spacing w:after="0" w:line="138" w:lineRule="exact"/>
        <w:rPr>
          <w:sz w:val="20"/>
          <w:szCs w:val="20"/>
          <w:color w:val="auto"/>
        </w:rPr>
      </w:pPr>
    </w:p>
    <w:p>
      <w:pPr>
        <w:ind w:left="640" w:right="679" w:firstLine="309"/>
        <w:spacing w:after="0" w:line="302" w:lineRule="auto"/>
        <w:rPr>
          <w:sz w:val="20"/>
          <w:szCs w:val="20"/>
          <w:color w:val="auto"/>
        </w:rPr>
      </w:pPr>
      <w:r>
        <w:rPr>
          <w:rFonts w:ascii="Arial" w:cs="Arial" w:eastAsia="Arial" w:hAnsi="Arial"/>
          <w:sz w:val="12"/>
          <w:szCs w:val="12"/>
          <w:color w:val="auto"/>
        </w:rPr>
        <w:t>The main risks arising from our financial instruments are market risk and liquidity risk. The Board of Management reviews and agrees on policies for managing these risks as summarized below. We also monitor the market price risk arising from all financial instruments.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3"/>
          <w:szCs w:val="13"/>
          <w:b w:val="1"/>
          <w:bCs w:val="1"/>
          <w:i w:val="1"/>
          <w:iCs w:val="1"/>
          <w:color w:val="auto"/>
        </w:rPr>
        <w:t>Interest rate risk</w:t>
      </w:r>
    </w:p>
    <w:p>
      <w:pPr>
        <w:spacing w:after="0" w:line="78" w:lineRule="exact"/>
        <w:rPr>
          <w:sz w:val="20"/>
          <w:szCs w:val="20"/>
          <w:color w:val="auto"/>
        </w:rPr>
      </w:pPr>
    </w:p>
    <w:p>
      <w:pPr>
        <w:ind w:left="640" w:right="679" w:firstLine="309"/>
        <w:spacing w:after="0" w:line="252" w:lineRule="auto"/>
        <w:rPr>
          <w:sz w:val="20"/>
          <w:szCs w:val="20"/>
          <w:color w:val="auto"/>
        </w:rPr>
      </w:pPr>
      <w:r>
        <w:rPr>
          <w:rFonts w:ascii="Arial" w:cs="Arial" w:eastAsia="Arial" w:hAnsi="Arial"/>
          <w:sz w:val="13"/>
          <w:szCs w:val="13"/>
          <w:color w:val="auto"/>
        </w:rPr>
        <w:t>Our exposure to changes in interest rates relates to investments in deposits, bonds and to changes in the interest for overnight deposits. Changes in the general level of interest rates may lead to an increase or decrease in the fair value of these investments. Regarding the liabilities shown in the Consolidated Statement of Financial Position, we are currently not subject to interest rate risks.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3"/>
          <w:szCs w:val="13"/>
          <w:b w:val="1"/>
          <w:bCs w:val="1"/>
          <w:i w:val="1"/>
          <w:iCs w:val="1"/>
          <w:color w:val="auto"/>
        </w:rPr>
        <w:t>Credit risk</w:t>
      </w:r>
    </w:p>
    <w:p>
      <w:pPr>
        <w:spacing w:after="0" w:line="78" w:lineRule="exact"/>
        <w:rPr>
          <w:sz w:val="20"/>
          <w:szCs w:val="20"/>
          <w:color w:val="auto"/>
        </w:rPr>
      </w:pPr>
    </w:p>
    <w:p>
      <w:pPr>
        <w:ind w:left="640" w:right="819" w:firstLine="309"/>
        <w:spacing w:after="0" w:line="320" w:lineRule="auto"/>
        <w:rPr>
          <w:sz w:val="20"/>
          <w:szCs w:val="20"/>
          <w:color w:val="auto"/>
        </w:rPr>
      </w:pPr>
      <w:r>
        <w:rPr>
          <w:rFonts w:ascii="Arial" w:cs="Arial" w:eastAsia="Arial" w:hAnsi="Arial"/>
          <w:sz w:val="11"/>
          <w:szCs w:val="11"/>
          <w:color w:val="auto"/>
        </w:rPr>
        <w:t>Financial instruments that potentially subject us to concentrations of credit and liquidity risk consist primarily of cash and cash equivalents, accounts receivables, short-term deposits and bonds. Our cash and cash equivalents, bonds and short-term deposits are denominated in Euros and US Dollars and maintained with three financial institutions in Germany and two in the United States. Our accounts receivables are denominated in Euros.</w:t>
      </w:r>
    </w:p>
    <w:p>
      <w:pPr>
        <w:spacing w:after="0" w:line="101" w:lineRule="exact"/>
        <w:rPr>
          <w:sz w:val="20"/>
          <w:szCs w:val="20"/>
          <w:color w:val="auto"/>
        </w:rPr>
      </w:pPr>
    </w:p>
    <w:p>
      <w:pPr>
        <w:ind w:left="640" w:right="659" w:firstLine="309"/>
        <w:spacing w:after="0" w:line="249" w:lineRule="auto"/>
        <w:rPr>
          <w:sz w:val="20"/>
          <w:szCs w:val="20"/>
          <w:color w:val="auto"/>
        </w:rPr>
      </w:pPr>
      <w:r>
        <w:rPr>
          <w:rFonts w:ascii="Arial" w:cs="Arial" w:eastAsia="Arial" w:hAnsi="Arial"/>
          <w:sz w:val="13"/>
          <w:szCs w:val="13"/>
          <w:color w:val="auto"/>
        </w:rPr>
        <w:t>We continually monitor our positions with, and the credit quality of, the financial institutions and corporation, which are counterparts to our financial instruments and we are not anticipating non-performance. The maximum default risk corresponds to the carrying amount of the financial assets shown in the statement of financial position. We monitor the risk of a liquidity shortage. The main factors considered here are the maturities of financial assets, as well as expected cash flows from equity measures.</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3"/>
          <w:szCs w:val="13"/>
          <w:b w:val="1"/>
          <w:bCs w:val="1"/>
          <w:i w:val="1"/>
          <w:iCs w:val="1"/>
          <w:color w:val="auto"/>
        </w:rPr>
        <w:t>Currency risk</w:t>
      </w:r>
    </w:p>
    <w:p>
      <w:pPr>
        <w:spacing w:after="0" w:line="78" w:lineRule="exact"/>
        <w:rPr>
          <w:sz w:val="20"/>
          <w:szCs w:val="20"/>
          <w:color w:val="auto"/>
        </w:rPr>
      </w:pPr>
    </w:p>
    <w:p>
      <w:pPr>
        <w:ind w:left="640" w:right="679" w:firstLine="309"/>
        <w:spacing w:after="0" w:line="247" w:lineRule="auto"/>
        <w:rPr>
          <w:sz w:val="20"/>
          <w:szCs w:val="20"/>
          <w:color w:val="auto"/>
        </w:rPr>
      </w:pPr>
      <w:r>
        <w:rPr>
          <w:rFonts w:ascii="Arial" w:cs="Arial" w:eastAsia="Arial" w:hAnsi="Arial"/>
          <w:sz w:val="13"/>
          <w:szCs w:val="13"/>
          <w:color w:val="auto"/>
        </w:rPr>
        <w:t>Currency risk shows the risk that the value of a financial instrument will fluctuate due to changes in foreign exchange rates. In particular it poses a threat if the value of the currency in which liabilities are priced appreciates relative to the currency of the assets. Our business transactions are generally conducted in Euros and U.S. dollars. We aim to match EUR cash inflows with EUR cash outflows and U.S. dollar cash inflows with U.S. Dollar cash outflows where possible. Our objective of currency risk management is to identify, manage and control currency risk exposures within acceptable parameters.</w:t>
      </w:r>
    </w:p>
    <w:p>
      <w:pPr>
        <w:spacing w:after="0" w:line="141" w:lineRule="exact"/>
        <w:rPr>
          <w:sz w:val="20"/>
          <w:szCs w:val="20"/>
          <w:color w:val="auto"/>
        </w:rPr>
      </w:pPr>
    </w:p>
    <w:p>
      <w:pPr>
        <w:ind w:left="640" w:right="719" w:firstLine="309"/>
        <w:spacing w:after="0" w:line="309" w:lineRule="auto"/>
        <w:rPr>
          <w:sz w:val="20"/>
          <w:szCs w:val="20"/>
          <w:color w:val="auto"/>
        </w:rPr>
      </w:pPr>
      <w:r>
        <w:rPr>
          <w:rFonts w:ascii="Arial" w:cs="Arial" w:eastAsia="Arial" w:hAnsi="Arial"/>
          <w:sz w:val="11"/>
          <w:szCs w:val="11"/>
          <w:color w:val="auto"/>
        </w:rPr>
        <w:t>Our cash and cash equivalents were €130.4 million as of June 30, 2023. Approximately 73% of our cash and cash equivalents were held in Germany, of which approximately 52% were denominated in Euros and 48% were denominated in U.S. Dollars. The remainder of our cash and cash equivalents are held in the United States and denominated in U.S. Dollars. Additionally, we have short-term deposits classified as Other financial assets denominated in Euros in the amount of €111.7 million and U.S. Dollars in the amount of €105.5 million as of June 30, 2023.</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3"/>
          <w:szCs w:val="13"/>
          <w:b w:val="1"/>
          <w:bCs w:val="1"/>
          <w:i w:val="1"/>
          <w:iCs w:val="1"/>
          <w:color w:val="auto"/>
        </w:rPr>
        <w:t>Market risk and currency risk of warrants</w:t>
      </w:r>
    </w:p>
    <w:p>
      <w:pPr>
        <w:spacing w:after="0" w:line="78" w:lineRule="exact"/>
        <w:rPr>
          <w:sz w:val="20"/>
          <w:szCs w:val="20"/>
          <w:color w:val="auto"/>
        </w:rPr>
      </w:pPr>
    </w:p>
    <w:p>
      <w:pPr>
        <w:ind w:left="640" w:right="859" w:firstLine="309"/>
        <w:spacing w:after="0" w:line="309" w:lineRule="auto"/>
        <w:rPr>
          <w:sz w:val="20"/>
          <w:szCs w:val="20"/>
          <w:color w:val="auto"/>
        </w:rPr>
      </w:pPr>
      <w:r>
        <w:rPr>
          <w:rFonts w:ascii="Arial" w:cs="Arial" w:eastAsia="Arial" w:hAnsi="Arial"/>
          <w:sz w:val="11"/>
          <w:szCs w:val="11"/>
          <w:color w:val="auto"/>
        </w:rPr>
        <w:t>The Group’s activities expose it to the financial risks of changes in price of the warrants. As the warrants are recognized at fair value on the consolidated statement of financial position of the Group, the Group’s exposure to market risks results from the volatility of the warrants price. The Warrants are publicly traded at the NASDAQ Stock Exchange. A reasonable increase (decrease) in the warrant price by 10%, with all other variables held constant, would lead to a (loss) gain before tax of €2.3 million with a corresponding effect in the equity as of June 30, 2023.</w:t>
      </w:r>
    </w:p>
    <w:p>
      <w:pPr>
        <w:sectPr>
          <w:pgSz w:w="11900" w:h="16838" w:orient="portrait"/>
          <w:cols w:equalWidth="0" w:num="1">
            <w:col w:w="9019"/>
          </w:cols>
          <w:pgMar w:left="1440" w:top="250" w:right="1440" w:bottom="1440" w:gutter="0" w:footer="0" w:header="0"/>
        </w:sectPr>
      </w:pPr>
    </w:p>
    <w:bookmarkStart w:id="33" w:name="page34"/>
    <w:bookmarkEnd w:id="33"/>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0425" cy="42545"/>
                    </a:xfrm>
                    <a:prstGeom prst="rect">
                      <a:avLst/>
                    </a:prstGeom>
                    <a:noFill/>
                  </pic:spPr>
                </pic:pic>
              </a:graphicData>
            </a:graphic>
          </wp:anchor>
        </w:drawing>
        <w:t>OTHER INFORMATION</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3"/>
          <w:szCs w:val="13"/>
          <w:b w:val="1"/>
          <w:bCs w:val="1"/>
          <w:i w:val="1"/>
          <w:iCs w:val="1"/>
          <w:color w:val="auto"/>
        </w:rPr>
        <w:t>Legal Proceedings</w:t>
      </w:r>
    </w:p>
    <w:p>
      <w:pPr>
        <w:spacing w:after="0" w:line="78" w:lineRule="exact"/>
        <w:rPr>
          <w:sz w:val="20"/>
          <w:szCs w:val="20"/>
          <w:color w:val="auto"/>
        </w:rPr>
      </w:pPr>
    </w:p>
    <w:p>
      <w:pPr>
        <w:ind w:left="640" w:right="699" w:firstLine="309"/>
        <w:spacing w:after="0" w:line="249" w:lineRule="auto"/>
        <w:rPr>
          <w:sz w:val="20"/>
          <w:szCs w:val="20"/>
          <w:color w:val="auto"/>
        </w:rPr>
      </w:pPr>
      <w:r>
        <w:rPr>
          <w:rFonts w:ascii="Arial" w:cs="Arial" w:eastAsia="Arial" w:hAnsi="Arial"/>
          <w:sz w:val="13"/>
          <w:szCs w:val="13"/>
          <w:color w:val="auto"/>
        </w:rPr>
        <w:t>From time to time, we may be subject to various legal proceedings and claims that arise in the ordinary course of our business activities. For example, in September 2020, we filed an opposition and in October 2020 we commenced a cancellation proceeding against Immunocore Limited which challenges its IMMTAX trademark in various jurisdictions. In November 2020, Immunocore Limited filed counterclaims against our registered trademark IMMATICS and IMTX. This matter has now been amicably resolved.</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3"/>
          <w:szCs w:val="13"/>
          <w:b w:val="1"/>
          <w:bCs w:val="1"/>
          <w:i w:val="1"/>
          <w:iCs w:val="1"/>
          <w:color w:val="auto"/>
        </w:rPr>
        <w:t>Risk Factors</w:t>
      </w:r>
    </w:p>
    <w:p>
      <w:pPr>
        <w:spacing w:after="0" w:line="78" w:lineRule="exact"/>
        <w:rPr>
          <w:sz w:val="20"/>
          <w:szCs w:val="20"/>
          <w:color w:val="auto"/>
        </w:rPr>
      </w:pPr>
    </w:p>
    <w:p>
      <w:pPr>
        <w:ind w:left="940"/>
        <w:spacing w:after="0"/>
        <w:rPr>
          <w:sz w:val="20"/>
          <w:szCs w:val="20"/>
          <w:color w:val="auto"/>
        </w:rPr>
      </w:pPr>
      <w:r>
        <w:rPr>
          <w:rFonts w:ascii="Arial" w:cs="Arial" w:eastAsia="Arial" w:hAnsi="Arial"/>
          <w:sz w:val="13"/>
          <w:szCs w:val="13"/>
          <w:color w:val="auto"/>
        </w:rPr>
        <w:t>There have been no material changes from the risk factors described in the section titled “Risk Factors” in our Annual Report.</w:t>
      </w:r>
    </w:p>
    <w:p>
      <w:pPr>
        <w:sectPr>
          <w:pgSz w:w="11900" w:h="16838" w:orient="portrait"/>
          <w:cols w:equalWidth="0" w:num="1">
            <w:col w:w="9019"/>
          </w:cols>
          <w:pgMar w:left="1440" w:top="250" w:right="1440" w:bottom="1440" w:gutter="0" w:footer="0" w:header="0"/>
        </w:sectPr>
      </w:pPr>
    </w:p>
    <w:bookmarkStart w:id="34" w:name="page35"/>
    <w:bookmarkEnd w:id="34"/>
    <w:p>
      <w:pPr>
        <w:jc w:val="right"/>
        <w:ind w:right="639"/>
        <w:spacing w:after="0"/>
        <w:rPr>
          <w:sz w:val="20"/>
          <w:szCs w:val="20"/>
          <w:color w:val="auto"/>
        </w:rPr>
      </w:pPr>
      <w:r>
        <w:rPr>
          <w:rFonts w:ascii="Arial" w:cs="Arial" w:eastAsia="Arial" w:hAnsi="Arial"/>
          <w:sz w:val="13"/>
          <w:szCs w:val="13"/>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118110</wp:posOffset>
            </wp:positionV>
            <wp:extent cx="1131570" cy="396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31570" cy="396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PRESS RELEASE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Immatics Announces Second Quarter 2023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Financial Results and Business Update</w:t>
      </w:r>
    </w:p>
    <w:p>
      <w:pPr>
        <w:spacing w:after="0" w:line="249" w:lineRule="exact"/>
        <w:rPr>
          <w:sz w:val="20"/>
          <w:szCs w:val="20"/>
          <w:color w:val="auto"/>
        </w:rPr>
      </w:pPr>
    </w:p>
    <w:p>
      <w:pPr>
        <w:ind w:left="940" w:right="1059" w:hanging="227"/>
        <w:spacing w:after="0" w:line="210" w:lineRule="auto"/>
        <w:tabs>
          <w:tab w:leader="none" w:pos="9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Phase 1/2 clinical trial initiated evaluating Immatics’ second next-generation half-life extended TCR Bispecific program, TCER</w:t>
      </w:r>
      <w:r>
        <w:rPr>
          <w:rFonts w:ascii="Arial" w:cs="Arial" w:eastAsia="Arial" w:hAnsi="Arial"/>
          <w:sz w:val="18"/>
          <w:szCs w:val="18"/>
          <w:color w:val="auto"/>
          <w:vertAlign w:val="superscript"/>
        </w:rPr>
        <w:t>®</w:t>
      </w:r>
      <w:r>
        <w:rPr>
          <w:rFonts w:ascii="Arial" w:cs="Arial" w:eastAsia="Arial" w:hAnsi="Arial"/>
          <w:sz w:val="13"/>
          <w:szCs w:val="13"/>
          <w:color w:val="auto"/>
        </w:rPr>
        <w:t xml:space="preserve"> IMA402 targeting PRAME</w:t>
      </w:r>
    </w:p>
    <w:p>
      <w:pPr>
        <w:spacing w:after="0" w:line="76" w:lineRule="exact"/>
        <w:rPr>
          <w:rFonts w:ascii="Arial" w:cs="Arial" w:eastAsia="Arial" w:hAnsi="Arial"/>
          <w:sz w:val="13"/>
          <w:szCs w:val="13"/>
          <w:color w:val="auto"/>
        </w:rPr>
      </w:pPr>
    </w:p>
    <w:p>
      <w:pPr>
        <w:ind w:left="940" w:right="739" w:hanging="227"/>
        <w:spacing w:after="0" w:line="220" w:lineRule="auto"/>
        <w:tabs>
          <w:tab w:leader="none" w:pos="9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ACTengine</w:t>
      </w:r>
      <w:r>
        <w:rPr>
          <w:rFonts w:ascii="Arial" w:cs="Arial" w:eastAsia="Arial" w:hAnsi="Arial"/>
          <w:sz w:val="18"/>
          <w:szCs w:val="18"/>
          <w:color w:val="auto"/>
          <w:vertAlign w:val="superscript"/>
        </w:rPr>
        <w:t>®</w:t>
      </w:r>
      <w:r>
        <w:rPr>
          <w:rFonts w:ascii="Arial" w:cs="Arial" w:eastAsia="Arial" w:hAnsi="Arial"/>
          <w:sz w:val="13"/>
          <w:szCs w:val="13"/>
          <w:color w:val="auto"/>
        </w:rPr>
        <w:t xml:space="preserve"> IMA203 TCR-T monotherapy against PRAME showed 67% confirmed ORR in an interim clinical update on 11 heavily pre-treated patients in Phase 1b dose expansion Cohort A with median duration of response not reached at a median follow-up time of 8.5 months at data cut-off; next update in 4Q 2023</w:t>
      </w:r>
    </w:p>
    <w:p>
      <w:pPr>
        <w:spacing w:after="0" w:line="76" w:lineRule="exact"/>
        <w:rPr>
          <w:rFonts w:ascii="Arial" w:cs="Arial" w:eastAsia="Arial" w:hAnsi="Arial"/>
          <w:sz w:val="13"/>
          <w:szCs w:val="13"/>
          <w:color w:val="auto"/>
        </w:rPr>
      </w:pPr>
    </w:p>
    <w:p>
      <w:pPr>
        <w:ind w:left="940" w:right="799" w:hanging="227"/>
        <w:spacing w:after="0" w:line="261" w:lineRule="auto"/>
        <w:tabs>
          <w:tab w:leader="none" w:pos="9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Bristol Myers Squibb exercised first opt-in into 2019 cell therapy collaboration ($15 million option fee received) and made a $35 million equity investment</w:t>
      </w:r>
    </w:p>
    <w:p>
      <w:pPr>
        <w:spacing w:after="0" w:line="63" w:lineRule="exact"/>
        <w:rPr>
          <w:rFonts w:ascii="Arial" w:cs="Arial" w:eastAsia="Arial" w:hAnsi="Arial"/>
          <w:sz w:val="13"/>
          <w:szCs w:val="13"/>
          <w:color w:val="auto"/>
        </w:rPr>
      </w:pPr>
    </w:p>
    <w:p>
      <w:pPr>
        <w:ind w:left="940" w:right="1159" w:hanging="227"/>
        <w:spacing w:after="0" w:line="290" w:lineRule="auto"/>
        <w:tabs>
          <w:tab w:leader="none" w:pos="9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Cash and cash equivalents as well as other financial assets not including the recent equity investment by Bristol Myers Squibb amount to $377.7 million</w:t>
      </w:r>
      <w:r>
        <w:rPr>
          <w:rFonts w:ascii="Arial" w:cs="Arial" w:eastAsia="Arial" w:hAnsi="Arial"/>
          <w:sz w:val="18"/>
          <w:szCs w:val="18"/>
          <w:color w:val="auto"/>
          <w:vertAlign w:val="superscript"/>
        </w:rPr>
        <w:t>1</w:t>
      </w:r>
      <w:r>
        <w:rPr>
          <w:rFonts w:ascii="Arial" w:cs="Arial" w:eastAsia="Arial" w:hAnsi="Arial"/>
          <w:sz w:val="13"/>
          <w:szCs w:val="13"/>
          <w:color w:val="auto"/>
        </w:rPr>
        <w:t xml:space="preserve"> (€347.6) as of June 30, 2023; updated projected cash runway is late 2025</w:t>
      </w:r>
    </w:p>
    <w:p>
      <w:pPr>
        <w:spacing w:after="0" w:line="20" w:lineRule="exact"/>
        <w:rPr>
          <w:sz w:val="20"/>
          <w:szCs w:val="20"/>
          <w:color w:val="auto"/>
        </w:rPr>
      </w:pPr>
    </w:p>
    <w:p>
      <w:pPr>
        <w:ind w:left="640" w:right="659"/>
        <w:spacing w:after="0" w:line="255" w:lineRule="auto"/>
        <w:rPr>
          <w:sz w:val="20"/>
          <w:szCs w:val="20"/>
          <w:color w:val="auto"/>
        </w:rPr>
      </w:pPr>
      <w:r>
        <w:rPr>
          <w:rFonts w:ascii="Arial" w:cs="Arial" w:eastAsia="Arial" w:hAnsi="Arial"/>
          <w:sz w:val="13"/>
          <w:szCs w:val="13"/>
          <w:b w:val="1"/>
          <w:bCs w:val="1"/>
          <w:color w:val="auto"/>
        </w:rPr>
        <w:t xml:space="preserve">Tuebingen, Germany and Houston, TX, August 17, 2023 </w:t>
      </w:r>
      <w:r>
        <w:rPr>
          <w:rFonts w:ascii="Arial" w:cs="Arial" w:eastAsia="Arial" w:hAnsi="Arial"/>
          <w:sz w:val="13"/>
          <w:szCs w:val="13"/>
          <w:color w:val="auto"/>
        </w:rPr>
        <w:t>– Immatics N.V. (NASDAQ: IMTX; “Immatics”), a clinical-stage biopharmaceutical</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active in the discovery and development of T cell-redirecting cancer immunotherapies, today provided a business update and reported financial results for the quarter ended June 30, 2023.</w:t>
      </w:r>
    </w:p>
    <w:p>
      <w:pPr>
        <w:spacing w:after="0" w:line="134" w:lineRule="exact"/>
        <w:rPr>
          <w:sz w:val="20"/>
          <w:szCs w:val="20"/>
          <w:color w:val="auto"/>
        </w:rPr>
      </w:pPr>
    </w:p>
    <w:p>
      <w:pPr>
        <w:ind w:left="640" w:right="679"/>
        <w:spacing w:after="0" w:line="279" w:lineRule="auto"/>
        <w:rPr>
          <w:sz w:val="20"/>
          <w:szCs w:val="20"/>
          <w:color w:val="auto"/>
        </w:rPr>
      </w:pPr>
      <w:r>
        <w:rPr>
          <w:rFonts w:ascii="Arial" w:cs="Arial" w:eastAsia="Arial" w:hAnsi="Arial"/>
          <w:sz w:val="12"/>
          <w:szCs w:val="12"/>
          <w:color w:val="auto"/>
        </w:rPr>
        <w:t>“The interim clinical data update for IMA203 monotherapy demonstrated an encouraging initial objective response rate in a range of solid cancer indications including durable responses supporting fast-tracking IMA203 to patients, starting with high-need solid cancers such as checkpoint-refractory melanoma and uveal melanoma,” said Harpreet Singh, Ph.D., CEO and Co-Founder of Immatics. “Beyond our recent IMA203 updates, we are pleased to report that we closed the second quarter with a cash position funding operations into late 2025. With this revised runway, we anticipate reaching our most critical milestones including the initiation of registration-directed trials for IMA203, as well as delivering meaningful data to assess clinical proof of concept for both TCER</w:t>
      </w:r>
      <w:r>
        <w:rPr>
          <w:rFonts w:ascii="Arial" w:cs="Arial" w:eastAsia="Arial" w:hAnsi="Arial"/>
          <w:sz w:val="17"/>
          <w:szCs w:val="17"/>
          <w:color w:val="auto"/>
          <w:vertAlign w:val="superscript"/>
        </w:rPr>
        <w:t>®</w:t>
      </w:r>
      <w:r>
        <w:rPr>
          <w:rFonts w:ascii="Arial" w:cs="Arial" w:eastAsia="Arial" w:hAnsi="Arial"/>
          <w:sz w:val="12"/>
          <w:szCs w:val="12"/>
          <w:color w:val="auto"/>
        </w:rPr>
        <w:t xml:space="preserve"> programs IMA401 and IMA402.”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-3175</wp:posOffset>
            </wp:positionV>
            <wp:extent cx="54165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ind w:left="940" w:hanging="303"/>
        <w:spacing w:after="0" w:line="213" w:lineRule="auto"/>
        <w:tabs>
          <w:tab w:leader="none" w:pos="940" w:val="left"/>
        </w:tabs>
        <w:numPr>
          <w:ilvl w:val="0"/>
          <w:numId w:val="16"/>
        </w:numPr>
        <w:rPr>
          <w:rFonts w:ascii="Arial" w:cs="Arial" w:eastAsia="Arial" w:hAnsi="Arial"/>
          <w:sz w:val="17"/>
          <w:szCs w:val="17"/>
          <w:color w:val="auto"/>
          <w:vertAlign w:val="superscript"/>
        </w:rPr>
      </w:pPr>
      <w:r>
        <w:rPr>
          <w:rFonts w:ascii="Arial" w:cs="Arial" w:eastAsia="Arial" w:hAnsi="Arial"/>
          <w:sz w:val="11"/>
          <w:szCs w:val="11"/>
          <w:color w:val="auto"/>
        </w:rPr>
        <w:t>All amounts translated using the exchange rate published by the European Central Bank in effect as of June 30, 2023 (1 EUR = 1.0866 USD).</w:t>
      </w:r>
    </w:p>
    <w:p>
      <w:pPr>
        <w:spacing w:after="0" w:line="96"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720" w:type="dxa"/>
            <w:vAlign w:val="bottom"/>
          </w:tcPr>
          <w:p>
            <w:pPr>
              <w:spacing w:after="0"/>
              <w:rPr>
                <w:sz w:val="20"/>
                <w:szCs w:val="20"/>
                <w:color w:val="auto"/>
              </w:rPr>
            </w:pPr>
            <w:r>
              <w:rPr>
                <w:rFonts w:ascii="Arial" w:cs="Arial" w:eastAsia="Arial" w:hAnsi="Arial"/>
                <w:sz w:val="13"/>
                <w:szCs w:val="13"/>
                <w:color w:val="auto"/>
              </w:rPr>
              <w:t>Immatics Press Release August 17, 2023</w:t>
            </w:r>
          </w:p>
        </w:tc>
        <w:tc>
          <w:tcPr>
            <w:tcW w:w="3020" w:type="dxa"/>
            <w:vAlign w:val="bottom"/>
          </w:tcPr>
          <w:p>
            <w:pPr>
              <w:jc w:val="right"/>
              <w:spacing w:after="0"/>
              <w:rPr>
                <w:sz w:val="20"/>
                <w:szCs w:val="20"/>
                <w:color w:val="auto"/>
              </w:rPr>
            </w:pPr>
            <w:r>
              <w:rPr>
                <w:rFonts w:ascii="Arial" w:cs="Arial" w:eastAsia="Arial" w:hAnsi="Arial"/>
                <w:sz w:val="13"/>
                <w:szCs w:val="13"/>
                <w:color w:val="auto"/>
              </w:rPr>
              <w:t>1 | 11</w:t>
            </w:r>
          </w:p>
        </w:tc>
      </w:tr>
    </w:tbl>
    <w:p>
      <w:pPr>
        <w:sectPr>
          <w:pgSz w:w="11900" w:h="16838" w:orient="portrait"/>
          <w:cols w:equalWidth="0" w:num="1">
            <w:col w:w="9019"/>
          </w:cols>
          <w:pgMar w:left="1440" w:top="127" w:right="1440" w:bottom="1440" w:gutter="0" w:footer="0" w:header="0"/>
        </w:sectPr>
      </w:pPr>
    </w:p>
    <w:bookmarkStart w:id="35" w:name="page36"/>
    <w:bookmarkEnd w:id="35"/>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635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0425" cy="463550"/>
                    </a:xfrm>
                    <a:prstGeom prst="rect">
                      <a:avLst/>
                    </a:prstGeom>
                    <a:noFill/>
                  </pic:spPr>
                </pic:pic>
              </a:graphicData>
            </a:graphic>
          </wp:anchor>
        </w:drawing>
        <w:t>Second Quarter 2023 and Subsequent Company Progress</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3"/>
          <w:szCs w:val="13"/>
          <w:i w:val="1"/>
          <w:iCs w:val="1"/>
          <w:u w:val="single" w:color="auto"/>
          <w:color w:val="auto"/>
        </w:rPr>
        <w:t>Adoptive Cell Therapy Programs</w:t>
      </w:r>
    </w:p>
    <w:p>
      <w:pPr>
        <w:spacing w:after="0" w:line="74" w:lineRule="exact"/>
        <w:rPr>
          <w:sz w:val="20"/>
          <w:szCs w:val="20"/>
          <w:color w:val="auto"/>
        </w:rPr>
      </w:pPr>
    </w:p>
    <w:p>
      <w:pPr>
        <w:ind w:left="640"/>
        <w:spacing w:after="0"/>
        <w:rPr>
          <w:sz w:val="20"/>
          <w:szCs w:val="20"/>
          <w:color w:val="auto"/>
        </w:rPr>
      </w:pPr>
      <w:r>
        <w:rPr>
          <w:rFonts w:ascii="Arial" w:cs="Arial" w:eastAsia="Arial" w:hAnsi="Arial"/>
          <w:sz w:val="11"/>
          <w:szCs w:val="11"/>
          <w:b w:val="1"/>
          <w:bCs w:val="1"/>
          <w:color w:val="auto"/>
        </w:rPr>
        <w:t>ACTengine</w:t>
      </w:r>
      <w:r>
        <w:rPr>
          <w:rFonts w:ascii="Arial" w:cs="Arial" w:eastAsia="Arial" w:hAnsi="Arial"/>
          <w:sz w:val="16"/>
          <w:szCs w:val="16"/>
          <w:b w:val="1"/>
          <w:bCs w:val="1"/>
          <w:color w:val="auto"/>
          <w:vertAlign w:val="superscript"/>
        </w:rPr>
        <w:t>®</w:t>
      </w:r>
      <w:r>
        <w:rPr>
          <w:rFonts w:ascii="Arial" w:cs="Arial" w:eastAsia="Arial" w:hAnsi="Arial"/>
          <w:sz w:val="11"/>
          <w:szCs w:val="11"/>
          <w:b w:val="1"/>
          <w:bCs w:val="1"/>
          <w:color w:val="auto"/>
        </w:rPr>
        <w:t xml:space="preserve"> IMA203: ACTengine</w:t>
      </w:r>
      <w:r>
        <w:rPr>
          <w:rFonts w:ascii="Arial" w:cs="Arial" w:eastAsia="Arial" w:hAnsi="Arial"/>
          <w:sz w:val="16"/>
          <w:szCs w:val="16"/>
          <w:b w:val="1"/>
          <w:bCs w:val="1"/>
          <w:color w:val="auto"/>
          <w:vertAlign w:val="superscript"/>
        </w:rPr>
        <w:t>®</w:t>
      </w:r>
      <w:r>
        <w:rPr>
          <w:rFonts w:ascii="Arial" w:cs="Arial" w:eastAsia="Arial" w:hAnsi="Arial"/>
          <w:sz w:val="11"/>
          <w:szCs w:val="11"/>
          <w:b w:val="1"/>
          <w:bCs w:val="1"/>
          <w:color w:val="auto"/>
        </w:rPr>
        <w:t xml:space="preserve"> IMA203 TCR-T against PRAME is currently being evaluated in an ongoing Phase 1b dose expansion trial.</w:t>
      </w:r>
    </w:p>
    <w:p>
      <w:pPr>
        <w:spacing w:after="0" w:line="67" w:lineRule="exact"/>
        <w:rPr>
          <w:sz w:val="20"/>
          <w:szCs w:val="20"/>
          <w:color w:val="auto"/>
        </w:rPr>
      </w:pPr>
    </w:p>
    <w:p>
      <w:pPr>
        <w:ind w:left="940" w:right="699" w:hanging="227"/>
        <w:spacing w:after="0" w:line="249" w:lineRule="auto"/>
        <w:tabs>
          <w:tab w:leader="none" w:pos="9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As per the latest data cut-off of April 4, 2023, ACTengine</w:t>
      </w:r>
      <w:r>
        <w:rPr>
          <w:rFonts w:ascii="Arial" w:cs="Arial" w:eastAsia="Arial" w:hAnsi="Arial"/>
          <w:sz w:val="17"/>
          <w:szCs w:val="17"/>
          <w:color w:val="auto"/>
          <w:vertAlign w:val="superscript"/>
        </w:rPr>
        <w:t>®</w:t>
      </w:r>
      <w:r>
        <w:rPr>
          <w:rFonts w:ascii="Arial" w:cs="Arial" w:eastAsia="Arial" w:hAnsi="Arial"/>
          <w:sz w:val="12"/>
          <w:szCs w:val="12"/>
          <w:color w:val="auto"/>
        </w:rPr>
        <w:t xml:space="preserve"> IMA203 TCR-T monotherapy Cohort A showed a 67% confirmed objective response rate (cORR) in an interim clinical update announced on May 2, 2023. The data covered 11 heavily pre-treated patients; the median duration of response was not reached at a median follow-up time of 8.5 months. Patients were infused with IMA203 TCR-T cells at dose level (DL) 4 or DL5 with a mean total infused dose of 3.67x10</w:t>
      </w:r>
      <w:r>
        <w:rPr>
          <w:rFonts w:ascii="Arial" w:cs="Arial" w:eastAsia="Arial" w:hAnsi="Arial"/>
          <w:sz w:val="17"/>
          <w:szCs w:val="17"/>
          <w:color w:val="auto"/>
          <w:vertAlign w:val="superscript"/>
        </w:rPr>
        <w:t>9</w:t>
      </w:r>
      <w:r>
        <w:rPr>
          <w:rFonts w:ascii="Arial" w:cs="Arial" w:eastAsia="Arial" w:hAnsi="Arial"/>
          <w:sz w:val="12"/>
          <w:szCs w:val="12"/>
          <w:color w:val="auto"/>
        </w:rPr>
        <w:t xml:space="preserve"> TCR-T cells (range 1.30-8.84x10</w:t>
      </w:r>
      <w:r>
        <w:rPr>
          <w:rFonts w:ascii="Arial" w:cs="Arial" w:eastAsia="Arial" w:hAnsi="Arial"/>
          <w:sz w:val="17"/>
          <w:szCs w:val="17"/>
          <w:color w:val="auto"/>
          <w:vertAlign w:val="superscript"/>
        </w:rPr>
        <w:t>9</w:t>
      </w:r>
      <w:r>
        <w:rPr>
          <w:rFonts w:ascii="Arial" w:cs="Arial" w:eastAsia="Arial" w:hAnsi="Arial"/>
          <w:sz w:val="12"/>
          <w:szCs w:val="12"/>
          <w:color w:val="auto"/>
        </w:rPr>
        <w:t xml:space="preserve"> TCR-T cells).</w:t>
      </w:r>
    </w:p>
    <w:p>
      <w:pPr>
        <w:jc w:val="both"/>
        <w:ind w:left="940" w:right="979" w:hanging="227"/>
        <w:spacing w:after="0" w:line="310" w:lineRule="auto"/>
        <w:tabs>
          <w:tab w:leader="none" w:pos="940" w:val="left"/>
        </w:tabs>
        <w:numPr>
          <w:ilvl w:val="0"/>
          <w:numId w:val="17"/>
        </w:numPr>
        <w:rPr>
          <w:rFonts w:ascii="Arial" w:cs="Arial" w:eastAsia="Arial" w:hAnsi="Arial"/>
          <w:sz w:val="11"/>
          <w:szCs w:val="11"/>
          <w:color w:val="auto"/>
        </w:rPr>
      </w:pPr>
      <w:r>
        <w:rPr>
          <w:rFonts w:ascii="Arial" w:cs="Arial" w:eastAsia="Arial" w:hAnsi="Arial"/>
          <w:sz w:val="11"/>
          <w:szCs w:val="11"/>
          <w:color w:val="auto"/>
        </w:rPr>
        <w:t>Cohort A IMA203 monotherapy TCR-T treatment continues to show manageable tolerability with no high-grade CRS and no ICANS; all 11 patients experienced expected cytopenia (Grade 1-4) associated with lymphodepletion. 10 patients (91%) had a low to moderate (Grade 1-2) cytokine release syndrome (CRS), of which 5 patients (45%) had Grade 1, and 5 patients (45%) had Grade 2 CRS.</w:t>
      </w:r>
    </w:p>
    <w:p>
      <w:pPr>
        <w:spacing w:after="0" w:line="40" w:lineRule="exact"/>
        <w:rPr>
          <w:rFonts w:ascii="Arial" w:cs="Arial" w:eastAsia="Arial" w:hAnsi="Arial"/>
          <w:sz w:val="11"/>
          <w:szCs w:val="11"/>
          <w:color w:val="auto"/>
        </w:rPr>
      </w:pPr>
    </w:p>
    <w:p>
      <w:pPr>
        <w:ind w:left="940" w:right="779" w:hanging="227"/>
        <w:spacing w:after="0" w:line="283" w:lineRule="auto"/>
        <w:tabs>
          <w:tab w:leader="none" w:pos="9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Objective responses were observed independent of tumor type including checkpoint-refractory and BRAF inhibitor-refractory cutaneous melanoma, platinum-resistant ovarian cancer, uveal melanoma, head and neck cancer and synovial sarcoma. Longest duration of responses were observed in cutaneous and uveal melanoma with ongoing responses at 6, 9 and 10 months post infusion at data cut-off.</w:t>
      </w:r>
    </w:p>
    <w:p>
      <w:pPr>
        <w:spacing w:after="0" w:line="52" w:lineRule="exact"/>
        <w:rPr>
          <w:rFonts w:ascii="Arial" w:cs="Arial" w:eastAsia="Arial" w:hAnsi="Arial"/>
          <w:sz w:val="12"/>
          <w:szCs w:val="12"/>
          <w:color w:val="auto"/>
        </w:rPr>
      </w:pPr>
    </w:p>
    <w:p>
      <w:pPr>
        <w:ind w:left="940" w:right="699" w:hanging="227"/>
        <w:spacing w:after="0" w:line="261" w:lineRule="auto"/>
        <w:tabs>
          <w:tab w:leader="none" w:pos="9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IMA203 in combination with nivolumab (Cohort B) has been de-prioritized in the last-line setting. Such a combination is being considered for the front-line setting.</w:t>
      </w:r>
    </w:p>
    <w:p>
      <w:pPr>
        <w:spacing w:after="0" w:line="63" w:lineRule="exact"/>
        <w:rPr>
          <w:rFonts w:ascii="Arial" w:cs="Arial" w:eastAsia="Arial" w:hAnsi="Arial"/>
          <w:sz w:val="13"/>
          <w:szCs w:val="13"/>
          <w:color w:val="auto"/>
        </w:rPr>
      </w:pPr>
    </w:p>
    <w:p>
      <w:pPr>
        <w:ind w:left="940" w:right="1039" w:hanging="227"/>
        <w:spacing w:after="0" w:line="268" w:lineRule="auto"/>
        <w:tabs>
          <w:tab w:leader="none" w:pos="9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IMA203CD8 (Cohort C) is a next-generation monotherapy where IMA203 engineered T cells are co-transduced with a CD8αß co-receptor. IMA203CD8 is currently being explored in DL4a (up to 0.8x10</w:t>
      </w:r>
      <w:r>
        <w:rPr>
          <w:rFonts w:ascii="Arial" w:cs="Arial" w:eastAsia="Arial" w:hAnsi="Arial"/>
          <w:sz w:val="18"/>
          <w:szCs w:val="18"/>
          <w:color w:val="auto"/>
          <w:vertAlign w:val="superscript"/>
        </w:rPr>
        <w:t>9</w:t>
      </w:r>
      <w:r>
        <w:rPr>
          <w:rFonts w:ascii="Arial" w:cs="Arial" w:eastAsia="Arial" w:hAnsi="Arial"/>
          <w:sz w:val="13"/>
          <w:szCs w:val="13"/>
          <w:color w:val="auto"/>
        </w:rPr>
        <w:t xml:space="preserve"> TCR-T cells/m</w:t>
      </w:r>
      <w:r>
        <w:rPr>
          <w:rFonts w:ascii="Arial" w:cs="Arial" w:eastAsia="Arial" w:hAnsi="Arial"/>
          <w:sz w:val="18"/>
          <w:szCs w:val="18"/>
          <w:color w:val="auto"/>
          <w:vertAlign w:val="superscript"/>
        </w:rPr>
        <w:t>2</w:t>
      </w:r>
      <w:r>
        <w:rPr>
          <w:rFonts w:ascii="Arial" w:cs="Arial" w:eastAsia="Arial" w:hAnsi="Arial"/>
          <w:sz w:val="13"/>
          <w:szCs w:val="13"/>
          <w:color w:val="auto"/>
        </w:rPr>
        <w:t xml:space="preserve"> BSA).</w:t>
      </w:r>
    </w:p>
    <w:p>
      <w:pPr>
        <w:ind w:left="940" w:right="659" w:hanging="227"/>
        <w:spacing w:after="0" w:line="244" w:lineRule="auto"/>
        <w:tabs>
          <w:tab w:leader="none" w:pos="9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Next update on Immatics’ IMA203 Phase 1b cohorts, including the projected clinical development path for PRAME-targeted TCR-T monotherapy towards registration-directed trials is planned for 4Q 2023. Immatics’ IMA203 development strategy to realize the multi-cancer opportunity of targeting PRAME is based on two pillars aimed at:</w:t>
      </w:r>
    </w:p>
    <w:p>
      <w:pPr>
        <w:spacing w:after="0" w:line="74" w:lineRule="exact"/>
        <w:rPr>
          <w:rFonts w:ascii="Arial" w:cs="Arial" w:eastAsia="Arial" w:hAnsi="Arial"/>
          <w:sz w:val="13"/>
          <w:szCs w:val="13"/>
          <w:color w:val="auto"/>
        </w:rPr>
      </w:pPr>
    </w:p>
    <w:p>
      <w:pPr>
        <w:ind w:left="1640" w:right="1059" w:hanging="311"/>
        <w:spacing w:after="0" w:line="352" w:lineRule="auto"/>
        <w:tabs>
          <w:tab w:leader="none" w:pos="1640" w:val="left"/>
        </w:tabs>
        <w:numPr>
          <w:ilvl w:val="1"/>
          <w:numId w:val="17"/>
        </w:numPr>
        <w:rPr>
          <w:rFonts w:ascii="Arial" w:cs="Arial" w:eastAsia="Arial" w:hAnsi="Arial"/>
          <w:sz w:val="11"/>
          <w:szCs w:val="11"/>
          <w:color w:val="auto"/>
        </w:rPr>
      </w:pPr>
      <w:r>
        <w:rPr>
          <w:rFonts w:ascii="Arial" w:cs="Arial" w:eastAsia="Arial" w:hAnsi="Arial"/>
          <w:sz w:val="11"/>
          <w:szCs w:val="11"/>
          <w:color w:val="auto"/>
        </w:rPr>
        <w:t>maximizing speed to market in one to two last-line solid cancer types focusing on cutaneous melanoma, uveal melanoma and potentially other tumor types with high PRAME prevalence where clinical proof-of-concept has been demonstrated, and</w:t>
      </w:r>
    </w:p>
    <w:p>
      <w:pPr>
        <w:spacing w:after="0" w:line="17" w:lineRule="exact"/>
        <w:rPr>
          <w:rFonts w:ascii="Arial" w:cs="Arial" w:eastAsia="Arial" w:hAnsi="Arial"/>
          <w:sz w:val="11"/>
          <w:szCs w:val="11"/>
          <w:color w:val="auto"/>
        </w:rPr>
      </w:pPr>
    </w:p>
    <w:p>
      <w:pPr>
        <w:ind w:left="1640" w:right="679" w:hanging="311"/>
        <w:spacing w:after="0" w:line="261" w:lineRule="auto"/>
        <w:tabs>
          <w:tab w:leader="none" w:pos="1640" w:val="left"/>
        </w:tabs>
        <w:numPr>
          <w:ilvl w:val="1"/>
          <w:numId w:val="17"/>
        </w:numPr>
        <w:rPr>
          <w:rFonts w:ascii="Arial" w:cs="Arial" w:eastAsia="Arial" w:hAnsi="Arial"/>
          <w:sz w:val="13"/>
          <w:szCs w:val="13"/>
          <w:color w:val="auto"/>
        </w:rPr>
      </w:pPr>
      <w:r>
        <w:rPr>
          <w:rFonts w:ascii="Arial" w:cs="Arial" w:eastAsia="Arial" w:hAnsi="Arial"/>
          <w:sz w:val="13"/>
          <w:szCs w:val="13"/>
          <w:color w:val="auto"/>
        </w:rPr>
        <w:t>broad development with expansion to other cancer types, such as ovarian cancer, uterine cancer, lung cancer, breast cancer, head and neck cancer and other tumor types having a broad patient reach.</w:t>
      </w:r>
    </w:p>
    <w:p>
      <w:pPr>
        <w:spacing w:after="0" w:line="82"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720" w:type="dxa"/>
            <w:vAlign w:val="bottom"/>
          </w:tcPr>
          <w:p>
            <w:pPr>
              <w:spacing w:after="0"/>
              <w:rPr>
                <w:sz w:val="20"/>
                <w:szCs w:val="20"/>
                <w:color w:val="auto"/>
              </w:rPr>
            </w:pPr>
            <w:r>
              <w:rPr>
                <w:rFonts w:ascii="Arial" w:cs="Arial" w:eastAsia="Arial" w:hAnsi="Arial"/>
                <w:sz w:val="13"/>
                <w:szCs w:val="13"/>
                <w:color w:val="auto"/>
              </w:rPr>
              <w:t>Immatics Press Release August 17, 2023</w:t>
            </w:r>
          </w:p>
        </w:tc>
        <w:tc>
          <w:tcPr>
            <w:tcW w:w="3020" w:type="dxa"/>
            <w:vAlign w:val="bottom"/>
          </w:tcPr>
          <w:p>
            <w:pPr>
              <w:jc w:val="right"/>
              <w:spacing w:after="0"/>
              <w:rPr>
                <w:sz w:val="20"/>
                <w:szCs w:val="20"/>
                <w:color w:val="auto"/>
              </w:rPr>
            </w:pPr>
            <w:r>
              <w:rPr>
                <w:rFonts w:ascii="Arial" w:cs="Arial" w:eastAsia="Arial" w:hAnsi="Arial"/>
                <w:sz w:val="13"/>
                <w:szCs w:val="13"/>
                <w:color w:val="auto"/>
              </w:rPr>
              <w:t>2 | 11</w:t>
            </w:r>
          </w:p>
        </w:tc>
      </w:tr>
    </w:tbl>
    <w:p>
      <w:pPr>
        <w:sectPr>
          <w:pgSz w:w="11900" w:h="16838" w:orient="portrait"/>
          <w:cols w:equalWidth="0" w:num="1">
            <w:col w:w="9019"/>
          </w:cols>
          <w:pgMar w:left="1440" w:top="961" w:right="1440" w:bottom="1440" w:gutter="0" w:footer="0" w:header="0"/>
        </w:sectPr>
      </w:pPr>
    </w:p>
    <w:bookmarkStart w:id="36" w:name="page37"/>
    <w:bookmarkEnd w:id="36"/>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635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0425" cy="463550"/>
                    </a:xfrm>
                    <a:prstGeom prst="rect">
                      <a:avLst/>
                    </a:prstGeom>
                    <a:noFill/>
                  </pic:spPr>
                </pic:pic>
              </a:graphicData>
            </a:graphic>
          </wp:anchor>
        </w:drawing>
        <w:t>TCR-T pipeline</w:t>
      </w:r>
    </w:p>
    <w:p>
      <w:pPr>
        <w:spacing w:after="0" w:line="91" w:lineRule="exact"/>
        <w:rPr>
          <w:sz w:val="20"/>
          <w:szCs w:val="20"/>
          <w:color w:val="auto"/>
        </w:rPr>
      </w:pPr>
    </w:p>
    <w:p>
      <w:pPr>
        <w:jc w:val="both"/>
        <w:ind w:left="940" w:right="739" w:hanging="227"/>
        <w:spacing w:after="0" w:line="252" w:lineRule="auto"/>
        <w:tabs>
          <w:tab w:leader="none" w:pos="9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Earlier this year, Bristol Myers Squibb exercised its first option and entered into a global license agreement with Immatics for the most advanced TCR-T product candidate. As part of the agreement, Immatics received an option payment of $15 million and is eligible for up to $490 million in milestone payments in addition to tiered royalties on net sales of the product.</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3"/>
          <w:szCs w:val="13"/>
          <w:i w:val="1"/>
          <w:iCs w:val="1"/>
          <w:u w:val="single" w:color="auto"/>
          <w:color w:val="auto"/>
        </w:rPr>
        <w:t>TCR Bispecifics Programs</w:t>
      </w:r>
    </w:p>
    <w:p>
      <w:pPr>
        <w:spacing w:after="0" w:line="78" w:lineRule="exact"/>
        <w:rPr>
          <w:sz w:val="20"/>
          <w:szCs w:val="20"/>
          <w:color w:val="auto"/>
        </w:rPr>
      </w:pPr>
    </w:p>
    <w:p>
      <w:pPr>
        <w:jc w:val="both"/>
        <w:ind w:left="640" w:right="1019"/>
        <w:spacing w:after="0" w:line="220" w:lineRule="auto"/>
        <w:rPr>
          <w:sz w:val="20"/>
          <w:szCs w:val="20"/>
          <w:color w:val="auto"/>
        </w:rPr>
      </w:pPr>
      <w:r>
        <w:rPr>
          <w:rFonts w:ascii="Arial" w:cs="Arial" w:eastAsia="Arial" w:hAnsi="Arial"/>
          <w:sz w:val="13"/>
          <w:szCs w:val="13"/>
          <w:color w:val="auto"/>
        </w:rPr>
        <w:t>Immatics’ T cell engaging receptor (TCER</w:t>
      </w:r>
      <w:r>
        <w:rPr>
          <w:rFonts w:ascii="Arial" w:cs="Arial" w:eastAsia="Arial" w:hAnsi="Arial"/>
          <w:sz w:val="18"/>
          <w:szCs w:val="18"/>
          <w:color w:val="auto"/>
          <w:vertAlign w:val="superscript"/>
        </w:rPr>
        <w:t>®</w:t>
      </w:r>
      <w:r>
        <w:rPr>
          <w:rFonts w:ascii="Arial" w:cs="Arial" w:eastAsia="Arial" w:hAnsi="Arial"/>
          <w:sz w:val="13"/>
          <w:szCs w:val="13"/>
          <w:color w:val="auto"/>
        </w:rPr>
        <w:t>) candidates are next-generation, half-life extended TCR Bispecific molecules designed to maximize efficacy while minimizing toxicities in patients through Immatics’ proprietary format using a low-affinity T cell recruiter and a high-affinity TCR domain.</w:t>
      </w:r>
    </w:p>
    <w:p>
      <w:pPr>
        <w:spacing w:after="0" w:line="72" w:lineRule="exact"/>
        <w:rPr>
          <w:sz w:val="20"/>
          <w:szCs w:val="20"/>
          <w:color w:val="auto"/>
        </w:rPr>
      </w:pPr>
    </w:p>
    <w:p>
      <w:pPr>
        <w:ind w:left="940" w:right="779" w:hanging="227"/>
        <w:spacing w:after="0" w:line="239" w:lineRule="auto"/>
        <w:tabs>
          <w:tab w:leader="none" w:pos="940" w:val="left"/>
        </w:tabs>
        <w:numPr>
          <w:ilvl w:val="0"/>
          <w:numId w:val="19"/>
        </w:numPr>
        <w:rPr>
          <w:rFonts w:ascii="Arial" w:cs="Arial" w:eastAsia="Arial" w:hAnsi="Arial"/>
          <w:sz w:val="11"/>
          <w:szCs w:val="11"/>
          <w:color w:val="auto"/>
        </w:rPr>
      </w:pPr>
      <w:r>
        <w:rPr>
          <w:rFonts w:ascii="Arial" w:cs="Arial" w:eastAsia="Arial" w:hAnsi="Arial"/>
          <w:sz w:val="11"/>
          <w:szCs w:val="11"/>
          <w:b w:val="1"/>
          <w:bCs w:val="1"/>
          <w:color w:val="auto"/>
        </w:rPr>
        <w:t>TCER</w:t>
      </w:r>
      <w:r>
        <w:rPr>
          <w:rFonts w:ascii="Arial" w:cs="Arial" w:eastAsia="Arial" w:hAnsi="Arial"/>
          <w:sz w:val="16"/>
          <w:szCs w:val="16"/>
          <w:b w:val="1"/>
          <w:bCs w:val="1"/>
          <w:color w:val="auto"/>
          <w:vertAlign w:val="superscript"/>
        </w:rPr>
        <w:t>®</w:t>
      </w:r>
      <w:r>
        <w:rPr>
          <w:rFonts w:ascii="Arial" w:cs="Arial" w:eastAsia="Arial" w:hAnsi="Arial"/>
          <w:sz w:val="11"/>
          <w:szCs w:val="11"/>
          <w:b w:val="1"/>
          <w:bCs w:val="1"/>
          <w:color w:val="auto"/>
        </w:rPr>
        <w:t xml:space="preserve"> IMA401 (MAGEA4/8) </w:t>
      </w:r>
      <w:r>
        <w:rPr>
          <w:rFonts w:ascii="Arial" w:cs="Arial" w:eastAsia="Arial" w:hAnsi="Arial"/>
          <w:sz w:val="11"/>
          <w:szCs w:val="11"/>
          <w:color w:val="auto"/>
        </w:rPr>
        <w:t>– Phase 1 trial to evaluate safety, tolerability and initial anti-tumor activity of TCER</w:t>
      </w:r>
      <w:r>
        <w:rPr>
          <w:rFonts w:ascii="Arial" w:cs="Arial" w:eastAsia="Arial" w:hAnsi="Arial"/>
          <w:sz w:val="16"/>
          <w:szCs w:val="16"/>
          <w:color w:val="auto"/>
          <w:vertAlign w:val="superscript"/>
        </w:rPr>
        <w:t>®</w:t>
      </w:r>
      <w:r>
        <w:rPr>
          <w:rFonts w:ascii="Arial" w:cs="Arial" w:eastAsia="Arial" w:hAnsi="Arial"/>
          <w:sz w:val="11"/>
          <w:szCs w:val="11"/>
          <w:b w:val="1"/>
          <w:bCs w:val="1"/>
          <w:color w:val="auto"/>
        </w:rPr>
        <w:t xml:space="preserve"> </w:t>
      </w:r>
      <w:r>
        <w:rPr>
          <w:rFonts w:ascii="Arial" w:cs="Arial" w:eastAsia="Arial" w:hAnsi="Arial"/>
          <w:sz w:val="11"/>
          <w:szCs w:val="11"/>
          <w:color w:val="auto"/>
        </w:rPr>
        <w:t>IMA401 in patients with</w:t>
      </w:r>
      <w:r>
        <w:rPr>
          <w:rFonts w:ascii="Arial" w:cs="Arial" w:eastAsia="Arial" w:hAnsi="Arial"/>
          <w:sz w:val="11"/>
          <w:szCs w:val="11"/>
          <w:b w:val="1"/>
          <w:bCs w:val="1"/>
          <w:color w:val="auto"/>
        </w:rPr>
        <w:t xml:space="preserve"> </w:t>
      </w:r>
      <w:r>
        <w:rPr>
          <w:rFonts w:ascii="Arial" w:cs="Arial" w:eastAsia="Arial" w:hAnsi="Arial"/>
          <w:sz w:val="11"/>
          <w:szCs w:val="11"/>
          <w:color w:val="auto"/>
        </w:rPr>
        <w:t>recurrent and/or refractory solid tumors is ongoing. IMA401 targets an HLA-A*02:01-presented peptide that occurs identically in two different proteins, MAGEA4 and MAGEA8. This target peptide has been selected based on natural expression in native solid tumors at particularly high target density (peptide copy number per tumor cell identified by Immatics’ proprietary quantitative mass spectrometry engine XPRESIDENT</w:t>
      </w:r>
      <w:r>
        <w:rPr>
          <w:rFonts w:ascii="Arial" w:cs="Arial" w:eastAsia="Arial" w:hAnsi="Arial"/>
          <w:sz w:val="16"/>
          <w:szCs w:val="16"/>
          <w:color w:val="auto"/>
          <w:vertAlign w:val="superscript"/>
        </w:rPr>
        <w:t>®</w:t>
      </w:r>
      <w:r>
        <w:rPr>
          <w:rFonts w:ascii="Arial" w:cs="Arial" w:eastAsia="Arial" w:hAnsi="Arial"/>
          <w:sz w:val="11"/>
          <w:szCs w:val="11"/>
          <w:color w:val="auto"/>
        </w:rPr>
        <w:t>).</w:t>
      </w:r>
    </w:p>
    <w:p>
      <w:pPr>
        <w:spacing w:after="0" w:line="2" w:lineRule="exact"/>
        <w:rPr>
          <w:rFonts w:ascii="Arial" w:cs="Arial" w:eastAsia="Arial" w:hAnsi="Arial"/>
          <w:sz w:val="11"/>
          <w:szCs w:val="11"/>
          <w:color w:val="auto"/>
        </w:rPr>
      </w:pPr>
    </w:p>
    <w:p>
      <w:pPr>
        <w:ind w:left="940" w:right="659"/>
        <w:spacing w:after="0" w:line="245" w:lineRule="auto"/>
        <w:rPr>
          <w:rFonts w:ascii="Arial" w:cs="Arial" w:eastAsia="Arial" w:hAnsi="Arial"/>
          <w:sz w:val="11"/>
          <w:szCs w:val="11"/>
          <w:color w:val="auto"/>
        </w:rPr>
      </w:pPr>
      <w:r>
        <w:rPr>
          <w:rFonts w:ascii="Arial" w:cs="Arial" w:eastAsia="Arial" w:hAnsi="Arial"/>
          <w:sz w:val="13"/>
          <w:szCs w:val="13"/>
          <w:color w:val="auto"/>
        </w:rPr>
        <w:t>MAGEA4 and MAGEA8 are expressed in multiple solid cancers including lung cancer, head and neck cancer, melanoma, ovarian cancer, sarcoma and others. IMA401 is being developed in collaboration with Bristol Myers Squibb.</w:t>
      </w:r>
    </w:p>
    <w:p>
      <w:pPr>
        <w:spacing w:after="0" w:line="69" w:lineRule="exact"/>
        <w:rPr>
          <w:rFonts w:ascii="Arial" w:cs="Arial" w:eastAsia="Arial" w:hAnsi="Arial"/>
          <w:sz w:val="11"/>
          <w:szCs w:val="11"/>
          <w:color w:val="auto"/>
        </w:rPr>
      </w:pPr>
    </w:p>
    <w:p>
      <w:pPr>
        <w:ind w:left="940" w:right="699" w:hanging="227"/>
        <w:spacing w:after="0" w:line="245" w:lineRule="auto"/>
        <w:tabs>
          <w:tab w:leader="none" w:pos="940" w:val="left"/>
        </w:tabs>
        <w:numPr>
          <w:ilvl w:val="0"/>
          <w:numId w:val="19"/>
        </w:numPr>
        <w:rPr>
          <w:rFonts w:ascii="Arial" w:cs="Arial" w:eastAsia="Arial" w:hAnsi="Arial"/>
          <w:sz w:val="12"/>
          <w:szCs w:val="12"/>
          <w:color w:val="auto"/>
        </w:rPr>
      </w:pPr>
      <w:r>
        <w:rPr>
          <w:rFonts w:ascii="Arial" w:cs="Arial" w:eastAsia="Arial" w:hAnsi="Arial"/>
          <w:sz w:val="12"/>
          <w:szCs w:val="12"/>
          <w:b w:val="1"/>
          <w:bCs w:val="1"/>
          <w:color w:val="auto"/>
        </w:rPr>
        <w:t>TCER</w:t>
      </w:r>
      <w:r>
        <w:rPr>
          <w:rFonts w:ascii="Arial" w:cs="Arial" w:eastAsia="Arial" w:hAnsi="Arial"/>
          <w:sz w:val="17"/>
          <w:szCs w:val="17"/>
          <w:b w:val="1"/>
          <w:bCs w:val="1"/>
          <w:color w:val="auto"/>
          <w:vertAlign w:val="superscript"/>
        </w:rPr>
        <w:t>®</w:t>
      </w:r>
      <w:r>
        <w:rPr>
          <w:rFonts w:ascii="Arial" w:cs="Arial" w:eastAsia="Arial" w:hAnsi="Arial"/>
          <w:sz w:val="12"/>
          <w:szCs w:val="12"/>
          <w:b w:val="1"/>
          <w:bCs w:val="1"/>
          <w:color w:val="auto"/>
        </w:rPr>
        <w:t xml:space="preserve"> IMA402 (PRAME) </w:t>
      </w:r>
      <w:r>
        <w:rPr>
          <w:rFonts w:ascii="Arial" w:cs="Arial" w:eastAsia="Arial" w:hAnsi="Arial"/>
          <w:sz w:val="12"/>
          <w:szCs w:val="12"/>
          <w:color w:val="auto"/>
        </w:rPr>
        <w:t>– Immatics submitted a clinical trial application (CTA</w:t>
      </w:r>
      <w:r>
        <w:rPr>
          <w:rFonts w:ascii="Arial" w:cs="Arial" w:eastAsia="Arial" w:hAnsi="Arial"/>
          <w:sz w:val="17"/>
          <w:szCs w:val="17"/>
          <w:color w:val="auto"/>
          <w:vertAlign w:val="superscript"/>
        </w:rPr>
        <w:t>2</w:t>
      </w:r>
      <w:r>
        <w:rPr>
          <w:rFonts w:ascii="Arial" w:cs="Arial" w:eastAsia="Arial" w:hAnsi="Arial"/>
          <w:sz w:val="12"/>
          <w:szCs w:val="12"/>
          <w:color w:val="auto"/>
        </w:rPr>
        <w:t>) to the Paul-Ehrlich-Institute (PEI) in April 2023. Following</w:t>
      </w:r>
      <w:r>
        <w:rPr>
          <w:rFonts w:ascii="Arial" w:cs="Arial" w:eastAsia="Arial" w:hAnsi="Arial"/>
          <w:sz w:val="12"/>
          <w:szCs w:val="12"/>
          <w:b w:val="1"/>
          <w:bCs w:val="1"/>
          <w:color w:val="auto"/>
        </w:rPr>
        <w:t xml:space="preserve"> </w:t>
      </w:r>
      <w:r>
        <w:rPr>
          <w:rFonts w:ascii="Arial" w:cs="Arial" w:eastAsia="Arial" w:hAnsi="Arial"/>
          <w:sz w:val="12"/>
          <w:szCs w:val="12"/>
          <w:color w:val="auto"/>
        </w:rPr>
        <w:t>CTA acceptance, Immatics initiated the Phase 1/2 trial investigating the company’s fully owned TCER</w:t>
      </w:r>
      <w:r>
        <w:rPr>
          <w:rFonts w:ascii="Arial" w:cs="Arial" w:eastAsia="Arial" w:hAnsi="Arial"/>
          <w:sz w:val="17"/>
          <w:szCs w:val="17"/>
          <w:u w:val="single" w:color="auto"/>
          <w:color w:val="auto"/>
          <w:vertAlign w:val="superscript"/>
        </w:rPr>
        <w:t>®</w:t>
      </w:r>
      <w:r>
        <w:rPr>
          <w:rFonts w:ascii="Arial" w:cs="Arial" w:eastAsia="Arial" w:hAnsi="Arial"/>
          <w:sz w:val="12"/>
          <w:szCs w:val="12"/>
          <w:color w:val="auto"/>
        </w:rPr>
        <w:t xml:space="preserve"> candidate IMA402 in patients with recurrent and/or refractory solid tumors in August. Initial focus indications are cutaneous and uveal melanoma, ovarian cancer, lung cancer, uterine cancer and synovial sarcoma, among others. A first clinical data update is planned for 2024. IMA402 targets an HLA-A*02:01-presented peptide derived from the tumor antigen PRAME. This target peptide has been selected based on natural expression in native solid primary tumors and metastases at particularly high target density (peptide copy number per tumor cell identified by Immatics’ proprietary quantitative mass spectrometry engine XPRESIDENT</w:t>
      </w:r>
      <w:r>
        <w:rPr>
          <w:rFonts w:ascii="Arial" w:cs="Arial" w:eastAsia="Arial" w:hAnsi="Arial"/>
          <w:sz w:val="17"/>
          <w:szCs w:val="17"/>
          <w:color w:val="auto"/>
          <w:vertAlign w:val="superscript"/>
        </w:rPr>
        <w:t>®</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10160</wp:posOffset>
            </wp:positionV>
            <wp:extent cx="54165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ind w:left="940" w:hanging="303"/>
        <w:spacing w:after="0" w:line="215" w:lineRule="auto"/>
        <w:tabs>
          <w:tab w:leader="none" w:pos="940" w:val="left"/>
        </w:tabs>
        <w:numPr>
          <w:ilvl w:val="0"/>
          <w:numId w:val="20"/>
        </w:numPr>
        <w:rPr>
          <w:rFonts w:ascii="Arial" w:cs="Arial" w:eastAsia="Arial" w:hAnsi="Arial"/>
          <w:sz w:val="19"/>
          <w:szCs w:val="19"/>
          <w:color w:val="auto"/>
          <w:vertAlign w:val="superscript"/>
        </w:rPr>
      </w:pPr>
      <w:r>
        <w:rPr>
          <w:rFonts w:ascii="Arial" w:cs="Arial" w:eastAsia="Arial" w:hAnsi="Arial"/>
          <w:sz w:val="13"/>
          <w:szCs w:val="13"/>
          <w:color w:val="auto"/>
        </w:rPr>
        <w:t>Clinical Trial Application (CTA) is the European equivalent of an Investigational New Drug (IND) application.</w:t>
      </w:r>
    </w:p>
    <w:p>
      <w:pPr>
        <w:spacing w:after="0" w:line="96"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720" w:type="dxa"/>
            <w:vAlign w:val="bottom"/>
          </w:tcPr>
          <w:p>
            <w:pPr>
              <w:spacing w:after="0"/>
              <w:rPr>
                <w:sz w:val="20"/>
                <w:szCs w:val="20"/>
                <w:color w:val="auto"/>
              </w:rPr>
            </w:pPr>
            <w:r>
              <w:rPr>
                <w:rFonts w:ascii="Arial" w:cs="Arial" w:eastAsia="Arial" w:hAnsi="Arial"/>
                <w:sz w:val="13"/>
                <w:szCs w:val="13"/>
                <w:color w:val="auto"/>
              </w:rPr>
              <w:t>Immatics Press Release August 17, 2023</w:t>
            </w:r>
          </w:p>
        </w:tc>
        <w:tc>
          <w:tcPr>
            <w:tcW w:w="3020" w:type="dxa"/>
            <w:vAlign w:val="bottom"/>
          </w:tcPr>
          <w:p>
            <w:pPr>
              <w:jc w:val="right"/>
              <w:spacing w:after="0"/>
              <w:rPr>
                <w:sz w:val="20"/>
                <w:szCs w:val="20"/>
                <w:color w:val="auto"/>
              </w:rPr>
            </w:pPr>
            <w:r>
              <w:rPr>
                <w:rFonts w:ascii="Arial" w:cs="Arial" w:eastAsia="Arial" w:hAnsi="Arial"/>
                <w:sz w:val="13"/>
                <w:szCs w:val="13"/>
                <w:color w:val="auto"/>
              </w:rPr>
              <w:t>3 | 11</w:t>
            </w:r>
          </w:p>
        </w:tc>
      </w:tr>
    </w:tbl>
    <w:p>
      <w:pPr>
        <w:sectPr>
          <w:pgSz w:w="11900" w:h="16838" w:orient="portrait"/>
          <w:cols w:equalWidth="0" w:num="1">
            <w:col w:w="9019"/>
          </w:cols>
          <w:pgMar w:left="1440" w:top="961" w:right="1440" w:bottom="1440" w:gutter="0" w:footer="0" w:header="0"/>
        </w:sectPr>
      </w:pPr>
    </w:p>
    <w:bookmarkStart w:id="37" w:name="page38"/>
    <w:bookmarkEnd w:id="37"/>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635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0425" cy="463550"/>
                    </a:xfrm>
                    <a:prstGeom prst="rect">
                      <a:avLst/>
                    </a:prstGeom>
                    <a:noFill/>
                  </pic:spPr>
                </pic:pic>
              </a:graphicData>
            </a:graphic>
          </wp:anchor>
        </w:drawing>
        <w:t>Corporate Updates</w:t>
      </w:r>
    </w:p>
    <w:p>
      <w:pPr>
        <w:spacing w:after="0" w:line="91" w:lineRule="exact"/>
        <w:rPr>
          <w:sz w:val="20"/>
          <w:szCs w:val="20"/>
          <w:color w:val="auto"/>
        </w:rPr>
      </w:pPr>
    </w:p>
    <w:p>
      <w:pPr>
        <w:ind w:left="940" w:right="659" w:hanging="227"/>
        <w:spacing w:after="0" w:line="290" w:lineRule="auto"/>
        <w:tabs>
          <w:tab w:leader="none" w:pos="9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On July 24, 2023, Bristol Myers Squibb purchased 2,419,818 ordinary shares in a private placement transaction at a subscription price per share of $14.46</w:t>
      </w:r>
      <w:r>
        <w:rPr>
          <w:rFonts w:ascii="Arial" w:cs="Arial" w:eastAsia="Arial" w:hAnsi="Arial"/>
          <w:sz w:val="18"/>
          <w:szCs w:val="18"/>
          <w:color w:val="auto"/>
          <w:vertAlign w:val="superscript"/>
        </w:rPr>
        <w:t>3</w:t>
      </w:r>
      <w:r>
        <w:rPr>
          <w:rFonts w:ascii="Arial" w:cs="Arial" w:eastAsia="Arial" w:hAnsi="Arial"/>
          <w:sz w:val="13"/>
          <w:szCs w:val="13"/>
          <w:color w:val="auto"/>
        </w:rPr>
        <w:t>. Additionally, Bristol Myers Squibb will appoint a member to the Immatics Scientific Advisory Board.</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Second Quarter 2023 Financial Results</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3"/>
          <w:szCs w:val="13"/>
          <w:i w:val="1"/>
          <w:iCs w:val="1"/>
          <w:color w:val="auto"/>
        </w:rPr>
        <w:t xml:space="preserve">Equity: </w:t>
      </w:r>
      <w:r>
        <w:rPr>
          <w:rFonts w:ascii="Arial" w:cs="Arial" w:eastAsia="Arial" w:hAnsi="Arial"/>
          <w:sz w:val="13"/>
          <w:szCs w:val="13"/>
          <w:color w:val="auto"/>
        </w:rPr>
        <w:t>The Company raised a total of $64 million in June through August through its ATM facility.</w:t>
      </w:r>
    </w:p>
    <w:p>
      <w:pPr>
        <w:spacing w:after="0" w:line="154" w:lineRule="exact"/>
        <w:rPr>
          <w:sz w:val="20"/>
          <w:szCs w:val="20"/>
          <w:color w:val="auto"/>
        </w:rPr>
      </w:pPr>
    </w:p>
    <w:p>
      <w:pPr>
        <w:ind w:left="640" w:right="719"/>
        <w:spacing w:after="0" w:line="225" w:lineRule="auto"/>
        <w:rPr>
          <w:sz w:val="20"/>
          <w:szCs w:val="20"/>
          <w:color w:val="auto"/>
        </w:rPr>
      </w:pPr>
      <w:r>
        <w:rPr>
          <w:rFonts w:ascii="Arial" w:cs="Arial" w:eastAsia="Arial" w:hAnsi="Arial"/>
          <w:sz w:val="11"/>
          <w:szCs w:val="11"/>
          <w:i w:val="1"/>
          <w:iCs w:val="1"/>
          <w:color w:val="auto"/>
        </w:rPr>
        <w:t xml:space="preserve">Cash Position: </w:t>
      </w:r>
      <w:r>
        <w:rPr>
          <w:rFonts w:ascii="Arial" w:cs="Arial" w:eastAsia="Arial" w:hAnsi="Arial"/>
          <w:sz w:val="11"/>
          <w:szCs w:val="11"/>
          <w:color w:val="auto"/>
        </w:rPr>
        <w:t>Cash and cash equivalents as well as other financial assets total €347.6 million ($377.7 million</w:t>
      </w:r>
      <w:r>
        <w:rPr>
          <w:rFonts w:ascii="Arial" w:cs="Arial" w:eastAsia="Arial" w:hAnsi="Arial"/>
          <w:sz w:val="16"/>
          <w:szCs w:val="16"/>
          <w:color w:val="auto"/>
          <w:vertAlign w:val="superscript"/>
        </w:rPr>
        <w:t>1</w:t>
      </w:r>
      <w:r>
        <w:rPr>
          <w:rFonts w:ascii="Arial" w:cs="Arial" w:eastAsia="Arial" w:hAnsi="Arial"/>
          <w:sz w:val="11"/>
          <w:szCs w:val="11"/>
          <w:color w:val="auto"/>
        </w:rPr>
        <w:t>) as of June 30, 2023, compared to</w:t>
      </w:r>
      <w:r>
        <w:rPr>
          <w:rFonts w:ascii="Arial" w:cs="Arial" w:eastAsia="Arial" w:hAnsi="Arial"/>
          <w:sz w:val="11"/>
          <w:szCs w:val="11"/>
          <w:i w:val="1"/>
          <w:iCs w:val="1"/>
          <w:color w:val="auto"/>
        </w:rPr>
        <w:t xml:space="preserve"> </w:t>
      </w:r>
      <w:r>
        <w:rPr>
          <w:rFonts w:ascii="Arial" w:cs="Arial" w:eastAsia="Arial" w:hAnsi="Arial"/>
          <w:sz w:val="11"/>
          <w:szCs w:val="11"/>
          <w:color w:val="auto"/>
        </w:rPr>
        <w:t>€362.2 million ($393.6 million</w:t>
      </w:r>
      <w:r>
        <w:rPr>
          <w:rFonts w:ascii="Arial" w:cs="Arial" w:eastAsia="Arial" w:hAnsi="Arial"/>
          <w:sz w:val="16"/>
          <w:szCs w:val="16"/>
          <w:color w:val="auto"/>
          <w:vertAlign w:val="superscript"/>
        </w:rPr>
        <w:t>1</w:t>
      </w:r>
      <w:r>
        <w:rPr>
          <w:rFonts w:ascii="Arial" w:cs="Arial" w:eastAsia="Arial" w:hAnsi="Arial"/>
          <w:sz w:val="11"/>
          <w:szCs w:val="11"/>
          <w:color w:val="auto"/>
        </w:rPr>
        <w:t>) as of December 31, 2022. The decrease is mainly due to our ongoing research and development activities, partially offset by the option fee received by Bristol Myers Squibb and funds raised in the period. The Company projects an updated cash runway into late 2025.</w:t>
      </w:r>
    </w:p>
    <w:p>
      <w:pPr>
        <w:spacing w:after="0" w:line="143" w:lineRule="exact"/>
        <w:rPr>
          <w:sz w:val="20"/>
          <w:szCs w:val="20"/>
          <w:color w:val="auto"/>
        </w:rPr>
      </w:pPr>
    </w:p>
    <w:p>
      <w:pPr>
        <w:ind w:left="640" w:right="699"/>
        <w:spacing w:after="0" w:line="210" w:lineRule="auto"/>
        <w:rPr>
          <w:sz w:val="20"/>
          <w:szCs w:val="20"/>
          <w:color w:val="auto"/>
        </w:rPr>
      </w:pPr>
      <w:r>
        <w:rPr>
          <w:rFonts w:ascii="Arial" w:cs="Arial" w:eastAsia="Arial" w:hAnsi="Arial"/>
          <w:sz w:val="12"/>
          <w:szCs w:val="12"/>
          <w:i w:val="1"/>
          <w:iCs w:val="1"/>
          <w:color w:val="auto"/>
        </w:rPr>
        <w:t xml:space="preserve">Revenue: </w:t>
      </w:r>
      <w:r>
        <w:rPr>
          <w:rFonts w:ascii="Arial" w:cs="Arial" w:eastAsia="Arial" w:hAnsi="Arial"/>
          <w:sz w:val="12"/>
          <w:szCs w:val="12"/>
          <w:color w:val="auto"/>
        </w:rPr>
        <w:t>Total revenue, consisting of revenue from collaboration agreements, was €22.4 million ($24.3 million</w:t>
      </w:r>
      <w:r>
        <w:rPr>
          <w:rFonts w:ascii="Arial" w:cs="Arial" w:eastAsia="Arial" w:hAnsi="Arial"/>
          <w:sz w:val="17"/>
          <w:szCs w:val="17"/>
          <w:color w:val="auto"/>
          <w:vertAlign w:val="superscript"/>
        </w:rPr>
        <w:t>1</w:t>
      </w:r>
      <w:r>
        <w:rPr>
          <w:rFonts w:ascii="Arial" w:cs="Arial" w:eastAsia="Arial" w:hAnsi="Arial"/>
          <w:sz w:val="12"/>
          <w:szCs w:val="12"/>
          <w:color w:val="auto"/>
        </w:rPr>
        <w:t>) for the three months ended June 30,</w:t>
      </w:r>
      <w:r>
        <w:rPr>
          <w:rFonts w:ascii="Arial" w:cs="Arial" w:eastAsia="Arial" w:hAnsi="Arial"/>
          <w:sz w:val="12"/>
          <w:szCs w:val="12"/>
          <w:i w:val="1"/>
          <w:iCs w:val="1"/>
          <w:color w:val="auto"/>
        </w:rPr>
        <w:t xml:space="preserve"> </w:t>
      </w:r>
      <w:r>
        <w:rPr>
          <w:rFonts w:ascii="Arial" w:cs="Arial" w:eastAsia="Arial" w:hAnsi="Arial"/>
          <w:sz w:val="12"/>
          <w:szCs w:val="12"/>
          <w:color w:val="auto"/>
        </w:rPr>
        <w:t>2023, compared to €17.2 million ($18.7 million</w:t>
      </w:r>
      <w:r>
        <w:rPr>
          <w:rFonts w:ascii="Arial" w:cs="Arial" w:eastAsia="Arial" w:hAnsi="Arial"/>
          <w:sz w:val="17"/>
          <w:szCs w:val="17"/>
          <w:color w:val="auto"/>
          <w:vertAlign w:val="superscript"/>
        </w:rPr>
        <w:t>1</w:t>
      </w:r>
      <w:r>
        <w:rPr>
          <w:rFonts w:ascii="Arial" w:cs="Arial" w:eastAsia="Arial" w:hAnsi="Arial"/>
          <w:sz w:val="12"/>
          <w:szCs w:val="12"/>
          <w:color w:val="auto"/>
        </w:rPr>
        <w:t>) for the three months ended June 30, 2022. The increase is mainly related to the recognition of revenue for the opt-in agreement with Bristol Myers Squibb signed during the three months ended June 30, 2023.</w:t>
      </w:r>
    </w:p>
    <w:p>
      <w:pPr>
        <w:spacing w:after="0" w:line="144" w:lineRule="exact"/>
        <w:rPr>
          <w:sz w:val="20"/>
          <w:szCs w:val="20"/>
          <w:color w:val="auto"/>
        </w:rPr>
      </w:pPr>
    </w:p>
    <w:p>
      <w:pPr>
        <w:ind w:left="640" w:right="1019"/>
        <w:spacing w:after="0" w:line="213" w:lineRule="auto"/>
        <w:rPr>
          <w:sz w:val="20"/>
          <w:szCs w:val="20"/>
          <w:color w:val="auto"/>
        </w:rPr>
      </w:pPr>
      <w:r>
        <w:rPr>
          <w:rFonts w:ascii="Arial" w:cs="Arial" w:eastAsia="Arial" w:hAnsi="Arial"/>
          <w:sz w:val="13"/>
          <w:szCs w:val="13"/>
          <w:i w:val="1"/>
          <w:iCs w:val="1"/>
          <w:color w:val="auto"/>
        </w:rPr>
        <w:t xml:space="preserve">Research and Development Expenses: </w:t>
      </w:r>
      <w:r>
        <w:rPr>
          <w:rFonts w:ascii="Arial" w:cs="Arial" w:eastAsia="Arial" w:hAnsi="Arial"/>
          <w:sz w:val="13"/>
          <w:szCs w:val="13"/>
          <w:color w:val="auto"/>
        </w:rPr>
        <w:t>R&amp;D expenses were €27.3 million ($29.7 million</w:t>
      </w:r>
      <w:r>
        <w:rPr>
          <w:rFonts w:ascii="Arial" w:cs="Arial" w:eastAsia="Arial" w:hAnsi="Arial"/>
          <w:sz w:val="18"/>
          <w:szCs w:val="18"/>
          <w:color w:val="auto"/>
          <w:vertAlign w:val="superscript"/>
        </w:rPr>
        <w:t>1</w:t>
      </w:r>
      <w:r>
        <w:rPr>
          <w:rFonts w:ascii="Arial" w:cs="Arial" w:eastAsia="Arial" w:hAnsi="Arial"/>
          <w:sz w:val="13"/>
          <w:szCs w:val="13"/>
          <w:color w:val="auto"/>
        </w:rPr>
        <w:t>) for the three months ended June 30, 2023, compared to</w:t>
      </w:r>
      <w:r>
        <w:rPr>
          <w:rFonts w:ascii="Arial" w:cs="Arial" w:eastAsia="Arial" w:hAnsi="Arial"/>
          <w:sz w:val="13"/>
          <w:szCs w:val="13"/>
          <w:i w:val="1"/>
          <w:iCs w:val="1"/>
          <w:color w:val="auto"/>
        </w:rPr>
        <w:t xml:space="preserve"> </w:t>
      </w:r>
      <w:r>
        <w:rPr>
          <w:rFonts w:ascii="Arial" w:cs="Arial" w:eastAsia="Arial" w:hAnsi="Arial"/>
          <w:sz w:val="13"/>
          <w:szCs w:val="13"/>
          <w:color w:val="auto"/>
        </w:rPr>
        <w:t>€25.2 million ($27.4 million</w:t>
      </w:r>
      <w:r>
        <w:rPr>
          <w:rFonts w:ascii="Arial" w:cs="Arial" w:eastAsia="Arial" w:hAnsi="Arial"/>
          <w:sz w:val="18"/>
          <w:szCs w:val="18"/>
          <w:color w:val="auto"/>
          <w:vertAlign w:val="superscript"/>
        </w:rPr>
        <w:t>1</w:t>
      </w:r>
      <w:r>
        <w:rPr>
          <w:rFonts w:ascii="Arial" w:cs="Arial" w:eastAsia="Arial" w:hAnsi="Arial"/>
          <w:sz w:val="13"/>
          <w:szCs w:val="13"/>
          <w:color w:val="auto"/>
        </w:rPr>
        <w:t>) for the three months ended June 30, 2022. The increase mainly resulted from higher costs associated with the advancement of the clinical and pre-IND pipeline of ACTengine</w:t>
      </w:r>
      <w:r>
        <w:rPr>
          <w:rFonts w:ascii="Arial" w:cs="Arial" w:eastAsia="Arial" w:hAnsi="Arial"/>
          <w:sz w:val="18"/>
          <w:szCs w:val="18"/>
          <w:color w:val="auto"/>
          <w:vertAlign w:val="superscript"/>
        </w:rPr>
        <w:t>®</w:t>
      </w:r>
      <w:r>
        <w:rPr>
          <w:rFonts w:ascii="Arial" w:cs="Arial" w:eastAsia="Arial" w:hAnsi="Arial"/>
          <w:sz w:val="13"/>
          <w:szCs w:val="13"/>
          <w:color w:val="auto"/>
        </w:rPr>
        <w:t xml:space="preserve"> and TCER</w:t>
      </w:r>
      <w:r>
        <w:rPr>
          <w:rFonts w:ascii="Arial" w:cs="Arial" w:eastAsia="Arial" w:hAnsi="Arial"/>
          <w:sz w:val="18"/>
          <w:szCs w:val="18"/>
          <w:color w:val="auto"/>
          <w:vertAlign w:val="superscript"/>
        </w:rPr>
        <w:t>®</w:t>
      </w:r>
      <w:r>
        <w:rPr>
          <w:rFonts w:ascii="Arial" w:cs="Arial" w:eastAsia="Arial" w:hAnsi="Arial"/>
          <w:sz w:val="13"/>
          <w:szCs w:val="13"/>
          <w:color w:val="auto"/>
        </w:rPr>
        <w:t xml:space="preserve"> candidates.</w:t>
      </w:r>
    </w:p>
    <w:p>
      <w:pPr>
        <w:spacing w:after="0" w:line="55" w:lineRule="exact"/>
        <w:rPr>
          <w:sz w:val="20"/>
          <w:szCs w:val="20"/>
          <w:color w:val="auto"/>
        </w:rPr>
      </w:pPr>
    </w:p>
    <w:p>
      <w:pPr>
        <w:ind w:left="640" w:right="1039"/>
        <w:spacing w:after="0" w:line="232" w:lineRule="auto"/>
        <w:rPr>
          <w:sz w:val="20"/>
          <w:szCs w:val="20"/>
          <w:color w:val="auto"/>
        </w:rPr>
      </w:pPr>
      <w:r>
        <w:rPr>
          <w:rFonts w:ascii="Arial" w:cs="Arial" w:eastAsia="Arial" w:hAnsi="Arial"/>
          <w:sz w:val="13"/>
          <w:szCs w:val="13"/>
          <w:i w:val="1"/>
          <w:iCs w:val="1"/>
          <w:color w:val="auto"/>
        </w:rPr>
        <w:t xml:space="preserve">General and Administrative Expenses: </w:t>
      </w:r>
      <w:r>
        <w:rPr>
          <w:rFonts w:ascii="Arial" w:cs="Arial" w:eastAsia="Arial" w:hAnsi="Arial"/>
          <w:sz w:val="13"/>
          <w:szCs w:val="13"/>
          <w:color w:val="auto"/>
        </w:rPr>
        <w:t>G&amp;A expenses were €9.4 million ($10.2 million</w:t>
      </w:r>
      <w:r>
        <w:rPr>
          <w:rFonts w:ascii="Arial" w:cs="Arial" w:eastAsia="Arial" w:hAnsi="Arial"/>
          <w:sz w:val="18"/>
          <w:szCs w:val="18"/>
          <w:color w:val="auto"/>
          <w:vertAlign w:val="superscript"/>
        </w:rPr>
        <w:t>1</w:t>
      </w:r>
      <w:r>
        <w:rPr>
          <w:rFonts w:ascii="Arial" w:cs="Arial" w:eastAsia="Arial" w:hAnsi="Arial"/>
          <w:sz w:val="13"/>
          <w:szCs w:val="13"/>
          <w:color w:val="auto"/>
        </w:rPr>
        <w:t>) for the three months ended June 30, 2023, compared to</w:t>
      </w:r>
      <w:r>
        <w:rPr>
          <w:rFonts w:ascii="Arial" w:cs="Arial" w:eastAsia="Arial" w:hAnsi="Arial"/>
          <w:sz w:val="13"/>
          <w:szCs w:val="13"/>
          <w:i w:val="1"/>
          <w:iCs w:val="1"/>
          <w:color w:val="auto"/>
        </w:rPr>
        <w:t xml:space="preserve"> </w:t>
      </w:r>
      <w:r>
        <w:rPr>
          <w:rFonts w:ascii="Arial" w:cs="Arial" w:eastAsia="Arial" w:hAnsi="Arial"/>
          <w:sz w:val="13"/>
          <w:szCs w:val="13"/>
          <w:color w:val="auto"/>
        </w:rPr>
        <w:t>€8.7 million ($9.5 million</w:t>
      </w:r>
      <w:r>
        <w:rPr>
          <w:rFonts w:ascii="Arial" w:cs="Arial" w:eastAsia="Arial" w:hAnsi="Arial"/>
          <w:sz w:val="18"/>
          <w:szCs w:val="18"/>
          <w:color w:val="auto"/>
          <w:vertAlign w:val="superscript"/>
        </w:rPr>
        <w:t>1</w:t>
      </w:r>
      <w:r>
        <w:rPr>
          <w:rFonts w:ascii="Arial" w:cs="Arial" w:eastAsia="Arial" w:hAnsi="Arial"/>
          <w:sz w:val="13"/>
          <w:szCs w:val="13"/>
          <w:color w:val="auto"/>
        </w:rPr>
        <w:t>) for the three months ended June 30, 2022.</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2"/>
          <w:szCs w:val="12"/>
          <w:i w:val="1"/>
          <w:iCs w:val="1"/>
          <w:color w:val="auto"/>
        </w:rPr>
        <w:t xml:space="preserve">Net Profit and Loss: </w:t>
      </w:r>
      <w:r>
        <w:rPr>
          <w:rFonts w:ascii="Arial" w:cs="Arial" w:eastAsia="Arial" w:hAnsi="Arial"/>
          <w:sz w:val="12"/>
          <w:szCs w:val="12"/>
          <w:color w:val="auto"/>
        </w:rPr>
        <w:t>Net loss was €24.6 million ($26.7 million</w:t>
      </w:r>
      <w:r>
        <w:rPr>
          <w:rFonts w:ascii="Arial" w:cs="Arial" w:eastAsia="Arial" w:hAnsi="Arial"/>
          <w:sz w:val="17"/>
          <w:szCs w:val="17"/>
          <w:color w:val="auto"/>
          <w:vertAlign w:val="superscript"/>
        </w:rPr>
        <w:t>1</w:t>
      </w:r>
      <w:r>
        <w:rPr>
          <w:rFonts w:ascii="Arial" w:cs="Arial" w:eastAsia="Arial" w:hAnsi="Arial"/>
          <w:sz w:val="12"/>
          <w:szCs w:val="12"/>
          <w:color w:val="auto"/>
        </w:rPr>
        <w:t>) for the three months ended June 30, 2023, compared to a net loss of €14.0 million</w:t>
      </w:r>
    </w:p>
    <w:p>
      <w:pPr>
        <w:ind w:left="640" w:right="779"/>
        <w:spacing w:after="0" w:line="203" w:lineRule="auto"/>
        <w:rPr>
          <w:sz w:val="20"/>
          <w:szCs w:val="20"/>
          <w:color w:val="auto"/>
        </w:rPr>
      </w:pPr>
      <w:r>
        <w:rPr>
          <w:rFonts w:ascii="Arial" w:cs="Arial" w:eastAsia="Arial" w:hAnsi="Arial"/>
          <w:sz w:val="13"/>
          <w:szCs w:val="13"/>
          <w:color w:val="auto"/>
        </w:rPr>
        <w:t>($15.2 million</w:t>
      </w:r>
      <w:r>
        <w:rPr>
          <w:rFonts w:ascii="Arial" w:cs="Arial" w:eastAsia="Arial" w:hAnsi="Arial"/>
          <w:sz w:val="18"/>
          <w:szCs w:val="18"/>
          <w:color w:val="auto"/>
          <w:vertAlign w:val="superscript"/>
        </w:rPr>
        <w:t>1</w:t>
      </w:r>
      <w:r>
        <w:rPr>
          <w:rFonts w:ascii="Arial" w:cs="Arial" w:eastAsia="Arial" w:hAnsi="Arial"/>
          <w:sz w:val="13"/>
          <w:szCs w:val="13"/>
          <w:color w:val="auto"/>
        </w:rPr>
        <w:t>) for the three months ended June 30, 2022. The increased net loss mainly resulted from non-cash fair value adjustments of outstanding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66675</wp:posOffset>
            </wp:positionV>
            <wp:extent cx="54165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pacing w:after="0" w:line="47" w:lineRule="exact"/>
        <w:rPr>
          <w:sz w:val="20"/>
          <w:szCs w:val="20"/>
          <w:color w:val="auto"/>
        </w:rPr>
      </w:pPr>
    </w:p>
    <w:p>
      <w:pPr>
        <w:ind w:left="940" w:hanging="303"/>
        <w:spacing w:after="0"/>
        <w:tabs>
          <w:tab w:leader="none" w:pos="940" w:val="left"/>
        </w:tabs>
        <w:numPr>
          <w:ilvl w:val="0"/>
          <w:numId w:val="22"/>
        </w:numPr>
        <w:rPr>
          <w:rFonts w:ascii="Arial" w:cs="Arial" w:eastAsia="Arial" w:hAnsi="Arial"/>
          <w:sz w:val="19"/>
          <w:szCs w:val="19"/>
          <w:color w:val="auto"/>
          <w:vertAlign w:val="superscript"/>
        </w:rPr>
      </w:pPr>
      <w:r>
        <w:rPr>
          <w:rFonts w:ascii="Arial" w:cs="Arial" w:eastAsia="Arial" w:hAnsi="Arial"/>
          <w:sz w:val="13"/>
          <w:szCs w:val="13"/>
          <w:color w:val="auto"/>
        </w:rPr>
        <w:t>Exact price per share $14.4639</w:t>
      </w:r>
    </w:p>
    <w:p>
      <w:pPr>
        <w:spacing w:after="0" w:line="9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720" w:type="dxa"/>
            <w:vAlign w:val="bottom"/>
          </w:tcPr>
          <w:p>
            <w:pPr>
              <w:spacing w:after="0"/>
              <w:rPr>
                <w:sz w:val="20"/>
                <w:szCs w:val="20"/>
                <w:color w:val="auto"/>
              </w:rPr>
            </w:pPr>
            <w:r>
              <w:rPr>
                <w:rFonts w:ascii="Arial" w:cs="Arial" w:eastAsia="Arial" w:hAnsi="Arial"/>
                <w:sz w:val="13"/>
                <w:szCs w:val="13"/>
                <w:color w:val="auto"/>
              </w:rPr>
              <w:t>Immatics Press Release August 17, 2023</w:t>
            </w:r>
          </w:p>
        </w:tc>
        <w:tc>
          <w:tcPr>
            <w:tcW w:w="3020" w:type="dxa"/>
            <w:vAlign w:val="bottom"/>
          </w:tcPr>
          <w:p>
            <w:pPr>
              <w:jc w:val="right"/>
              <w:spacing w:after="0"/>
              <w:rPr>
                <w:sz w:val="20"/>
                <w:szCs w:val="20"/>
                <w:color w:val="auto"/>
              </w:rPr>
            </w:pPr>
            <w:r>
              <w:rPr>
                <w:rFonts w:ascii="Arial" w:cs="Arial" w:eastAsia="Arial" w:hAnsi="Arial"/>
                <w:sz w:val="13"/>
                <w:szCs w:val="13"/>
                <w:color w:val="auto"/>
              </w:rPr>
              <w:t>4 | 11</w:t>
            </w:r>
          </w:p>
        </w:tc>
      </w:tr>
    </w:tbl>
    <w:p>
      <w:pPr>
        <w:sectPr>
          <w:pgSz w:w="11900" w:h="16838" w:orient="portrait"/>
          <w:cols w:equalWidth="0" w:num="1">
            <w:col w:w="9019"/>
          </w:cols>
          <w:pgMar w:left="1440" w:top="961" w:right="1440" w:bottom="1440" w:gutter="0" w:footer="0" w:header="0"/>
        </w:sectPr>
      </w:pPr>
    </w:p>
    <w:bookmarkStart w:id="38" w:name="page39"/>
    <w:bookmarkEnd w:id="38"/>
    <w:p>
      <w:pPr>
        <w:ind w:left="640"/>
        <w:spacing w:after="0"/>
        <w:rPr>
          <w:sz w:val="20"/>
          <w:szCs w:val="20"/>
          <w:color w:val="auto"/>
        </w:rPr>
      </w:pPr>
      <w:r>
        <w:rPr>
          <w:rFonts w:ascii="Arial" w:cs="Arial" w:eastAsia="Arial" w:hAnsi="Arial"/>
          <w:sz w:val="13"/>
          <w:szCs w:val="13"/>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635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0425" cy="463550"/>
                    </a:xfrm>
                    <a:prstGeom prst="rect">
                      <a:avLst/>
                    </a:prstGeom>
                    <a:noFill/>
                  </pic:spPr>
                </pic:pic>
              </a:graphicData>
            </a:graphic>
          </wp:anchor>
        </w:drawing>
        <w:t>Upcoming Investor Conferences</w:t>
      </w:r>
    </w:p>
    <w:p>
      <w:pPr>
        <w:spacing w:after="0" w:line="87" w:lineRule="exact"/>
        <w:rPr>
          <w:sz w:val="20"/>
          <w:szCs w:val="20"/>
          <w:color w:val="auto"/>
        </w:rPr>
      </w:pPr>
    </w:p>
    <w:p>
      <w:pPr>
        <w:ind w:left="1320" w:hanging="303"/>
        <w:spacing w:after="0"/>
        <w:tabs>
          <w:tab w:leader="none" w:pos="13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Jefferies Cell &amp; Genetic Medicine Summit, New York, NY – September 26-27, 2023</w:t>
      </w:r>
    </w:p>
    <w:p>
      <w:pPr>
        <w:spacing w:after="0" w:line="87" w:lineRule="exact"/>
        <w:rPr>
          <w:rFonts w:ascii="Arial" w:cs="Arial" w:eastAsia="Arial" w:hAnsi="Arial"/>
          <w:sz w:val="13"/>
          <w:szCs w:val="13"/>
          <w:color w:val="auto"/>
        </w:rPr>
      </w:pPr>
    </w:p>
    <w:p>
      <w:pPr>
        <w:ind w:left="1320" w:hanging="303"/>
        <w:spacing w:after="0"/>
        <w:tabs>
          <w:tab w:leader="none" w:pos="13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Jefferies London Healthcare Conference, London, U.K. – November 14-16, 2023</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To see the full list of events and presentations, visit www.investors.immatics.com/events-presentations.</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About Immatics</w:t>
      </w:r>
    </w:p>
    <w:p>
      <w:pPr>
        <w:spacing w:after="0" w:line="82" w:lineRule="exact"/>
        <w:rPr>
          <w:sz w:val="20"/>
          <w:szCs w:val="20"/>
          <w:color w:val="auto"/>
        </w:rPr>
      </w:pPr>
    </w:p>
    <w:p>
      <w:pPr>
        <w:ind w:left="640" w:right="679"/>
        <w:spacing w:after="0" w:line="249" w:lineRule="auto"/>
        <w:rPr>
          <w:sz w:val="20"/>
          <w:szCs w:val="20"/>
          <w:color w:val="auto"/>
        </w:rPr>
      </w:pPr>
      <w:r>
        <w:rPr>
          <w:rFonts w:ascii="Arial" w:cs="Arial" w:eastAsia="Arial" w:hAnsi="Arial"/>
          <w:sz w:val="13"/>
          <w:szCs w:val="13"/>
          <w:color w:val="auto"/>
        </w:rPr>
        <w:t>Immatics combines the discovery of true targets for cancer immunotherapies with the development of the right T cell receptors with the goal of enabling a robust and specific T cell response against these targets. This deep know-how is the foundation for our pipeline of Adoptive Cell Therapies and TCR Bispecifics as well as our partnerships with global leaders in the pharmaceutical industry. We are committed to delivering the power of T cells and to unlocking new avenues for patients in their fight against cancer.</w:t>
      </w:r>
    </w:p>
    <w:p>
      <w:pPr>
        <w:spacing w:after="0" w:line="138" w:lineRule="exact"/>
        <w:rPr>
          <w:sz w:val="20"/>
          <w:szCs w:val="20"/>
          <w:color w:val="auto"/>
        </w:rPr>
      </w:pPr>
    </w:p>
    <w:p>
      <w:pPr>
        <w:ind w:left="640" w:right="959"/>
        <w:spacing w:after="0" w:line="261" w:lineRule="auto"/>
        <w:rPr>
          <w:sz w:val="20"/>
          <w:szCs w:val="20"/>
          <w:color w:val="auto"/>
        </w:rPr>
      </w:pPr>
      <w:r>
        <w:rPr>
          <w:rFonts w:ascii="Arial" w:cs="Arial" w:eastAsia="Arial" w:hAnsi="Arial"/>
          <w:sz w:val="13"/>
          <w:szCs w:val="13"/>
          <w:color w:val="auto"/>
        </w:rPr>
        <w:t xml:space="preserve">Immatics intends to use its website </w:t>
      </w:r>
      <w:r>
        <w:rPr>
          <w:rFonts w:ascii="Arial" w:cs="Arial" w:eastAsia="Arial" w:hAnsi="Arial"/>
          <w:sz w:val="13"/>
          <w:szCs w:val="13"/>
          <w:u w:val="single" w:color="auto"/>
          <w:color w:val="auto"/>
        </w:rPr>
        <w:t>www.immatics.com</w:t>
      </w:r>
      <w:r>
        <w:rPr>
          <w:rFonts w:ascii="Arial" w:cs="Arial" w:eastAsia="Arial" w:hAnsi="Arial"/>
          <w:sz w:val="13"/>
          <w:szCs w:val="13"/>
          <w:color w:val="auto"/>
        </w:rPr>
        <w:t xml:space="preserve"> as a means of disclosing material non-public information. For regular updates you can also follow us on </w:t>
      </w:r>
      <w:r>
        <w:rPr>
          <w:rFonts w:ascii="Arial" w:cs="Arial" w:eastAsia="Arial" w:hAnsi="Arial"/>
          <w:sz w:val="13"/>
          <w:szCs w:val="13"/>
          <w:u w:val="single" w:color="auto"/>
          <w:color w:val="auto"/>
        </w:rPr>
        <w:t>Twitter</w:t>
      </w:r>
      <w:r>
        <w:rPr>
          <w:rFonts w:ascii="Arial" w:cs="Arial" w:eastAsia="Arial" w:hAnsi="Arial"/>
          <w:sz w:val="13"/>
          <w:szCs w:val="13"/>
          <w:color w:val="auto"/>
        </w:rPr>
        <w:t xml:space="preserve">, </w:t>
      </w:r>
      <w:r>
        <w:rPr>
          <w:rFonts w:ascii="Arial" w:cs="Arial" w:eastAsia="Arial" w:hAnsi="Arial"/>
          <w:sz w:val="13"/>
          <w:szCs w:val="13"/>
          <w:u w:val="single" w:color="auto"/>
          <w:color w:val="auto"/>
        </w:rPr>
        <w:t>Instagram</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LinkedIn</w:t>
      </w:r>
      <w:r>
        <w:rPr>
          <w:rFonts w:ascii="Arial" w:cs="Arial" w:eastAsia="Arial" w:hAnsi="Arial"/>
          <w:sz w:val="13"/>
          <w:szCs w:val="13"/>
          <w:color w:val="auto"/>
        </w:rPr>
        <w:t>.</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Forward-Looking Statements:</w:t>
      </w:r>
    </w:p>
    <w:p>
      <w:pPr>
        <w:spacing w:after="0" w:line="82" w:lineRule="exact"/>
        <w:rPr>
          <w:sz w:val="20"/>
          <w:szCs w:val="20"/>
          <w:color w:val="auto"/>
        </w:rPr>
      </w:pPr>
    </w:p>
    <w:p>
      <w:pPr>
        <w:ind w:left="640" w:right="659"/>
        <w:spacing w:after="0" w:line="266" w:lineRule="auto"/>
        <w:rPr>
          <w:sz w:val="20"/>
          <w:szCs w:val="20"/>
          <w:color w:val="auto"/>
        </w:rPr>
      </w:pPr>
      <w:r>
        <w:rPr>
          <w:rFonts w:ascii="Arial" w:cs="Arial" w:eastAsia="Arial" w:hAnsi="Arial"/>
          <w:sz w:val="12"/>
          <w:szCs w:val="12"/>
          <w:color w:val="auto"/>
        </w:rPr>
        <w:t>Certain statements in this press release may be considered forward-looking statements. Forward-looking statements generally relate to future events or Immatics’ future financial or operating performance. For example, statements concerning the timing of product candidates and Immatics’ focus on partnerships to advance its strategy are forward-looking statements. In some cases, you can identify forward-looking statements by terminology such as “may”, “should”, “expect”, “intend”, “will”, “estimate”, “anticipate”, “believe”, “predict”, “potential” or “continue”, or the negatives of these terms or variations of them or similar terminology. Such forward-looking statements are subject to risks, uncertainties, and other factors which could cause actual results to differ materially from those expressed or implied by such forward-looking statements. These forward-looking statements are based upon estimates and assumptions that, while considered reasonable by Immatics and its management, are inherently uncertain. New risks and uncertainties may emerge from time to time, and it is not possible to predict all risks and uncertainties. Factors that may cause actual results to differ materially from current expectations include, but are not limited to, various factors beyond management’s control including general economic conditions and other risks, uncertainties and factors set forth in filings with the SEC. 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Immatics undertakes no duty to update these forward-looking statements.</w:t>
      </w:r>
    </w:p>
    <w:p>
      <w:pPr>
        <w:spacing w:after="0" w:line="8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720" w:type="dxa"/>
            <w:vAlign w:val="bottom"/>
          </w:tcPr>
          <w:p>
            <w:pPr>
              <w:spacing w:after="0"/>
              <w:rPr>
                <w:sz w:val="20"/>
                <w:szCs w:val="20"/>
                <w:color w:val="auto"/>
              </w:rPr>
            </w:pPr>
            <w:r>
              <w:rPr>
                <w:rFonts w:ascii="Arial" w:cs="Arial" w:eastAsia="Arial" w:hAnsi="Arial"/>
                <w:sz w:val="13"/>
                <w:szCs w:val="13"/>
                <w:color w:val="auto"/>
              </w:rPr>
              <w:t>Immatics Press Release August 17, 2023</w:t>
            </w:r>
          </w:p>
        </w:tc>
        <w:tc>
          <w:tcPr>
            <w:tcW w:w="3020" w:type="dxa"/>
            <w:vAlign w:val="bottom"/>
          </w:tcPr>
          <w:p>
            <w:pPr>
              <w:jc w:val="right"/>
              <w:spacing w:after="0"/>
              <w:rPr>
                <w:sz w:val="20"/>
                <w:szCs w:val="20"/>
                <w:color w:val="auto"/>
              </w:rPr>
            </w:pPr>
            <w:r>
              <w:rPr>
                <w:rFonts w:ascii="Arial" w:cs="Arial" w:eastAsia="Arial" w:hAnsi="Arial"/>
                <w:sz w:val="13"/>
                <w:szCs w:val="13"/>
                <w:color w:val="auto"/>
              </w:rPr>
              <w:t>5 | 11</w:t>
            </w:r>
          </w:p>
        </w:tc>
      </w:tr>
    </w:tbl>
    <w:p>
      <w:pPr>
        <w:sectPr>
          <w:pgSz w:w="11900" w:h="16838" w:orient="portrait"/>
          <w:cols w:equalWidth="0" w:num="1">
            <w:col w:w="9019"/>
          </w:cols>
          <w:pgMar w:left="1440" w:top="965" w:right="1440" w:bottom="1440" w:gutter="0" w:footer="0" w:header="0"/>
        </w:sectPr>
      </w:pPr>
    </w:p>
    <w:bookmarkStart w:id="39" w:name="page40"/>
    <w:bookmarkEnd w:id="3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635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0425" cy="463550"/>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165"/>
        </w:trPr>
        <w:tc>
          <w:tcPr>
            <w:tcW w:w="4020" w:type="dxa"/>
            <w:vAlign w:val="bottom"/>
            <w:gridSpan w:val="2"/>
          </w:tcPr>
          <w:p>
            <w:pPr>
              <w:spacing w:after="0"/>
              <w:rPr>
                <w:sz w:val="20"/>
                <w:szCs w:val="20"/>
                <w:color w:val="auto"/>
              </w:rPr>
            </w:pPr>
            <w:r>
              <w:rPr>
                <w:rFonts w:ascii="Arial" w:cs="Arial" w:eastAsia="Arial" w:hAnsi="Arial"/>
                <w:sz w:val="13"/>
                <w:szCs w:val="13"/>
                <w:b w:val="1"/>
                <w:bCs w:val="1"/>
                <w:color w:val="auto"/>
              </w:rPr>
              <w:t>For more information, please contact:</w:t>
            </w:r>
          </w:p>
        </w:tc>
        <w:tc>
          <w:tcPr>
            <w:tcW w:w="17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313"/>
        </w:trPr>
        <w:tc>
          <w:tcPr>
            <w:tcW w:w="4020" w:type="dxa"/>
            <w:vAlign w:val="bottom"/>
            <w:gridSpan w:val="2"/>
          </w:tcPr>
          <w:p>
            <w:pPr>
              <w:spacing w:after="0"/>
              <w:rPr>
                <w:sz w:val="20"/>
                <w:szCs w:val="20"/>
                <w:color w:val="auto"/>
              </w:rPr>
            </w:pPr>
            <w:r>
              <w:rPr>
                <w:rFonts w:ascii="Arial" w:cs="Arial" w:eastAsia="Arial" w:hAnsi="Arial"/>
                <w:sz w:val="13"/>
                <w:szCs w:val="13"/>
                <w:b w:val="1"/>
                <w:bCs w:val="1"/>
                <w:color w:val="auto"/>
              </w:rPr>
              <w:t>Media and Investor Relations Contact</w:t>
            </w:r>
          </w:p>
        </w:tc>
        <w:tc>
          <w:tcPr>
            <w:tcW w:w="17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52"/>
        </w:trPr>
        <w:tc>
          <w:tcPr>
            <w:tcW w:w="4020" w:type="dxa"/>
            <w:vAlign w:val="bottom"/>
            <w:gridSpan w:val="2"/>
          </w:tcPr>
          <w:p>
            <w:pPr>
              <w:spacing w:after="0"/>
              <w:rPr>
                <w:sz w:val="20"/>
                <w:szCs w:val="20"/>
                <w:color w:val="auto"/>
              </w:rPr>
            </w:pPr>
            <w:r>
              <w:rPr>
                <w:rFonts w:ascii="Arial" w:cs="Arial" w:eastAsia="Arial" w:hAnsi="Arial"/>
                <w:sz w:val="13"/>
                <w:szCs w:val="13"/>
                <w:color w:val="auto"/>
              </w:rPr>
              <w:t>Eva Mulder or Charlotte Spitz</w:t>
            </w:r>
          </w:p>
        </w:tc>
        <w:tc>
          <w:tcPr>
            <w:tcW w:w="172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152"/>
        </w:trPr>
        <w:tc>
          <w:tcPr>
            <w:tcW w:w="4020" w:type="dxa"/>
            <w:vAlign w:val="bottom"/>
            <w:gridSpan w:val="2"/>
          </w:tcPr>
          <w:p>
            <w:pPr>
              <w:spacing w:after="0"/>
              <w:rPr>
                <w:sz w:val="20"/>
                <w:szCs w:val="20"/>
                <w:color w:val="auto"/>
              </w:rPr>
            </w:pPr>
            <w:r>
              <w:rPr>
                <w:rFonts w:ascii="Arial" w:cs="Arial" w:eastAsia="Arial" w:hAnsi="Arial"/>
                <w:sz w:val="13"/>
                <w:szCs w:val="13"/>
                <w:color w:val="auto"/>
              </w:rPr>
              <w:t>Trophic Communications</w:t>
            </w:r>
          </w:p>
        </w:tc>
        <w:tc>
          <w:tcPr>
            <w:tcW w:w="172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152"/>
        </w:trPr>
        <w:tc>
          <w:tcPr>
            <w:tcW w:w="4020" w:type="dxa"/>
            <w:vAlign w:val="bottom"/>
            <w:gridSpan w:val="2"/>
          </w:tcPr>
          <w:p>
            <w:pPr>
              <w:spacing w:after="0"/>
              <w:rPr>
                <w:sz w:val="20"/>
                <w:szCs w:val="20"/>
                <w:color w:val="auto"/>
              </w:rPr>
            </w:pPr>
            <w:r>
              <w:rPr>
                <w:rFonts w:ascii="Arial" w:cs="Arial" w:eastAsia="Arial" w:hAnsi="Arial"/>
                <w:sz w:val="13"/>
                <w:szCs w:val="13"/>
                <w:color w:val="auto"/>
              </w:rPr>
              <w:t>Phone: +31 6 52 33 15 79</w:t>
            </w:r>
          </w:p>
        </w:tc>
        <w:tc>
          <w:tcPr>
            <w:tcW w:w="172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132"/>
        </w:trPr>
        <w:tc>
          <w:tcPr>
            <w:tcW w:w="4020" w:type="dxa"/>
            <w:vAlign w:val="bottom"/>
            <w:gridSpan w:val="2"/>
          </w:tcPr>
          <w:p>
            <w:pPr>
              <w:spacing w:after="0" w:line="132" w:lineRule="exact"/>
              <w:rPr>
                <w:sz w:val="20"/>
                <w:szCs w:val="20"/>
                <w:color w:val="auto"/>
              </w:rPr>
            </w:pPr>
            <w:r>
              <w:rPr>
                <w:rFonts w:ascii="Arial" w:cs="Arial" w:eastAsia="Arial" w:hAnsi="Arial"/>
                <w:sz w:val="13"/>
                <w:szCs w:val="13"/>
                <w:color w:val="auto"/>
              </w:rPr>
              <w:t>immatics@trophic.eu</w:t>
            </w:r>
          </w:p>
        </w:tc>
        <w:tc>
          <w:tcPr>
            <w:tcW w:w="1720" w:type="dxa"/>
            <w:vAlign w:val="bottom"/>
          </w:tcPr>
          <w:p>
            <w:pPr>
              <w:spacing w:after="0"/>
              <w:rPr>
                <w:sz w:val="11"/>
                <w:szCs w:val="11"/>
                <w:color w:val="auto"/>
              </w:rPr>
            </w:pPr>
          </w:p>
        </w:tc>
        <w:tc>
          <w:tcPr>
            <w:tcW w:w="2000" w:type="dxa"/>
            <w:vAlign w:val="bottom"/>
          </w:tcPr>
          <w:p>
            <w:pPr>
              <w:spacing w:after="0"/>
              <w:rPr>
                <w:sz w:val="11"/>
                <w:szCs w:val="11"/>
                <w:color w:val="auto"/>
              </w:rPr>
            </w:pPr>
          </w:p>
        </w:tc>
      </w:tr>
      <w:tr>
        <w:trPr>
          <w:trHeight w:val="303"/>
        </w:trPr>
        <w:tc>
          <w:tcPr>
            <w:tcW w:w="11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Immatics N.V.</w:t>
            </w:r>
          </w:p>
        </w:tc>
        <w:tc>
          <w:tcPr>
            <w:tcW w:w="28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52"/>
        </w:trPr>
        <w:tc>
          <w:tcPr>
            <w:tcW w:w="4020" w:type="dxa"/>
            <w:vAlign w:val="bottom"/>
            <w:gridSpan w:val="2"/>
          </w:tcPr>
          <w:p>
            <w:pPr>
              <w:spacing w:after="0"/>
              <w:rPr>
                <w:sz w:val="20"/>
                <w:szCs w:val="20"/>
                <w:color w:val="auto"/>
              </w:rPr>
            </w:pPr>
            <w:r>
              <w:rPr>
                <w:rFonts w:ascii="Arial" w:cs="Arial" w:eastAsia="Arial" w:hAnsi="Arial"/>
                <w:sz w:val="13"/>
                <w:szCs w:val="13"/>
                <w:color w:val="auto"/>
              </w:rPr>
              <w:t>Anja Heuer</w:t>
            </w:r>
          </w:p>
        </w:tc>
        <w:tc>
          <w:tcPr>
            <w:tcW w:w="3720" w:type="dxa"/>
            <w:vAlign w:val="bottom"/>
            <w:gridSpan w:val="2"/>
          </w:tcPr>
          <w:p>
            <w:pPr>
              <w:spacing w:after="0"/>
              <w:rPr>
                <w:sz w:val="20"/>
                <w:szCs w:val="20"/>
                <w:color w:val="auto"/>
              </w:rPr>
            </w:pPr>
            <w:r>
              <w:rPr>
                <w:rFonts w:ascii="Arial" w:cs="Arial" w:eastAsia="Arial" w:hAnsi="Arial"/>
                <w:sz w:val="13"/>
                <w:szCs w:val="13"/>
                <w:color w:val="auto"/>
              </w:rPr>
              <w:t>Sabrina Schecher, Ph.D.</w:t>
            </w:r>
          </w:p>
        </w:tc>
      </w:tr>
      <w:tr>
        <w:trPr>
          <w:trHeight w:val="152"/>
        </w:trPr>
        <w:tc>
          <w:tcPr>
            <w:tcW w:w="4020" w:type="dxa"/>
            <w:vAlign w:val="bottom"/>
            <w:gridSpan w:val="2"/>
          </w:tcPr>
          <w:p>
            <w:pPr>
              <w:spacing w:after="0"/>
              <w:rPr>
                <w:sz w:val="20"/>
                <w:szCs w:val="20"/>
                <w:color w:val="auto"/>
              </w:rPr>
            </w:pPr>
            <w:r>
              <w:rPr>
                <w:rFonts w:ascii="Arial" w:cs="Arial" w:eastAsia="Arial" w:hAnsi="Arial"/>
                <w:sz w:val="13"/>
                <w:szCs w:val="13"/>
                <w:color w:val="auto"/>
              </w:rPr>
              <w:t>Senior Director, Corporate Communications</w:t>
            </w:r>
          </w:p>
        </w:tc>
        <w:tc>
          <w:tcPr>
            <w:tcW w:w="3720" w:type="dxa"/>
            <w:vAlign w:val="bottom"/>
            <w:gridSpan w:val="2"/>
          </w:tcPr>
          <w:p>
            <w:pPr>
              <w:spacing w:after="0"/>
              <w:rPr>
                <w:sz w:val="20"/>
                <w:szCs w:val="20"/>
                <w:color w:val="auto"/>
              </w:rPr>
            </w:pPr>
            <w:r>
              <w:rPr>
                <w:rFonts w:ascii="Arial" w:cs="Arial" w:eastAsia="Arial" w:hAnsi="Arial"/>
                <w:sz w:val="13"/>
                <w:szCs w:val="13"/>
                <w:color w:val="auto"/>
              </w:rPr>
              <w:t>Senior Director, Investor Relations</w:t>
            </w:r>
          </w:p>
        </w:tc>
      </w:tr>
      <w:tr>
        <w:trPr>
          <w:trHeight w:val="152"/>
        </w:trPr>
        <w:tc>
          <w:tcPr>
            <w:tcW w:w="4020" w:type="dxa"/>
            <w:vAlign w:val="bottom"/>
            <w:gridSpan w:val="2"/>
          </w:tcPr>
          <w:p>
            <w:pPr>
              <w:spacing w:after="0"/>
              <w:rPr>
                <w:sz w:val="20"/>
                <w:szCs w:val="20"/>
                <w:color w:val="auto"/>
              </w:rPr>
            </w:pPr>
            <w:r>
              <w:rPr>
                <w:rFonts w:ascii="Arial" w:cs="Arial" w:eastAsia="Arial" w:hAnsi="Arial"/>
                <w:sz w:val="13"/>
                <w:szCs w:val="13"/>
                <w:color w:val="auto"/>
              </w:rPr>
              <w:t>Phone: +49 89 540415-606</w:t>
            </w:r>
          </w:p>
        </w:tc>
        <w:tc>
          <w:tcPr>
            <w:tcW w:w="3720" w:type="dxa"/>
            <w:vAlign w:val="bottom"/>
            <w:gridSpan w:val="2"/>
          </w:tcPr>
          <w:p>
            <w:pPr>
              <w:spacing w:after="0"/>
              <w:rPr>
                <w:sz w:val="20"/>
                <w:szCs w:val="20"/>
                <w:color w:val="auto"/>
              </w:rPr>
            </w:pPr>
            <w:r>
              <w:rPr>
                <w:rFonts w:ascii="Arial" w:cs="Arial" w:eastAsia="Arial" w:hAnsi="Arial"/>
                <w:sz w:val="13"/>
                <w:szCs w:val="13"/>
                <w:color w:val="auto"/>
              </w:rPr>
              <w:t>Phone: +49 89 262002433</w:t>
            </w:r>
          </w:p>
        </w:tc>
      </w:tr>
      <w:tr>
        <w:trPr>
          <w:trHeight w:val="142"/>
        </w:trPr>
        <w:tc>
          <w:tcPr>
            <w:tcW w:w="1140" w:type="dxa"/>
            <w:vAlign w:val="bottom"/>
          </w:tcPr>
          <w:p>
            <w:pPr>
              <w:spacing w:after="0" w:line="142" w:lineRule="exact"/>
              <w:rPr>
                <w:sz w:val="20"/>
                <w:szCs w:val="20"/>
                <w:color w:val="auto"/>
              </w:rPr>
            </w:pPr>
            <w:r>
              <w:rPr>
                <w:rFonts w:ascii="Arial" w:cs="Arial" w:eastAsia="Arial" w:hAnsi="Arial"/>
                <w:sz w:val="13"/>
                <w:szCs w:val="13"/>
                <w:color w:val="auto"/>
                <w:w w:val="85"/>
              </w:rPr>
              <w:t>media@immatics.com</w:t>
            </w:r>
          </w:p>
        </w:tc>
        <w:tc>
          <w:tcPr>
            <w:tcW w:w="2880" w:type="dxa"/>
            <w:vAlign w:val="bottom"/>
          </w:tcPr>
          <w:p>
            <w:pPr>
              <w:spacing w:after="0"/>
              <w:rPr>
                <w:sz w:val="12"/>
                <w:szCs w:val="12"/>
                <w:color w:val="auto"/>
              </w:rPr>
            </w:pPr>
          </w:p>
        </w:tc>
        <w:tc>
          <w:tcPr>
            <w:tcW w:w="3720" w:type="dxa"/>
            <w:vAlign w:val="bottom"/>
            <w:gridSpan w:val="2"/>
          </w:tcPr>
          <w:p>
            <w:pPr>
              <w:spacing w:after="0" w:line="142" w:lineRule="exact"/>
              <w:rPr>
                <w:sz w:val="20"/>
                <w:szCs w:val="20"/>
                <w:color w:val="auto"/>
              </w:rPr>
            </w:pPr>
            <w:r>
              <w:rPr>
                <w:rFonts w:ascii="Arial" w:cs="Arial" w:eastAsia="Arial" w:hAnsi="Arial"/>
                <w:sz w:val="13"/>
                <w:szCs w:val="13"/>
                <w:color w:val="auto"/>
              </w:rPr>
              <w:t>InvestorRelations@immatics.com</w:t>
            </w:r>
          </w:p>
        </w:tc>
      </w:tr>
      <w:tr>
        <w:trPr>
          <w:trHeight w:val="28"/>
        </w:trPr>
        <w:tc>
          <w:tcPr>
            <w:tcW w:w="1140" w:type="dxa"/>
            <w:vAlign w:val="bottom"/>
            <w:tcBorders>
              <w:right w:val="single" w:sz="8" w:color="auto"/>
            </w:tcBorders>
            <w:shd w:val="clear" w:color="auto" w:fill="000000"/>
          </w:tcPr>
          <w:p>
            <w:pPr>
              <w:spacing w:after="0"/>
              <w:rPr>
                <w:sz w:val="2"/>
                <w:szCs w:val="2"/>
                <w:color w:val="auto"/>
              </w:rPr>
            </w:pPr>
          </w:p>
        </w:tc>
        <w:tc>
          <w:tcPr>
            <w:tcW w:w="2880" w:type="dxa"/>
            <w:vAlign w:val="bottom"/>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2000" w:type="dxa"/>
            <w:vAlign w:val="bottom"/>
          </w:tcPr>
          <w:p>
            <w:pPr>
              <w:spacing w:after="0"/>
              <w:rPr>
                <w:sz w:val="2"/>
                <w:szCs w:val="2"/>
                <w:color w:val="auto"/>
              </w:rPr>
            </w:pPr>
          </w:p>
        </w:tc>
      </w:tr>
      <w:tr>
        <w:trPr>
          <w:trHeight w:val="256"/>
        </w:trPr>
        <w:tc>
          <w:tcPr>
            <w:tcW w:w="4020" w:type="dxa"/>
            <w:vAlign w:val="bottom"/>
            <w:gridSpan w:val="2"/>
          </w:tcPr>
          <w:p>
            <w:pPr>
              <w:spacing w:after="0"/>
              <w:rPr>
                <w:sz w:val="20"/>
                <w:szCs w:val="20"/>
                <w:color w:val="auto"/>
              </w:rPr>
            </w:pPr>
            <w:r>
              <w:rPr>
                <w:rFonts w:ascii="Arial" w:cs="Arial" w:eastAsia="Arial" w:hAnsi="Arial"/>
                <w:sz w:val="13"/>
                <w:szCs w:val="13"/>
                <w:color w:val="auto"/>
              </w:rPr>
              <w:t>Immatics Press Release August 17, 2023</w:t>
            </w:r>
          </w:p>
        </w:tc>
        <w:tc>
          <w:tcPr>
            <w:tcW w:w="3720" w:type="dxa"/>
            <w:vAlign w:val="bottom"/>
            <w:gridSpan w:val="2"/>
          </w:tcPr>
          <w:p>
            <w:pPr>
              <w:ind w:left="3380"/>
              <w:spacing w:after="0"/>
              <w:rPr>
                <w:sz w:val="20"/>
                <w:szCs w:val="20"/>
                <w:color w:val="auto"/>
              </w:rPr>
            </w:pPr>
            <w:r>
              <w:rPr>
                <w:rFonts w:ascii="Arial" w:cs="Arial" w:eastAsia="Arial" w:hAnsi="Arial"/>
                <w:sz w:val="13"/>
                <w:szCs w:val="13"/>
                <w:color w:val="auto"/>
                <w:w w:val="98"/>
              </w:rPr>
              <w:t>6 | 11</w:t>
            </w:r>
          </w:p>
        </w:tc>
      </w:tr>
    </w:tbl>
    <w:p>
      <w:pPr>
        <w:sectPr>
          <w:pgSz w:w="11900" w:h="16838" w:orient="portrait"/>
          <w:cols w:equalWidth="0" w:num="1">
            <w:col w:w="9019"/>
          </w:cols>
          <w:pgMar w:left="1440" w:top="961" w:right="1440" w:bottom="1440" w:gutter="0" w:footer="0" w:header="0"/>
        </w:sectPr>
      </w:pPr>
    </w:p>
    <w:bookmarkStart w:id="40" w:name="page41"/>
    <w:bookmarkEnd w:id="40"/>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635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0425" cy="463550"/>
                    </a:xfrm>
                    <a:prstGeom prst="rect">
                      <a:avLst/>
                    </a:prstGeom>
                    <a:noFill/>
                  </pic:spPr>
                </pic:pic>
              </a:graphicData>
            </a:graphic>
          </wp:anchor>
        </w:drawing>
        <w:t>Unaudited Condensed Consolidated Statement of Profit/(Loss) of Immatics N.V.</w:t>
      </w:r>
    </w:p>
    <w:p>
      <w:pPr>
        <w:spacing w:after="0" w:line="171" w:lineRule="exact"/>
        <w:rPr>
          <w:sz w:val="20"/>
          <w:szCs w:val="20"/>
          <w:color w:val="auto"/>
        </w:rPr>
      </w:pPr>
    </w:p>
    <w:tbl>
      <w:tblPr>
        <w:tblLayout w:type="fixed"/>
        <w:tblInd w:w="640" w:type="dxa"/>
        <w:tblCellMar>
          <w:top w:w="0" w:type="dxa"/>
          <w:left w:w="0" w:type="dxa"/>
          <w:bottom w:w="0" w:type="dxa"/>
          <w:right w:w="0" w:type="dxa"/>
        </w:tblCellMar>
      </w:tblPr>
      <w:tr>
        <w:trPr>
          <w:trHeight w:val="119"/>
        </w:trPr>
        <w:tc>
          <w:tcPr>
            <w:tcW w:w="4400" w:type="dxa"/>
            <w:vAlign w:val="bottom"/>
          </w:tcPr>
          <w:p>
            <w:pPr>
              <w:spacing w:after="0"/>
              <w:rPr>
                <w:sz w:val="10"/>
                <w:szCs w:val="10"/>
                <w:color w:val="auto"/>
              </w:rPr>
            </w:pPr>
          </w:p>
        </w:tc>
        <w:tc>
          <w:tcPr>
            <w:tcW w:w="1760" w:type="dxa"/>
            <w:vAlign w:val="bottom"/>
            <w:gridSpan w:val="5"/>
          </w:tcPr>
          <w:p>
            <w:pPr>
              <w:jc w:val="center"/>
              <w:ind w:right="260"/>
              <w:spacing w:after="0"/>
              <w:rPr>
                <w:sz w:val="20"/>
                <w:szCs w:val="20"/>
                <w:color w:val="auto"/>
              </w:rPr>
            </w:pPr>
            <w:r>
              <w:rPr>
                <w:rFonts w:ascii="Arial" w:cs="Arial" w:eastAsia="Arial" w:hAnsi="Arial"/>
                <w:sz w:val="10"/>
                <w:szCs w:val="10"/>
                <w:b w:val="1"/>
                <w:bCs w:val="1"/>
                <w:color w:val="auto"/>
                <w:w w:val="89"/>
              </w:rPr>
              <w:t>Three months ended June 30,</w:t>
            </w:r>
          </w:p>
        </w:tc>
        <w:tc>
          <w:tcPr>
            <w:tcW w:w="1580" w:type="dxa"/>
            <w:vAlign w:val="bottom"/>
            <w:gridSpan w:val="5"/>
          </w:tcPr>
          <w:p>
            <w:pPr>
              <w:jc w:val="center"/>
              <w:ind w:right="80"/>
              <w:spacing w:after="0"/>
              <w:rPr>
                <w:sz w:val="20"/>
                <w:szCs w:val="20"/>
                <w:color w:val="auto"/>
              </w:rPr>
            </w:pPr>
            <w:r>
              <w:rPr>
                <w:rFonts w:ascii="Arial" w:cs="Arial" w:eastAsia="Arial" w:hAnsi="Arial"/>
                <w:sz w:val="10"/>
                <w:szCs w:val="10"/>
                <w:b w:val="1"/>
                <w:bCs w:val="1"/>
                <w:color w:val="auto"/>
                <w:w w:val="88"/>
              </w:rPr>
              <w:t>Six months ended June 30,</w:t>
            </w:r>
          </w:p>
        </w:tc>
      </w:tr>
      <w:tr>
        <w:trPr>
          <w:trHeight w:val="94"/>
        </w:trPr>
        <w:tc>
          <w:tcPr>
            <w:tcW w:w="4400" w:type="dxa"/>
            <w:vAlign w:val="bottom"/>
          </w:tcPr>
          <w:p>
            <w:pPr>
              <w:spacing w:after="0"/>
              <w:rPr>
                <w:sz w:val="8"/>
                <w:szCs w:val="8"/>
                <w:color w:val="auto"/>
              </w:rPr>
            </w:pPr>
          </w:p>
        </w:tc>
        <w:tc>
          <w:tcPr>
            <w:tcW w:w="620" w:type="dxa"/>
            <w:vAlign w:val="bottom"/>
            <w:tcBorders>
              <w:top w:val="single" w:sz="8" w:color="auto"/>
              <w:bottom w:val="single" w:sz="8" w:color="auto"/>
            </w:tcBorders>
          </w:tcPr>
          <w:p>
            <w:pPr>
              <w:jc w:val="right"/>
              <w:ind w:right="160"/>
              <w:spacing w:after="0" w:line="94" w:lineRule="exact"/>
              <w:rPr>
                <w:sz w:val="20"/>
                <w:szCs w:val="20"/>
                <w:color w:val="auto"/>
              </w:rPr>
            </w:pPr>
            <w:r>
              <w:rPr>
                <w:rFonts w:ascii="Arial" w:cs="Arial" w:eastAsia="Arial" w:hAnsi="Arial"/>
                <w:sz w:val="10"/>
                <w:szCs w:val="10"/>
                <w:b w:val="1"/>
                <w:bCs w:val="1"/>
                <w:color w:val="auto"/>
              </w:rPr>
              <w:t>2023</w:t>
            </w:r>
          </w:p>
        </w:tc>
        <w:tc>
          <w:tcPr>
            <w:tcW w:w="260" w:type="dxa"/>
            <w:vAlign w:val="bottom"/>
            <w:tcBorders>
              <w:top w:val="single" w:sz="8" w:color="auto"/>
              <w:bottom w:val="single" w:sz="8" w:color="auto"/>
            </w:tcBorders>
          </w:tcPr>
          <w:p>
            <w:pPr>
              <w:spacing w:after="0"/>
              <w:rPr>
                <w:sz w:val="8"/>
                <w:szCs w:val="8"/>
                <w:color w:val="auto"/>
              </w:rPr>
            </w:pPr>
          </w:p>
        </w:tc>
        <w:tc>
          <w:tcPr>
            <w:tcW w:w="20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ind w:right="158"/>
              <w:spacing w:after="0" w:line="94" w:lineRule="exact"/>
              <w:rPr>
                <w:sz w:val="20"/>
                <w:szCs w:val="20"/>
                <w:color w:val="auto"/>
              </w:rPr>
            </w:pPr>
            <w:r>
              <w:rPr>
                <w:rFonts w:ascii="Arial" w:cs="Arial" w:eastAsia="Arial" w:hAnsi="Arial"/>
                <w:sz w:val="10"/>
                <w:szCs w:val="10"/>
                <w:b w:val="1"/>
                <w:bCs w:val="1"/>
                <w:color w:val="auto"/>
                <w:w w:val="80"/>
              </w:rPr>
              <w:t>2022</w:t>
            </w:r>
          </w:p>
        </w:tc>
        <w:tc>
          <w:tcPr>
            <w:tcW w:w="260" w:type="dxa"/>
            <w:vAlign w:val="bottom"/>
          </w:tcPr>
          <w:p>
            <w:pPr>
              <w:spacing w:after="0"/>
              <w:rPr>
                <w:sz w:val="8"/>
                <w:szCs w:val="8"/>
                <w:color w:val="auto"/>
              </w:rPr>
            </w:pPr>
          </w:p>
        </w:tc>
        <w:tc>
          <w:tcPr>
            <w:tcW w:w="620" w:type="dxa"/>
            <w:vAlign w:val="bottom"/>
            <w:tcBorders>
              <w:top w:val="single" w:sz="8" w:color="auto"/>
              <w:bottom w:val="single" w:sz="8" w:color="auto"/>
            </w:tcBorders>
          </w:tcPr>
          <w:p>
            <w:pPr>
              <w:jc w:val="right"/>
              <w:ind w:right="140"/>
              <w:spacing w:after="0" w:line="94" w:lineRule="exact"/>
              <w:rPr>
                <w:sz w:val="20"/>
                <w:szCs w:val="20"/>
                <w:color w:val="auto"/>
              </w:rPr>
            </w:pPr>
            <w:r>
              <w:rPr>
                <w:rFonts w:ascii="Arial" w:cs="Arial" w:eastAsia="Arial" w:hAnsi="Arial"/>
                <w:sz w:val="10"/>
                <w:szCs w:val="10"/>
                <w:b w:val="1"/>
                <w:bCs w:val="1"/>
                <w:color w:val="auto"/>
              </w:rPr>
              <w:t>2023</w:t>
            </w:r>
          </w:p>
        </w:tc>
        <w:tc>
          <w:tcPr>
            <w:tcW w:w="260" w:type="dxa"/>
            <w:vAlign w:val="bottom"/>
            <w:tcBorders>
              <w:top w:val="single" w:sz="8" w:color="auto"/>
              <w:bottom w:val="single" w:sz="8" w:color="auto"/>
            </w:tcBorders>
          </w:tcPr>
          <w:p>
            <w:pPr>
              <w:spacing w:after="0"/>
              <w:rPr>
                <w:sz w:val="8"/>
                <w:szCs w:val="8"/>
                <w:color w:val="auto"/>
              </w:rPr>
            </w:pPr>
          </w:p>
        </w:tc>
        <w:tc>
          <w:tcPr>
            <w:tcW w:w="20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ind w:right="138"/>
              <w:spacing w:after="0" w:line="94" w:lineRule="exact"/>
              <w:rPr>
                <w:sz w:val="20"/>
                <w:szCs w:val="20"/>
                <w:color w:val="auto"/>
              </w:rPr>
            </w:pPr>
            <w:r>
              <w:rPr>
                <w:rFonts w:ascii="Arial" w:cs="Arial" w:eastAsia="Arial" w:hAnsi="Arial"/>
                <w:sz w:val="10"/>
                <w:szCs w:val="10"/>
                <w:b w:val="1"/>
                <w:bCs w:val="1"/>
                <w:color w:val="auto"/>
                <w:w w:val="89"/>
              </w:rPr>
              <w:t>2022</w:t>
            </w:r>
          </w:p>
        </w:tc>
        <w:tc>
          <w:tcPr>
            <w:tcW w:w="80" w:type="dxa"/>
            <w:vAlign w:val="bottom"/>
          </w:tcPr>
          <w:p>
            <w:pPr>
              <w:spacing w:after="0"/>
              <w:rPr>
                <w:sz w:val="8"/>
                <w:szCs w:val="8"/>
                <w:color w:val="auto"/>
              </w:rPr>
            </w:pPr>
          </w:p>
        </w:tc>
      </w:tr>
      <w:tr>
        <w:trPr>
          <w:trHeight w:val="79"/>
        </w:trPr>
        <w:tc>
          <w:tcPr>
            <w:tcW w:w="4400" w:type="dxa"/>
            <w:vAlign w:val="bottom"/>
          </w:tcPr>
          <w:p>
            <w:pPr>
              <w:spacing w:after="0"/>
              <w:rPr>
                <w:sz w:val="6"/>
                <w:szCs w:val="6"/>
                <w:color w:val="auto"/>
              </w:rPr>
            </w:pPr>
          </w:p>
        </w:tc>
        <w:tc>
          <w:tcPr>
            <w:tcW w:w="1500" w:type="dxa"/>
            <w:vAlign w:val="bottom"/>
            <w:gridSpan w:val="4"/>
          </w:tcPr>
          <w:p>
            <w:pPr>
              <w:jc w:val="center"/>
              <w:spacing w:after="0" w:line="79" w:lineRule="exact"/>
              <w:rPr>
                <w:sz w:val="20"/>
                <w:szCs w:val="20"/>
                <w:color w:val="auto"/>
              </w:rPr>
            </w:pPr>
            <w:r>
              <w:rPr>
                <w:rFonts w:ascii="Arial" w:cs="Arial" w:eastAsia="Arial" w:hAnsi="Arial"/>
                <w:sz w:val="9"/>
                <w:szCs w:val="9"/>
                <w:b w:val="1"/>
                <w:bCs w:val="1"/>
                <w:color w:val="auto"/>
                <w:w w:val="97"/>
              </w:rPr>
              <w:t>(Euros in thousands, except</w:t>
            </w:r>
          </w:p>
        </w:tc>
        <w:tc>
          <w:tcPr>
            <w:tcW w:w="260" w:type="dxa"/>
            <w:vAlign w:val="bottom"/>
          </w:tcPr>
          <w:p>
            <w:pPr>
              <w:spacing w:after="0"/>
              <w:rPr>
                <w:sz w:val="6"/>
                <w:szCs w:val="6"/>
                <w:color w:val="auto"/>
              </w:rPr>
            </w:pPr>
          </w:p>
        </w:tc>
        <w:tc>
          <w:tcPr>
            <w:tcW w:w="1500" w:type="dxa"/>
            <w:vAlign w:val="bottom"/>
            <w:gridSpan w:val="4"/>
          </w:tcPr>
          <w:p>
            <w:pPr>
              <w:jc w:val="center"/>
              <w:spacing w:after="0" w:line="79" w:lineRule="exact"/>
              <w:rPr>
                <w:sz w:val="20"/>
                <w:szCs w:val="20"/>
                <w:color w:val="auto"/>
              </w:rPr>
            </w:pPr>
            <w:r>
              <w:rPr>
                <w:rFonts w:ascii="Arial" w:cs="Arial" w:eastAsia="Arial" w:hAnsi="Arial"/>
                <w:sz w:val="9"/>
                <w:szCs w:val="9"/>
                <w:b w:val="1"/>
                <w:bCs w:val="1"/>
                <w:color w:val="auto"/>
                <w:w w:val="97"/>
              </w:rPr>
              <w:t>(Euros in thousands, except</w:t>
            </w:r>
          </w:p>
        </w:tc>
        <w:tc>
          <w:tcPr>
            <w:tcW w:w="80" w:type="dxa"/>
            <w:vAlign w:val="bottom"/>
          </w:tcPr>
          <w:p>
            <w:pPr>
              <w:spacing w:after="0"/>
              <w:rPr>
                <w:sz w:val="6"/>
                <w:szCs w:val="6"/>
                <w:color w:val="auto"/>
              </w:rPr>
            </w:pPr>
          </w:p>
        </w:tc>
      </w:tr>
      <w:tr>
        <w:trPr>
          <w:trHeight w:val="119"/>
        </w:trPr>
        <w:tc>
          <w:tcPr>
            <w:tcW w:w="4400" w:type="dxa"/>
            <w:vAlign w:val="bottom"/>
          </w:tcPr>
          <w:p>
            <w:pPr>
              <w:spacing w:after="0"/>
              <w:rPr>
                <w:sz w:val="10"/>
                <w:szCs w:val="10"/>
                <w:color w:val="auto"/>
              </w:rPr>
            </w:pPr>
          </w:p>
        </w:tc>
        <w:tc>
          <w:tcPr>
            <w:tcW w:w="1080" w:type="dxa"/>
            <w:vAlign w:val="bottom"/>
            <w:gridSpan w:val="3"/>
          </w:tcPr>
          <w:p>
            <w:pPr>
              <w:jc w:val="center"/>
              <w:ind w:left="360"/>
              <w:spacing w:after="0"/>
              <w:rPr>
                <w:sz w:val="20"/>
                <w:szCs w:val="20"/>
                <w:color w:val="auto"/>
              </w:rPr>
            </w:pPr>
            <w:r>
              <w:rPr>
                <w:rFonts w:ascii="Arial" w:cs="Arial" w:eastAsia="Arial" w:hAnsi="Arial"/>
                <w:sz w:val="10"/>
                <w:szCs w:val="10"/>
                <w:b w:val="1"/>
                <w:bCs w:val="1"/>
                <w:color w:val="auto"/>
                <w:w w:val="91"/>
              </w:rPr>
              <w:t>per share data)</w:t>
            </w: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gridSpan w:val="3"/>
          </w:tcPr>
          <w:p>
            <w:pPr>
              <w:jc w:val="center"/>
              <w:ind w:left="360"/>
              <w:spacing w:after="0"/>
              <w:rPr>
                <w:sz w:val="20"/>
                <w:szCs w:val="20"/>
                <w:color w:val="auto"/>
              </w:rPr>
            </w:pPr>
            <w:r>
              <w:rPr>
                <w:rFonts w:ascii="Arial" w:cs="Arial" w:eastAsia="Arial" w:hAnsi="Arial"/>
                <w:sz w:val="10"/>
                <w:szCs w:val="10"/>
                <w:b w:val="1"/>
                <w:bCs w:val="1"/>
                <w:color w:val="auto"/>
                <w:w w:val="91"/>
              </w:rPr>
              <w:t>per share data)</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52"/>
        </w:trPr>
        <w:tc>
          <w:tcPr>
            <w:tcW w:w="4400" w:type="dxa"/>
            <w:vAlign w:val="bottom"/>
            <w:shd w:val="clear" w:color="auto" w:fill="CCEEFF"/>
          </w:tcPr>
          <w:p>
            <w:pPr>
              <w:spacing w:after="0"/>
              <w:rPr>
                <w:sz w:val="20"/>
                <w:szCs w:val="20"/>
                <w:color w:val="auto"/>
              </w:rPr>
            </w:pPr>
            <w:r>
              <w:rPr>
                <w:rFonts w:ascii="Arial" w:cs="Arial" w:eastAsia="Arial" w:hAnsi="Arial"/>
                <w:sz w:val="13"/>
                <w:szCs w:val="13"/>
                <w:color w:val="auto"/>
              </w:rPr>
              <w:t>Revenue from collaboration agreements</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22,354</w:t>
            </w:r>
          </w:p>
        </w:tc>
        <w:tc>
          <w:tcPr>
            <w:tcW w:w="2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17,215</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32,150</w:t>
            </w:r>
          </w:p>
        </w:tc>
        <w:tc>
          <w:tcPr>
            <w:tcW w:w="2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5"/>
              </w:rPr>
              <w:t>120,123</w:t>
            </w:r>
          </w:p>
        </w:tc>
      </w:tr>
      <w:tr>
        <w:trPr>
          <w:trHeight w:val="152"/>
        </w:trPr>
        <w:tc>
          <w:tcPr>
            <w:tcW w:w="4400" w:type="dxa"/>
            <w:vAlign w:val="bottom"/>
          </w:tcPr>
          <w:p>
            <w:pPr>
              <w:spacing w:after="0"/>
              <w:rPr>
                <w:sz w:val="20"/>
                <w:szCs w:val="20"/>
                <w:color w:val="auto"/>
              </w:rPr>
            </w:pPr>
            <w:r>
              <w:rPr>
                <w:rFonts w:ascii="Arial" w:cs="Arial" w:eastAsia="Arial" w:hAnsi="Arial"/>
                <w:sz w:val="13"/>
                <w:szCs w:val="13"/>
                <w:color w:val="auto"/>
              </w:rPr>
              <w:t>Research and development expenses</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(27,317)</w:t>
            </w:r>
          </w:p>
        </w:tc>
        <w:tc>
          <w:tcPr>
            <w:tcW w:w="20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w w:val="90"/>
              </w:rPr>
              <w:t>(25,216)</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(54,898)</w:t>
            </w:r>
          </w:p>
        </w:tc>
        <w:tc>
          <w:tcPr>
            <w:tcW w:w="2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w w:val="90"/>
              </w:rPr>
              <w:t>(50,360)</w:t>
            </w:r>
          </w:p>
        </w:tc>
      </w:tr>
      <w:tr>
        <w:trPr>
          <w:trHeight w:val="152"/>
        </w:trPr>
        <w:tc>
          <w:tcPr>
            <w:tcW w:w="4400" w:type="dxa"/>
            <w:vAlign w:val="bottom"/>
            <w:shd w:val="clear" w:color="auto" w:fill="CCEEFF"/>
          </w:tcPr>
          <w:p>
            <w:pPr>
              <w:spacing w:after="0"/>
              <w:rPr>
                <w:sz w:val="20"/>
                <w:szCs w:val="20"/>
                <w:color w:val="auto"/>
              </w:rPr>
            </w:pPr>
            <w:r>
              <w:rPr>
                <w:rFonts w:ascii="Arial" w:cs="Arial" w:eastAsia="Arial" w:hAnsi="Arial"/>
                <w:sz w:val="13"/>
                <w:szCs w:val="13"/>
                <w:color w:val="auto"/>
              </w:rPr>
              <w:t>General and administrative expenses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(9,358)</w:t>
            </w:r>
          </w:p>
        </w:tc>
        <w:tc>
          <w:tcPr>
            <w:tcW w:w="2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(8,683)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(18,944)</w:t>
            </w:r>
          </w:p>
        </w:tc>
        <w:tc>
          <w:tcPr>
            <w:tcW w:w="2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0"/>
              </w:rPr>
              <w:t>(17,961)</w:t>
            </w:r>
          </w:p>
        </w:tc>
      </w:tr>
      <w:tr>
        <w:trPr>
          <w:trHeight w:val="152"/>
        </w:trPr>
        <w:tc>
          <w:tcPr>
            <w:tcW w:w="4400" w:type="dxa"/>
            <w:vAlign w:val="bottom"/>
          </w:tcPr>
          <w:p>
            <w:pPr>
              <w:spacing w:after="0"/>
              <w:rPr>
                <w:sz w:val="20"/>
                <w:szCs w:val="20"/>
                <w:color w:val="auto"/>
              </w:rPr>
            </w:pPr>
            <w:r>
              <w:rPr>
                <w:rFonts w:ascii="Arial" w:cs="Arial" w:eastAsia="Arial" w:hAnsi="Arial"/>
                <w:sz w:val="13"/>
                <w:szCs w:val="13"/>
                <w:color w:val="auto"/>
              </w:rPr>
              <w:t>Other income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2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26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948</w:t>
            </w:r>
          </w:p>
        </w:tc>
        <w:tc>
          <w:tcPr>
            <w:tcW w:w="2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3"/>
                <w:szCs w:val="13"/>
                <w:color w:val="auto"/>
              </w:rPr>
            </w:pPr>
          </w:p>
        </w:tc>
      </w:tr>
      <w:tr>
        <w:trPr>
          <w:trHeight w:val="151"/>
        </w:trPr>
        <w:tc>
          <w:tcPr>
            <w:tcW w:w="4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Operating result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(14,315)</w:t>
            </w:r>
          </w:p>
        </w:tc>
        <w:tc>
          <w:tcPr>
            <w:tcW w:w="2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w w:val="90"/>
              </w:rPr>
              <w:t>(16,657)</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(40,744)</w:t>
            </w:r>
          </w:p>
        </w:tc>
        <w:tc>
          <w:tcPr>
            <w:tcW w:w="2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51,834</w:t>
            </w:r>
          </w:p>
        </w:tc>
      </w:tr>
      <w:tr>
        <w:trPr>
          <w:trHeight w:val="152"/>
        </w:trPr>
        <w:tc>
          <w:tcPr>
            <w:tcW w:w="4400" w:type="dxa"/>
            <w:vAlign w:val="bottom"/>
          </w:tcPr>
          <w:p>
            <w:pPr>
              <w:spacing w:after="0"/>
              <w:rPr>
                <w:sz w:val="20"/>
                <w:szCs w:val="20"/>
                <w:color w:val="auto"/>
              </w:rPr>
            </w:pPr>
            <w:r>
              <w:rPr>
                <w:rFonts w:ascii="Arial" w:cs="Arial" w:eastAsia="Arial" w:hAnsi="Arial"/>
                <w:sz w:val="13"/>
                <w:szCs w:val="13"/>
                <w:color w:val="auto"/>
              </w:rPr>
              <w:t>Change in fair value of liabilities for warrants</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(13,105)</w:t>
            </w:r>
          </w:p>
        </w:tc>
        <w:tc>
          <w:tcPr>
            <w:tcW w:w="20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(2,786)</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(5,708)</w:t>
            </w:r>
          </w:p>
        </w:tc>
        <w:tc>
          <w:tcPr>
            <w:tcW w:w="20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13,743</w:t>
            </w:r>
          </w:p>
        </w:tc>
      </w:tr>
      <w:tr>
        <w:trPr>
          <w:trHeight w:val="152"/>
        </w:trPr>
        <w:tc>
          <w:tcPr>
            <w:tcW w:w="4400" w:type="dxa"/>
            <w:vAlign w:val="bottom"/>
            <w:shd w:val="clear" w:color="auto" w:fill="CCEEFF"/>
          </w:tcPr>
          <w:p>
            <w:pPr>
              <w:spacing w:after="0"/>
              <w:rPr>
                <w:sz w:val="20"/>
                <w:szCs w:val="20"/>
                <w:color w:val="auto"/>
              </w:rPr>
            </w:pPr>
            <w:r>
              <w:rPr>
                <w:rFonts w:ascii="Arial" w:cs="Arial" w:eastAsia="Arial" w:hAnsi="Arial"/>
                <w:sz w:val="13"/>
                <w:szCs w:val="13"/>
                <w:color w:val="auto"/>
              </w:rPr>
              <w:t>Other financial income</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3,954</w:t>
            </w: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7,015</w:t>
            </w:r>
          </w:p>
        </w:tc>
        <w:tc>
          <w:tcPr>
            <w:tcW w:w="2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6,748</w:t>
            </w:r>
          </w:p>
        </w:tc>
        <w:tc>
          <w:tcPr>
            <w:tcW w:w="2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8,774</w:t>
            </w:r>
          </w:p>
        </w:tc>
      </w:tr>
      <w:tr>
        <w:trPr>
          <w:trHeight w:val="152"/>
        </w:trPr>
        <w:tc>
          <w:tcPr>
            <w:tcW w:w="4400" w:type="dxa"/>
            <w:vAlign w:val="bottom"/>
          </w:tcPr>
          <w:p>
            <w:pPr>
              <w:spacing w:after="0"/>
              <w:rPr>
                <w:sz w:val="20"/>
                <w:szCs w:val="20"/>
                <w:color w:val="auto"/>
              </w:rPr>
            </w:pPr>
            <w:r>
              <w:rPr>
                <w:rFonts w:ascii="Arial" w:cs="Arial" w:eastAsia="Arial" w:hAnsi="Arial"/>
                <w:sz w:val="13"/>
                <w:szCs w:val="13"/>
                <w:color w:val="auto"/>
              </w:rPr>
              <w:t>Other financial expenses</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(1,144)</w:t>
            </w:r>
          </w:p>
        </w:tc>
        <w:tc>
          <w:tcPr>
            <w:tcW w:w="20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(407)</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(4,653)</w:t>
            </w:r>
          </w:p>
        </w:tc>
        <w:tc>
          <w:tcPr>
            <w:tcW w:w="2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(1,524)</w:t>
            </w:r>
          </w:p>
        </w:tc>
      </w:tr>
      <w:tr>
        <w:trPr>
          <w:trHeight w:val="20"/>
        </w:trPr>
        <w:tc>
          <w:tcPr>
            <w:tcW w:w="4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4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Financial result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(10,295)</w:t>
            </w: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3,822</w:t>
            </w:r>
          </w:p>
        </w:tc>
        <w:tc>
          <w:tcPr>
            <w:tcW w:w="2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(3,613)</w:t>
            </w:r>
          </w:p>
        </w:tc>
        <w:tc>
          <w:tcPr>
            <w:tcW w:w="2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20,993</w:t>
            </w:r>
          </w:p>
        </w:tc>
      </w:tr>
      <w:tr>
        <w:trPr>
          <w:trHeight w:val="151"/>
        </w:trPr>
        <w:tc>
          <w:tcPr>
            <w:tcW w:w="4400" w:type="dxa"/>
            <w:vAlign w:val="bottom"/>
          </w:tcPr>
          <w:p>
            <w:pPr>
              <w:spacing w:after="0"/>
              <w:rPr>
                <w:sz w:val="20"/>
                <w:szCs w:val="20"/>
                <w:color w:val="auto"/>
              </w:rPr>
            </w:pPr>
            <w:r>
              <w:rPr>
                <w:rFonts w:ascii="Arial" w:cs="Arial" w:eastAsia="Arial" w:hAnsi="Arial"/>
                <w:sz w:val="13"/>
                <w:szCs w:val="13"/>
                <w:b w:val="1"/>
                <w:bCs w:val="1"/>
                <w:color w:val="auto"/>
              </w:rPr>
              <w:t>Profit/(loss) before taxes</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(24,610)</w:t>
            </w:r>
          </w:p>
        </w:tc>
        <w:tc>
          <w:tcPr>
            <w:tcW w:w="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(12,835)</w:t>
            </w:r>
          </w:p>
        </w:tc>
        <w:tc>
          <w:tcPr>
            <w:tcW w:w="260" w:type="dxa"/>
            <w:vAlign w:val="bottom"/>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(44,357)</w:t>
            </w:r>
          </w:p>
        </w:tc>
        <w:tc>
          <w:tcPr>
            <w:tcW w:w="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72,827</w:t>
            </w:r>
          </w:p>
        </w:tc>
        <w:tc>
          <w:tcPr>
            <w:tcW w:w="80" w:type="dxa"/>
            <w:vAlign w:val="bottom"/>
          </w:tcPr>
          <w:p>
            <w:pPr>
              <w:spacing w:after="0"/>
              <w:rPr>
                <w:sz w:val="13"/>
                <w:szCs w:val="13"/>
                <w:color w:val="auto"/>
              </w:rPr>
            </w:pPr>
          </w:p>
        </w:tc>
      </w:tr>
      <w:tr>
        <w:trPr>
          <w:trHeight w:val="152"/>
        </w:trPr>
        <w:tc>
          <w:tcPr>
            <w:tcW w:w="4400" w:type="dxa"/>
            <w:vAlign w:val="bottom"/>
            <w:shd w:val="clear" w:color="auto" w:fill="CCEEFF"/>
          </w:tcPr>
          <w:p>
            <w:pPr>
              <w:spacing w:after="0"/>
              <w:rPr>
                <w:sz w:val="20"/>
                <w:szCs w:val="20"/>
                <w:color w:val="auto"/>
              </w:rPr>
            </w:pPr>
            <w:r>
              <w:rPr>
                <w:rFonts w:ascii="Arial" w:cs="Arial" w:eastAsia="Arial" w:hAnsi="Arial"/>
                <w:sz w:val="13"/>
                <w:szCs w:val="13"/>
                <w:color w:val="auto"/>
              </w:rPr>
              <w:t>Taxes on income</w:t>
            </w:r>
          </w:p>
        </w:tc>
        <w:tc>
          <w:tcPr>
            <w:tcW w:w="1080" w:type="dxa"/>
            <w:vAlign w:val="bottom"/>
            <w:gridSpan w:val="3"/>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(1,145)</w:t>
            </w:r>
          </w:p>
        </w:tc>
        <w:tc>
          <w:tcPr>
            <w:tcW w:w="1080" w:type="dxa"/>
            <w:vAlign w:val="bottom"/>
            <w:gridSpan w:val="3"/>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(1,145)</w:t>
            </w:r>
          </w:p>
        </w:tc>
      </w:tr>
      <w:tr>
        <w:trPr>
          <w:trHeight w:val="160"/>
        </w:trPr>
        <w:tc>
          <w:tcPr>
            <w:tcW w:w="4400" w:type="dxa"/>
            <w:vAlign w:val="bottom"/>
          </w:tcPr>
          <w:p>
            <w:pPr>
              <w:spacing w:after="0"/>
              <w:rPr>
                <w:sz w:val="20"/>
                <w:szCs w:val="20"/>
                <w:color w:val="auto"/>
              </w:rPr>
            </w:pPr>
            <w:r>
              <w:rPr>
                <w:rFonts w:ascii="Arial" w:cs="Arial" w:eastAsia="Arial" w:hAnsi="Arial"/>
                <w:sz w:val="13"/>
                <w:szCs w:val="13"/>
                <w:b w:val="1"/>
                <w:bCs w:val="1"/>
                <w:color w:val="auto"/>
              </w:rPr>
              <w:t>Net profit/(loss)</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(24,610)</w:t>
            </w:r>
          </w:p>
        </w:tc>
        <w:tc>
          <w:tcPr>
            <w:tcW w:w="20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0"/>
              </w:rPr>
              <w:t>(13,980)</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(44,357)</w:t>
            </w:r>
          </w:p>
        </w:tc>
        <w:tc>
          <w:tcPr>
            <w:tcW w:w="20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71,682</w:t>
            </w:r>
          </w:p>
        </w:tc>
      </w:tr>
      <w:tr>
        <w:trPr>
          <w:trHeight w:val="161"/>
        </w:trPr>
        <w:tc>
          <w:tcPr>
            <w:tcW w:w="4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profit/(loss) per share:</w:t>
            </w:r>
          </w:p>
        </w:tc>
        <w:tc>
          <w:tcPr>
            <w:tcW w:w="62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52"/>
        </w:trPr>
        <w:tc>
          <w:tcPr>
            <w:tcW w:w="4400" w:type="dxa"/>
            <w:vAlign w:val="bottom"/>
          </w:tcPr>
          <w:p>
            <w:pPr>
              <w:spacing w:after="0"/>
              <w:rPr>
                <w:sz w:val="20"/>
                <w:szCs w:val="20"/>
                <w:color w:val="auto"/>
              </w:rPr>
            </w:pPr>
            <w:r>
              <w:rPr>
                <w:rFonts w:ascii="Arial" w:cs="Arial" w:eastAsia="Arial" w:hAnsi="Arial"/>
                <w:sz w:val="13"/>
                <w:szCs w:val="13"/>
                <w:color w:val="auto"/>
              </w:rPr>
              <w:t>Basic</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(0.32)</w:t>
            </w:r>
          </w:p>
        </w:tc>
        <w:tc>
          <w:tcPr>
            <w:tcW w:w="20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(0.22)</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(0.58)</w:t>
            </w:r>
          </w:p>
        </w:tc>
        <w:tc>
          <w:tcPr>
            <w:tcW w:w="20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1.12</w:t>
            </w:r>
          </w:p>
        </w:tc>
      </w:tr>
      <w:tr>
        <w:trPr>
          <w:trHeight w:val="152"/>
        </w:trPr>
        <w:tc>
          <w:tcPr>
            <w:tcW w:w="4400" w:type="dxa"/>
            <w:vAlign w:val="bottom"/>
            <w:shd w:val="clear" w:color="auto" w:fill="CCEEFF"/>
          </w:tcPr>
          <w:p>
            <w:pPr>
              <w:spacing w:after="0"/>
              <w:rPr>
                <w:sz w:val="20"/>
                <w:szCs w:val="20"/>
                <w:color w:val="auto"/>
              </w:rPr>
            </w:pPr>
            <w:r>
              <w:rPr>
                <w:rFonts w:ascii="Arial" w:cs="Arial" w:eastAsia="Arial" w:hAnsi="Arial"/>
                <w:sz w:val="13"/>
                <w:szCs w:val="13"/>
                <w:color w:val="auto"/>
              </w:rPr>
              <w:t>Diluted</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(0.32)</w:t>
            </w:r>
          </w:p>
        </w:tc>
        <w:tc>
          <w:tcPr>
            <w:tcW w:w="2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(0.22)</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(0.58)</w:t>
            </w:r>
          </w:p>
        </w:tc>
        <w:tc>
          <w:tcPr>
            <w:tcW w:w="2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1.11</w:t>
            </w:r>
          </w:p>
        </w:tc>
      </w:tr>
      <w:tr>
        <w:trPr>
          <w:trHeight w:val="256"/>
        </w:trPr>
        <w:tc>
          <w:tcPr>
            <w:tcW w:w="4400" w:type="dxa"/>
            <w:vAlign w:val="bottom"/>
          </w:tcPr>
          <w:p>
            <w:pPr>
              <w:spacing w:after="0"/>
              <w:rPr>
                <w:sz w:val="20"/>
                <w:szCs w:val="20"/>
                <w:color w:val="auto"/>
              </w:rPr>
            </w:pPr>
            <w:r>
              <w:rPr>
                <w:rFonts w:ascii="Arial" w:cs="Arial" w:eastAsia="Arial" w:hAnsi="Arial"/>
                <w:sz w:val="13"/>
                <w:szCs w:val="13"/>
                <w:color w:val="auto"/>
              </w:rPr>
              <w:t>Immatics Press Release August 17, 2023</w:t>
            </w: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7 | 11</w:t>
            </w:r>
          </w:p>
        </w:tc>
      </w:tr>
    </w:tbl>
    <w:p>
      <w:pPr>
        <w:sectPr>
          <w:pgSz w:w="11900" w:h="16838" w:orient="portrait"/>
          <w:cols w:equalWidth="0" w:num="1">
            <w:col w:w="9019"/>
          </w:cols>
          <w:pgMar w:left="1440" w:top="961" w:right="1440" w:bottom="1440" w:gutter="0" w:footer="0" w:header="0"/>
        </w:sectPr>
      </w:pPr>
    </w:p>
    <w:bookmarkStart w:id="41" w:name="page42"/>
    <w:bookmarkEnd w:id="41"/>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635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0425" cy="463550"/>
                    </a:xfrm>
                    <a:prstGeom prst="rect">
                      <a:avLst/>
                    </a:prstGeom>
                    <a:noFill/>
                  </pic:spPr>
                </pic:pic>
              </a:graphicData>
            </a:graphic>
          </wp:anchor>
        </w:drawing>
        <w:t>Unaudited Condensed Consolidated Statement of Comprehensive Income/(Loss) of Immatics N.V.</w:t>
      </w:r>
    </w:p>
    <w:p>
      <w:pPr>
        <w:spacing w:after="0" w:line="171" w:lineRule="exact"/>
        <w:rPr>
          <w:sz w:val="20"/>
          <w:szCs w:val="20"/>
          <w:color w:val="auto"/>
        </w:rPr>
      </w:pPr>
    </w:p>
    <w:tbl>
      <w:tblPr>
        <w:tblLayout w:type="fixed"/>
        <w:tblInd w:w="640" w:type="dxa"/>
        <w:tblCellMar>
          <w:top w:w="0" w:type="dxa"/>
          <w:left w:w="0" w:type="dxa"/>
          <w:bottom w:w="0" w:type="dxa"/>
          <w:right w:w="0" w:type="dxa"/>
        </w:tblCellMar>
      </w:tblPr>
      <w:tr>
        <w:trPr>
          <w:trHeight w:val="119"/>
        </w:trPr>
        <w:tc>
          <w:tcPr>
            <w:tcW w:w="4280" w:type="dxa"/>
            <w:vAlign w:val="bottom"/>
          </w:tcPr>
          <w:p>
            <w:pPr>
              <w:spacing w:after="0"/>
              <w:rPr>
                <w:sz w:val="10"/>
                <w:szCs w:val="10"/>
                <w:color w:val="auto"/>
              </w:rPr>
            </w:pPr>
          </w:p>
        </w:tc>
        <w:tc>
          <w:tcPr>
            <w:tcW w:w="1860" w:type="dxa"/>
            <w:vAlign w:val="bottom"/>
            <w:gridSpan w:val="4"/>
          </w:tcPr>
          <w:p>
            <w:pPr>
              <w:jc w:val="right"/>
              <w:ind w:right="460"/>
              <w:spacing w:after="0"/>
              <w:rPr>
                <w:sz w:val="20"/>
                <w:szCs w:val="20"/>
                <w:color w:val="auto"/>
              </w:rPr>
            </w:pPr>
            <w:r>
              <w:rPr>
                <w:rFonts w:ascii="Arial" w:cs="Arial" w:eastAsia="Arial" w:hAnsi="Arial"/>
                <w:sz w:val="10"/>
                <w:szCs w:val="10"/>
                <w:b w:val="1"/>
                <w:bCs w:val="1"/>
                <w:color w:val="auto"/>
                <w:w w:val="97"/>
              </w:rPr>
              <w:t>Three months ended June 30,</w:t>
            </w:r>
          </w:p>
        </w:tc>
        <w:tc>
          <w:tcPr>
            <w:tcW w:w="1600" w:type="dxa"/>
            <w:vAlign w:val="bottom"/>
            <w:gridSpan w:val="4"/>
          </w:tcPr>
          <w:p>
            <w:pPr>
              <w:ind w:left="200"/>
              <w:spacing w:after="0"/>
              <w:rPr>
                <w:sz w:val="20"/>
                <w:szCs w:val="20"/>
                <w:color w:val="auto"/>
              </w:rPr>
            </w:pPr>
            <w:r>
              <w:rPr>
                <w:rFonts w:ascii="Arial" w:cs="Arial" w:eastAsia="Arial" w:hAnsi="Arial"/>
                <w:sz w:val="10"/>
                <w:szCs w:val="10"/>
                <w:b w:val="1"/>
                <w:bCs w:val="1"/>
                <w:color w:val="auto"/>
              </w:rPr>
              <w:t>Six months ended June 30,</w:t>
            </w:r>
          </w:p>
        </w:tc>
      </w:tr>
      <w:tr>
        <w:trPr>
          <w:trHeight w:val="94"/>
        </w:trPr>
        <w:tc>
          <w:tcPr>
            <w:tcW w:w="4280" w:type="dxa"/>
            <w:vAlign w:val="bottom"/>
          </w:tcPr>
          <w:p>
            <w:pPr>
              <w:spacing w:after="0"/>
              <w:rPr>
                <w:sz w:val="8"/>
                <w:szCs w:val="8"/>
                <w:color w:val="auto"/>
              </w:rPr>
            </w:pPr>
          </w:p>
        </w:tc>
        <w:tc>
          <w:tcPr>
            <w:tcW w:w="600" w:type="dxa"/>
            <w:vAlign w:val="bottom"/>
            <w:tcBorders>
              <w:top w:val="single" w:sz="8" w:color="auto"/>
              <w:bottom w:val="single" w:sz="8" w:color="auto"/>
            </w:tcBorders>
          </w:tcPr>
          <w:p>
            <w:pPr>
              <w:jc w:val="right"/>
              <w:ind w:right="143"/>
              <w:spacing w:after="0" w:line="94" w:lineRule="exact"/>
              <w:rPr>
                <w:sz w:val="20"/>
                <w:szCs w:val="20"/>
                <w:color w:val="auto"/>
              </w:rPr>
            </w:pPr>
            <w:r>
              <w:rPr>
                <w:rFonts w:ascii="Arial" w:cs="Arial" w:eastAsia="Arial" w:hAnsi="Arial"/>
                <w:sz w:val="10"/>
                <w:szCs w:val="10"/>
                <w:b w:val="1"/>
                <w:bCs w:val="1"/>
                <w:color w:val="auto"/>
              </w:rPr>
              <w:t>2023</w:t>
            </w:r>
          </w:p>
        </w:tc>
        <w:tc>
          <w:tcPr>
            <w:tcW w:w="320" w:type="dxa"/>
            <w:vAlign w:val="bottom"/>
            <w:tcBorders>
              <w:top w:val="single" w:sz="8" w:color="auto"/>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jc w:val="right"/>
              <w:ind w:right="140"/>
              <w:spacing w:after="0" w:line="94" w:lineRule="exact"/>
              <w:rPr>
                <w:sz w:val="20"/>
                <w:szCs w:val="20"/>
                <w:color w:val="auto"/>
              </w:rPr>
            </w:pPr>
            <w:r>
              <w:rPr>
                <w:rFonts w:ascii="Arial" w:cs="Arial" w:eastAsia="Arial" w:hAnsi="Arial"/>
                <w:sz w:val="10"/>
                <w:szCs w:val="10"/>
                <w:b w:val="1"/>
                <w:bCs w:val="1"/>
                <w:color w:val="auto"/>
              </w:rPr>
              <w:t>2022</w:t>
            </w:r>
          </w:p>
        </w:tc>
        <w:tc>
          <w:tcPr>
            <w:tcW w:w="320" w:type="dxa"/>
            <w:vAlign w:val="bottom"/>
          </w:tcPr>
          <w:p>
            <w:pPr>
              <w:spacing w:after="0"/>
              <w:rPr>
                <w:sz w:val="8"/>
                <w:szCs w:val="8"/>
                <w:color w:val="auto"/>
              </w:rPr>
            </w:pPr>
          </w:p>
        </w:tc>
        <w:tc>
          <w:tcPr>
            <w:tcW w:w="620" w:type="dxa"/>
            <w:vAlign w:val="bottom"/>
            <w:tcBorders>
              <w:top w:val="single" w:sz="8" w:color="auto"/>
              <w:bottom w:val="single" w:sz="8" w:color="auto"/>
            </w:tcBorders>
          </w:tcPr>
          <w:p>
            <w:pPr>
              <w:ind w:left="220"/>
              <w:spacing w:after="0" w:line="94" w:lineRule="exact"/>
              <w:rPr>
                <w:sz w:val="20"/>
                <w:szCs w:val="20"/>
                <w:color w:val="auto"/>
              </w:rPr>
            </w:pPr>
            <w:r>
              <w:rPr>
                <w:rFonts w:ascii="Arial" w:cs="Arial" w:eastAsia="Arial" w:hAnsi="Arial"/>
                <w:sz w:val="10"/>
                <w:szCs w:val="10"/>
                <w:b w:val="1"/>
                <w:bCs w:val="1"/>
                <w:color w:val="auto"/>
              </w:rPr>
              <w:t>2023</w:t>
            </w:r>
          </w:p>
        </w:tc>
        <w:tc>
          <w:tcPr>
            <w:tcW w:w="320" w:type="dxa"/>
            <w:vAlign w:val="bottom"/>
            <w:tcBorders>
              <w:top w:val="single" w:sz="8" w:color="auto"/>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jc w:val="right"/>
              <w:ind w:right="139"/>
              <w:spacing w:after="0" w:line="94" w:lineRule="exact"/>
              <w:rPr>
                <w:sz w:val="20"/>
                <w:szCs w:val="20"/>
                <w:color w:val="auto"/>
              </w:rPr>
            </w:pPr>
            <w:r>
              <w:rPr>
                <w:rFonts w:ascii="Arial" w:cs="Arial" w:eastAsia="Arial" w:hAnsi="Arial"/>
                <w:sz w:val="10"/>
                <w:szCs w:val="10"/>
                <w:b w:val="1"/>
                <w:bCs w:val="1"/>
                <w:color w:val="auto"/>
              </w:rPr>
              <w:t>2022</w:t>
            </w:r>
          </w:p>
        </w:tc>
        <w:tc>
          <w:tcPr>
            <w:tcW w:w="40" w:type="dxa"/>
            <w:vAlign w:val="bottom"/>
          </w:tcPr>
          <w:p>
            <w:pPr>
              <w:spacing w:after="0"/>
              <w:rPr>
                <w:sz w:val="8"/>
                <w:szCs w:val="8"/>
                <w:color w:val="auto"/>
              </w:rPr>
            </w:pPr>
          </w:p>
        </w:tc>
      </w:tr>
      <w:tr>
        <w:trPr>
          <w:trHeight w:val="94"/>
        </w:trPr>
        <w:tc>
          <w:tcPr>
            <w:tcW w:w="4280" w:type="dxa"/>
            <w:vAlign w:val="bottom"/>
          </w:tcPr>
          <w:p>
            <w:pPr>
              <w:spacing w:after="0"/>
              <w:rPr>
                <w:sz w:val="8"/>
                <w:szCs w:val="8"/>
                <w:color w:val="auto"/>
              </w:rPr>
            </w:pPr>
          </w:p>
        </w:tc>
        <w:tc>
          <w:tcPr>
            <w:tcW w:w="1540" w:type="dxa"/>
            <w:vAlign w:val="bottom"/>
            <w:gridSpan w:val="3"/>
          </w:tcPr>
          <w:p>
            <w:pPr>
              <w:jc w:val="right"/>
              <w:ind w:right="260"/>
              <w:spacing w:after="0" w:line="94" w:lineRule="exact"/>
              <w:rPr>
                <w:sz w:val="20"/>
                <w:szCs w:val="20"/>
                <w:color w:val="auto"/>
              </w:rPr>
            </w:pPr>
            <w:r>
              <w:rPr>
                <w:rFonts w:ascii="Arial" w:cs="Arial" w:eastAsia="Arial" w:hAnsi="Arial"/>
                <w:sz w:val="10"/>
                <w:szCs w:val="10"/>
                <w:b w:val="1"/>
                <w:bCs w:val="1"/>
                <w:color w:val="auto"/>
              </w:rPr>
              <w:t>(Euros in thousands)</w:t>
            </w:r>
          </w:p>
        </w:tc>
        <w:tc>
          <w:tcPr>
            <w:tcW w:w="320" w:type="dxa"/>
            <w:vAlign w:val="bottom"/>
          </w:tcPr>
          <w:p>
            <w:pPr>
              <w:spacing w:after="0"/>
              <w:rPr>
                <w:sz w:val="8"/>
                <w:szCs w:val="8"/>
                <w:color w:val="auto"/>
              </w:rPr>
            </w:pPr>
          </w:p>
        </w:tc>
        <w:tc>
          <w:tcPr>
            <w:tcW w:w="1560" w:type="dxa"/>
            <w:vAlign w:val="bottom"/>
            <w:gridSpan w:val="3"/>
          </w:tcPr>
          <w:p>
            <w:pPr>
              <w:jc w:val="right"/>
              <w:ind w:right="279"/>
              <w:spacing w:after="0" w:line="94" w:lineRule="exact"/>
              <w:rPr>
                <w:sz w:val="20"/>
                <w:szCs w:val="20"/>
                <w:color w:val="auto"/>
              </w:rPr>
            </w:pPr>
            <w:r>
              <w:rPr>
                <w:rFonts w:ascii="Arial" w:cs="Arial" w:eastAsia="Arial" w:hAnsi="Arial"/>
                <w:sz w:val="10"/>
                <w:szCs w:val="10"/>
                <w:b w:val="1"/>
                <w:bCs w:val="1"/>
                <w:color w:val="auto"/>
              </w:rPr>
              <w:t>(Euros in thousands)</w:t>
            </w:r>
          </w:p>
        </w:tc>
        <w:tc>
          <w:tcPr>
            <w:tcW w:w="40" w:type="dxa"/>
            <w:vAlign w:val="bottom"/>
          </w:tcPr>
          <w:p>
            <w:pPr>
              <w:spacing w:after="0"/>
              <w:rPr>
                <w:sz w:val="8"/>
                <w:szCs w:val="8"/>
                <w:color w:val="auto"/>
              </w:rPr>
            </w:pPr>
          </w:p>
        </w:tc>
      </w:tr>
      <w:tr>
        <w:trPr>
          <w:trHeight w:val="152"/>
        </w:trPr>
        <w:tc>
          <w:tcPr>
            <w:tcW w:w="42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profit/(loss)</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b w:val="1"/>
                <w:bCs w:val="1"/>
                <w:color w:val="auto"/>
              </w:rPr>
              <w:t>(24,610)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b w:val="1"/>
                <w:bCs w:val="1"/>
                <w:color w:val="auto"/>
              </w:rPr>
              <w:t>(13,980)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b w:val="1"/>
                <w:bCs w:val="1"/>
                <w:color w:val="auto"/>
              </w:rPr>
              <w:t>(44,357)</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71,682</w:t>
            </w:r>
          </w:p>
        </w:tc>
      </w:tr>
      <w:tr>
        <w:trPr>
          <w:trHeight w:val="152"/>
        </w:trPr>
        <w:tc>
          <w:tcPr>
            <w:tcW w:w="4280" w:type="dxa"/>
            <w:vAlign w:val="bottom"/>
          </w:tcPr>
          <w:p>
            <w:pPr>
              <w:spacing w:after="0"/>
              <w:rPr>
                <w:sz w:val="20"/>
                <w:szCs w:val="20"/>
                <w:color w:val="auto"/>
              </w:rPr>
            </w:pPr>
            <w:r>
              <w:rPr>
                <w:rFonts w:ascii="Arial" w:cs="Arial" w:eastAsia="Arial" w:hAnsi="Arial"/>
                <w:sz w:val="13"/>
                <w:szCs w:val="13"/>
                <w:b w:val="1"/>
                <w:bCs w:val="1"/>
                <w:color w:val="auto"/>
              </w:rPr>
              <w:t>Other comprehensive income/(loss)</w:t>
            </w: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4280" w:type="dxa"/>
            <w:vAlign w:val="bottom"/>
            <w:shd w:val="clear" w:color="auto" w:fill="CCEEFF"/>
          </w:tcPr>
          <w:p>
            <w:pPr>
              <w:spacing w:after="0"/>
              <w:rPr>
                <w:sz w:val="20"/>
                <w:szCs w:val="20"/>
                <w:color w:val="auto"/>
              </w:rPr>
            </w:pPr>
            <w:r>
              <w:rPr>
                <w:rFonts w:ascii="Arial" w:cs="Arial" w:eastAsia="Arial" w:hAnsi="Arial"/>
                <w:sz w:val="13"/>
                <w:szCs w:val="13"/>
                <w:color w:val="auto"/>
              </w:rPr>
              <w:t>Items that may be reclassified subsequently to profit or loss</w:t>
            </w:r>
          </w:p>
        </w:tc>
        <w:tc>
          <w:tcPr>
            <w:tcW w:w="6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2"/>
        </w:trPr>
        <w:tc>
          <w:tcPr>
            <w:tcW w:w="4280" w:type="dxa"/>
            <w:vAlign w:val="bottom"/>
          </w:tcPr>
          <w:p>
            <w:pPr>
              <w:spacing w:after="0"/>
              <w:rPr>
                <w:sz w:val="20"/>
                <w:szCs w:val="20"/>
                <w:color w:val="auto"/>
              </w:rPr>
            </w:pPr>
            <w:r>
              <w:rPr>
                <w:rFonts w:ascii="Arial" w:cs="Arial" w:eastAsia="Arial" w:hAnsi="Arial"/>
                <w:sz w:val="13"/>
                <w:szCs w:val="13"/>
                <w:color w:val="auto"/>
              </w:rPr>
              <w:t>Currency translation differences from foreign operations</w:t>
            </w: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(224)</w:t>
            </w:r>
          </w:p>
        </w:tc>
        <w:tc>
          <w:tcPr>
            <w:tcW w:w="940" w:type="dxa"/>
            <w:vAlign w:val="bottom"/>
            <w:gridSpan w:val="2"/>
          </w:tcPr>
          <w:p>
            <w:pPr>
              <w:jc w:val="right"/>
              <w:ind w:right="320"/>
              <w:spacing w:after="0"/>
              <w:rPr>
                <w:sz w:val="20"/>
                <w:szCs w:val="20"/>
                <w:color w:val="auto"/>
              </w:rPr>
            </w:pPr>
            <w:r>
              <w:rPr>
                <w:rFonts w:ascii="Arial" w:cs="Arial" w:eastAsia="Arial" w:hAnsi="Arial"/>
                <w:sz w:val="13"/>
                <w:szCs w:val="13"/>
                <w:color w:val="auto"/>
              </w:rPr>
              <w:t>778</w:t>
            </w:r>
          </w:p>
        </w:tc>
        <w:tc>
          <w:tcPr>
            <w:tcW w:w="940" w:type="dxa"/>
            <w:vAlign w:val="bottom"/>
            <w:gridSpan w:val="2"/>
          </w:tcPr>
          <w:p>
            <w:pPr>
              <w:jc w:val="right"/>
              <w:ind w:right="320"/>
              <w:spacing w:after="0"/>
              <w:rPr>
                <w:sz w:val="20"/>
                <w:szCs w:val="20"/>
                <w:color w:val="auto"/>
              </w:rPr>
            </w:pPr>
            <w:r>
              <w:rPr>
                <w:rFonts w:ascii="Arial" w:cs="Arial" w:eastAsia="Arial" w:hAnsi="Arial"/>
                <w:sz w:val="13"/>
                <w:szCs w:val="13"/>
                <w:color w:val="auto"/>
              </w:rPr>
              <w:t>340</w:t>
            </w:r>
          </w:p>
        </w:tc>
        <w:tc>
          <w:tcPr>
            <w:tcW w:w="620" w:type="dxa"/>
            <w:vAlign w:val="bottom"/>
          </w:tcPr>
          <w:p>
            <w:pPr>
              <w:jc w:val="right"/>
              <w:spacing w:after="0"/>
              <w:rPr>
                <w:sz w:val="20"/>
                <w:szCs w:val="20"/>
                <w:color w:val="auto"/>
              </w:rPr>
            </w:pPr>
            <w:r>
              <w:rPr>
                <w:rFonts w:ascii="Arial" w:cs="Arial" w:eastAsia="Arial" w:hAnsi="Arial"/>
                <w:sz w:val="13"/>
                <w:szCs w:val="13"/>
                <w:color w:val="auto"/>
              </w:rPr>
              <w:t>1,338</w:t>
            </w:r>
          </w:p>
        </w:tc>
        <w:tc>
          <w:tcPr>
            <w:tcW w:w="40" w:type="dxa"/>
            <w:vAlign w:val="bottom"/>
          </w:tcPr>
          <w:p>
            <w:pPr>
              <w:spacing w:after="0"/>
              <w:rPr>
                <w:sz w:val="13"/>
                <w:szCs w:val="13"/>
                <w:color w:val="auto"/>
              </w:rPr>
            </w:pPr>
          </w:p>
        </w:tc>
      </w:tr>
      <w:tr>
        <w:trPr>
          <w:trHeight w:val="20"/>
        </w:trPr>
        <w:tc>
          <w:tcPr>
            <w:tcW w:w="4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1"/>
        </w:trPr>
        <w:tc>
          <w:tcPr>
            <w:tcW w:w="42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comprehensive income/(loss) for the year</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b w:val="1"/>
                <w:bCs w:val="1"/>
                <w:color w:val="auto"/>
              </w:rPr>
              <w:t>(24,834)</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b w:val="1"/>
                <w:bCs w:val="1"/>
                <w:color w:val="auto"/>
              </w:rPr>
              <w:t>(13,202)</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b w:val="1"/>
                <w:bCs w:val="1"/>
                <w:color w:val="auto"/>
              </w:rPr>
              <w:t>(44,017)</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73,020</w:t>
            </w:r>
          </w:p>
        </w:tc>
      </w:tr>
      <w:tr>
        <w:trPr>
          <w:trHeight w:val="28"/>
        </w:trPr>
        <w:tc>
          <w:tcPr>
            <w:tcW w:w="4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65"/>
        </w:trPr>
        <w:tc>
          <w:tcPr>
            <w:tcW w:w="4280" w:type="dxa"/>
            <w:vAlign w:val="bottom"/>
          </w:tcPr>
          <w:p>
            <w:pPr>
              <w:spacing w:after="0"/>
              <w:rPr>
                <w:sz w:val="20"/>
                <w:szCs w:val="20"/>
                <w:color w:val="auto"/>
              </w:rPr>
            </w:pPr>
            <w:r>
              <w:rPr>
                <w:rFonts w:ascii="Arial" w:cs="Arial" w:eastAsia="Arial" w:hAnsi="Arial"/>
                <w:sz w:val="13"/>
                <w:szCs w:val="13"/>
                <w:color w:val="auto"/>
              </w:rPr>
              <w:t>Immatics Press Release August 17, 2023</w:t>
            </w: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8 | 11</w:t>
            </w:r>
          </w:p>
        </w:tc>
      </w:tr>
    </w:tbl>
    <w:p>
      <w:pPr>
        <w:sectPr>
          <w:pgSz w:w="11900" w:h="16838" w:orient="portrait"/>
          <w:cols w:equalWidth="0" w:num="1">
            <w:col w:w="9019"/>
          </w:cols>
          <w:pgMar w:left="1440" w:top="961" w:right="1440" w:bottom="1440" w:gutter="0" w:footer="0" w:header="0"/>
        </w:sectPr>
      </w:pPr>
    </w:p>
    <w:bookmarkStart w:id="42" w:name="page43"/>
    <w:bookmarkEnd w:id="42"/>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635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0425" cy="463550"/>
                    </a:xfrm>
                    <a:prstGeom prst="rect">
                      <a:avLst/>
                    </a:prstGeom>
                    <a:noFill/>
                  </pic:spPr>
                </pic:pic>
              </a:graphicData>
            </a:graphic>
          </wp:anchor>
        </w:drawing>
        <w:t>Unaudited Condensed Consolidated Statement of Financial Position of Immatics N.V.</w:t>
      </w:r>
    </w:p>
    <w:p>
      <w:pPr>
        <w:spacing w:after="0" w:line="171" w:lineRule="exact"/>
        <w:rPr>
          <w:sz w:val="20"/>
          <w:szCs w:val="20"/>
          <w:color w:val="auto"/>
        </w:rPr>
      </w:pPr>
    </w:p>
    <w:tbl>
      <w:tblPr>
        <w:tblLayout w:type="fixed"/>
        <w:tblInd w:w="640" w:type="dxa"/>
        <w:tblCellMar>
          <w:top w:w="0" w:type="dxa"/>
          <w:left w:w="0" w:type="dxa"/>
          <w:bottom w:w="0" w:type="dxa"/>
          <w:right w:w="0" w:type="dxa"/>
        </w:tblCellMar>
      </w:tblPr>
      <w:tr>
        <w:trPr>
          <w:trHeight w:val="119"/>
        </w:trPr>
        <w:tc>
          <w:tcPr>
            <w:tcW w:w="58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tcPr>
          <w:p>
            <w:pPr>
              <w:jc w:val="right"/>
              <w:ind w:right="860"/>
              <w:spacing w:after="0"/>
              <w:rPr>
                <w:sz w:val="20"/>
                <w:szCs w:val="20"/>
                <w:color w:val="auto"/>
              </w:rPr>
            </w:pPr>
            <w:r>
              <w:rPr>
                <w:rFonts w:ascii="Arial" w:cs="Arial" w:eastAsia="Arial" w:hAnsi="Arial"/>
                <w:sz w:val="10"/>
                <w:szCs w:val="10"/>
                <w:b w:val="1"/>
                <w:bCs w:val="1"/>
                <w:color w:val="auto"/>
              </w:rPr>
              <w:t>As of</w:t>
            </w:r>
          </w:p>
        </w:tc>
      </w:tr>
      <w:tr>
        <w:trPr>
          <w:trHeight w:val="94"/>
        </w:trPr>
        <w:tc>
          <w:tcPr>
            <w:tcW w:w="5880" w:type="dxa"/>
            <w:vAlign w:val="bottom"/>
          </w:tcPr>
          <w:p>
            <w:pPr>
              <w:spacing w:after="0"/>
              <w:rPr>
                <w:sz w:val="8"/>
                <w:szCs w:val="8"/>
                <w:color w:val="auto"/>
              </w:rPr>
            </w:pPr>
          </w:p>
        </w:tc>
        <w:tc>
          <w:tcPr>
            <w:tcW w:w="700" w:type="dxa"/>
            <w:vAlign w:val="bottom"/>
            <w:tcBorders>
              <w:top w:val="single" w:sz="8" w:color="auto"/>
              <w:bottom w:val="single" w:sz="8" w:color="auto"/>
            </w:tcBorders>
            <w:gridSpan w:val="2"/>
          </w:tcPr>
          <w:p>
            <w:pPr>
              <w:jc w:val="right"/>
              <w:ind w:right="120"/>
              <w:spacing w:after="0" w:line="94" w:lineRule="exact"/>
              <w:rPr>
                <w:sz w:val="20"/>
                <w:szCs w:val="20"/>
                <w:color w:val="auto"/>
              </w:rPr>
            </w:pPr>
            <w:r>
              <w:rPr>
                <w:rFonts w:ascii="Arial" w:cs="Arial" w:eastAsia="Arial" w:hAnsi="Arial"/>
                <w:sz w:val="10"/>
                <w:szCs w:val="10"/>
                <w:b w:val="1"/>
                <w:bCs w:val="1"/>
                <w:color w:val="auto"/>
                <w:w w:val="86"/>
              </w:rPr>
              <w:t>June 30, 2023</w:t>
            </w:r>
          </w:p>
        </w:tc>
        <w:tc>
          <w:tcPr>
            <w:tcW w:w="260" w:type="dxa"/>
            <w:vAlign w:val="bottom"/>
            <w:tcBorders>
              <w:top w:val="single" w:sz="8" w:color="auto"/>
              <w:bottom w:val="single" w:sz="8" w:color="auto"/>
            </w:tcBorders>
          </w:tcPr>
          <w:p>
            <w:pPr>
              <w:spacing w:after="0"/>
              <w:rPr>
                <w:sz w:val="8"/>
                <w:szCs w:val="8"/>
                <w:color w:val="auto"/>
              </w:rPr>
            </w:pPr>
          </w:p>
        </w:tc>
        <w:tc>
          <w:tcPr>
            <w:tcW w:w="820" w:type="dxa"/>
            <w:vAlign w:val="bottom"/>
            <w:tcBorders>
              <w:top w:val="single" w:sz="8" w:color="auto"/>
              <w:bottom w:val="single" w:sz="8" w:color="auto"/>
            </w:tcBorders>
          </w:tcPr>
          <w:p>
            <w:pPr>
              <w:jc w:val="right"/>
              <w:spacing w:after="0" w:line="94" w:lineRule="exact"/>
              <w:rPr>
                <w:sz w:val="20"/>
                <w:szCs w:val="20"/>
                <w:color w:val="auto"/>
              </w:rPr>
            </w:pPr>
            <w:r>
              <w:rPr>
                <w:rFonts w:ascii="Arial" w:cs="Arial" w:eastAsia="Arial" w:hAnsi="Arial"/>
                <w:sz w:val="10"/>
                <w:szCs w:val="10"/>
                <w:b w:val="1"/>
                <w:bCs w:val="1"/>
                <w:color w:val="auto"/>
                <w:w w:val="88"/>
              </w:rPr>
              <w:t>December 31, 2022</w:t>
            </w:r>
          </w:p>
        </w:tc>
        <w:tc>
          <w:tcPr>
            <w:tcW w:w="80" w:type="dxa"/>
            <w:vAlign w:val="bottom"/>
          </w:tcPr>
          <w:p>
            <w:pPr>
              <w:spacing w:after="0"/>
              <w:rPr>
                <w:sz w:val="8"/>
                <w:szCs w:val="8"/>
                <w:color w:val="auto"/>
              </w:rPr>
            </w:pPr>
          </w:p>
        </w:tc>
      </w:tr>
      <w:tr>
        <w:trPr>
          <w:trHeight w:val="94"/>
        </w:trPr>
        <w:tc>
          <w:tcPr>
            <w:tcW w:w="5880" w:type="dxa"/>
            <w:vAlign w:val="bottom"/>
          </w:tcPr>
          <w:p>
            <w:pPr>
              <w:spacing w:after="0"/>
              <w:rPr>
                <w:sz w:val="8"/>
                <w:szCs w:val="8"/>
                <w:color w:val="auto"/>
              </w:rPr>
            </w:pPr>
          </w:p>
        </w:tc>
        <w:tc>
          <w:tcPr>
            <w:tcW w:w="1780" w:type="dxa"/>
            <w:vAlign w:val="bottom"/>
            <w:gridSpan w:val="4"/>
          </w:tcPr>
          <w:p>
            <w:pPr>
              <w:jc w:val="right"/>
              <w:ind w:right="378"/>
              <w:spacing w:after="0" w:line="94" w:lineRule="exact"/>
              <w:rPr>
                <w:sz w:val="20"/>
                <w:szCs w:val="20"/>
                <w:color w:val="auto"/>
              </w:rPr>
            </w:pPr>
            <w:r>
              <w:rPr>
                <w:rFonts w:ascii="Arial" w:cs="Arial" w:eastAsia="Arial" w:hAnsi="Arial"/>
                <w:sz w:val="10"/>
                <w:szCs w:val="10"/>
                <w:b w:val="1"/>
                <w:bCs w:val="1"/>
                <w:color w:val="auto"/>
              </w:rPr>
              <w:t>(Euros in thousands)</w:t>
            </w:r>
          </w:p>
        </w:tc>
        <w:tc>
          <w:tcPr>
            <w:tcW w:w="80" w:type="dxa"/>
            <w:vAlign w:val="bottom"/>
          </w:tcPr>
          <w:p>
            <w:pPr>
              <w:spacing w:after="0"/>
              <w:rPr>
                <w:sz w:val="8"/>
                <w:szCs w:val="8"/>
                <w:color w:val="auto"/>
              </w:rPr>
            </w:pPr>
          </w:p>
        </w:tc>
      </w:tr>
      <w:tr>
        <w:trPr>
          <w:trHeight w:val="152"/>
        </w:trPr>
        <w:tc>
          <w:tcPr>
            <w:tcW w:w="58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5880" w:type="dxa"/>
            <w:vAlign w:val="bottom"/>
          </w:tcPr>
          <w:p>
            <w:pPr>
              <w:spacing w:after="0"/>
              <w:rPr>
                <w:sz w:val="20"/>
                <w:szCs w:val="20"/>
                <w:color w:val="auto"/>
              </w:rPr>
            </w:pPr>
            <w:r>
              <w:rPr>
                <w:rFonts w:ascii="Arial" w:cs="Arial" w:eastAsia="Arial" w:hAnsi="Arial"/>
                <w:sz w:val="13"/>
                <w:szCs w:val="13"/>
                <w:b w:val="1"/>
                <w:bCs w:val="1"/>
                <w:color w:val="auto"/>
              </w:rPr>
              <w:t>Current assets</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58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Cash and cash equivalents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130,405</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148,519</w:t>
            </w:r>
          </w:p>
        </w:tc>
      </w:tr>
      <w:tr>
        <w:trPr>
          <w:trHeight w:val="152"/>
        </w:trPr>
        <w:tc>
          <w:tcPr>
            <w:tcW w:w="5880" w:type="dxa"/>
            <w:vAlign w:val="bottom"/>
          </w:tcPr>
          <w:p>
            <w:pPr>
              <w:ind w:left="260"/>
              <w:spacing w:after="0"/>
              <w:rPr>
                <w:sz w:val="20"/>
                <w:szCs w:val="20"/>
                <w:color w:val="auto"/>
              </w:rPr>
            </w:pPr>
            <w:r>
              <w:rPr>
                <w:rFonts w:ascii="Arial" w:cs="Arial" w:eastAsia="Arial" w:hAnsi="Arial"/>
                <w:sz w:val="13"/>
                <w:szCs w:val="13"/>
                <w:color w:val="auto"/>
              </w:rPr>
              <w:t>Other financial assets</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217,222</w:t>
            </w:r>
          </w:p>
        </w:tc>
        <w:tc>
          <w:tcPr>
            <w:tcW w:w="1160" w:type="dxa"/>
            <w:vAlign w:val="bottom"/>
            <w:gridSpan w:val="3"/>
          </w:tcPr>
          <w:p>
            <w:pPr>
              <w:jc w:val="right"/>
              <w:ind w:right="80"/>
              <w:spacing w:after="0"/>
              <w:rPr>
                <w:sz w:val="20"/>
                <w:szCs w:val="20"/>
                <w:color w:val="auto"/>
              </w:rPr>
            </w:pPr>
            <w:r>
              <w:rPr>
                <w:rFonts w:ascii="Arial" w:cs="Arial" w:eastAsia="Arial" w:hAnsi="Arial"/>
                <w:sz w:val="13"/>
                <w:szCs w:val="13"/>
                <w:color w:val="auto"/>
              </w:rPr>
              <w:t>213,686</w:t>
            </w:r>
          </w:p>
        </w:tc>
      </w:tr>
      <w:tr>
        <w:trPr>
          <w:trHeight w:val="152"/>
        </w:trPr>
        <w:tc>
          <w:tcPr>
            <w:tcW w:w="58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Accounts receivables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330</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1,111</w:t>
            </w:r>
          </w:p>
        </w:tc>
      </w:tr>
      <w:tr>
        <w:trPr>
          <w:trHeight w:val="152"/>
        </w:trPr>
        <w:tc>
          <w:tcPr>
            <w:tcW w:w="5880" w:type="dxa"/>
            <w:vAlign w:val="bottom"/>
          </w:tcPr>
          <w:p>
            <w:pPr>
              <w:ind w:left="260"/>
              <w:spacing w:after="0"/>
              <w:rPr>
                <w:sz w:val="20"/>
                <w:szCs w:val="20"/>
                <w:color w:val="auto"/>
              </w:rPr>
            </w:pPr>
            <w:r>
              <w:rPr>
                <w:rFonts w:ascii="Arial" w:cs="Arial" w:eastAsia="Arial" w:hAnsi="Arial"/>
                <w:sz w:val="13"/>
                <w:szCs w:val="13"/>
                <w:color w:val="auto"/>
              </w:rPr>
              <w:t>Other current assets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16,668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13,838</w:t>
            </w:r>
          </w:p>
        </w:tc>
        <w:tc>
          <w:tcPr>
            <w:tcW w:w="80" w:type="dxa"/>
            <w:vAlign w:val="bottom"/>
          </w:tcPr>
          <w:p>
            <w:pPr>
              <w:spacing w:after="0"/>
              <w:rPr>
                <w:sz w:val="13"/>
                <w:szCs w:val="13"/>
                <w:color w:val="auto"/>
              </w:rPr>
            </w:pPr>
          </w:p>
        </w:tc>
      </w:tr>
      <w:tr>
        <w:trPr>
          <w:trHeight w:val="151"/>
        </w:trPr>
        <w:tc>
          <w:tcPr>
            <w:tcW w:w="58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current assets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364,625</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377,154</w:t>
            </w:r>
          </w:p>
        </w:tc>
      </w:tr>
      <w:tr>
        <w:trPr>
          <w:trHeight w:val="152"/>
        </w:trPr>
        <w:tc>
          <w:tcPr>
            <w:tcW w:w="5880" w:type="dxa"/>
            <w:vAlign w:val="bottom"/>
          </w:tcPr>
          <w:p>
            <w:pPr>
              <w:spacing w:after="0"/>
              <w:rPr>
                <w:sz w:val="20"/>
                <w:szCs w:val="20"/>
                <w:color w:val="auto"/>
              </w:rPr>
            </w:pPr>
            <w:r>
              <w:rPr>
                <w:rFonts w:ascii="Arial" w:cs="Arial" w:eastAsia="Arial" w:hAnsi="Arial"/>
                <w:sz w:val="13"/>
                <w:szCs w:val="13"/>
                <w:b w:val="1"/>
                <w:bCs w:val="1"/>
                <w:color w:val="auto"/>
              </w:rPr>
              <w:t>Non-current assets</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58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Property, plant and equipment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27,188</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13,456</w:t>
            </w:r>
          </w:p>
        </w:tc>
      </w:tr>
      <w:tr>
        <w:trPr>
          <w:trHeight w:val="152"/>
        </w:trPr>
        <w:tc>
          <w:tcPr>
            <w:tcW w:w="5880" w:type="dxa"/>
            <w:vAlign w:val="bottom"/>
          </w:tcPr>
          <w:p>
            <w:pPr>
              <w:ind w:left="260"/>
              <w:spacing w:after="0"/>
              <w:rPr>
                <w:sz w:val="20"/>
                <w:szCs w:val="20"/>
                <w:color w:val="auto"/>
              </w:rPr>
            </w:pPr>
            <w:r>
              <w:rPr>
                <w:rFonts w:ascii="Arial" w:cs="Arial" w:eastAsia="Arial" w:hAnsi="Arial"/>
                <w:sz w:val="13"/>
                <w:szCs w:val="13"/>
                <w:color w:val="auto"/>
              </w:rPr>
              <w:t>Intangible assets</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1,655</w:t>
            </w:r>
          </w:p>
        </w:tc>
        <w:tc>
          <w:tcPr>
            <w:tcW w:w="1160" w:type="dxa"/>
            <w:vAlign w:val="bottom"/>
            <w:gridSpan w:val="3"/>
          </w:tcPr>
          <w:p>
            <w:pPr>
              <w:jc w:val="right"/>
              <w:ind w:right="80"/>
              <w:spacing w:after="0"/>
              <w:rPr>
                <w:sz w:val="20"/>
                <w:szCs w:val="20"/>
                <w:color w:val="auto"/>
              </w:rPr>
            </w:pPr>
            <w:r>
              <w:rPr>
                <w:rFonts w:ascii="Arial" w:cs="Arial" w:eastAsia="Arial" w:hAnsi="Arial"/>
                <w:sz w:val="13"/>
                <w:szCs w:val="13"/>
                <w:color w:val="auto"/>
              </w:rPr>
              <w:t>1,632</w:t>
            </w:r>
          </w:p>
        </w:tc>
      </w:tr>
      <w:tr>
        <w:trPr>
          <w:trHeight w:val="152"/>
        </w:trPr>
        <w:tc>
          <w:tcPr>
            <w:tcW w:w="58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Right-of-use assets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14,749</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13,033</w:t>
            </w:r>
          </w:p>
        </w:tc>
      </w:tr>
      <w:tr>
        <w:trPr>
          <w:trHeight w:val="152"/>
        </w:trPr>
        <w:tc>
          <w:tcPr>
            <w:tcW w:w="5880" w:type="dxa"/>
            <w:vAlign w:val="bottom"/>
          </w:tcPr>
          <w:p>
            <w:pPr>
              <w:ind w:left="260"/>
              <w:spacing w:after="0"/>
              <w:rPr>
                <w:sz w:val="20"/>
                <w:szCs w:val="20"/>
                <w:color w:val="auto"/>
              </w:rPr>
            </w:pPr>
            <w:r>
              <w:rPr>
                <w:rFonts w:ascii="Arial" w:cs="Arial" w:eastAsia="Arial" w:hAnsi="Arial"/>
                <w:sz w:val="13"/>
                <w:szCs w:val="13"/>
                <w:color w:val="auto"/>
              </w:rPr>
              <w:t>Other non-current assets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1,972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2,545</w:t>
            </w:r>
          </w:p>
        </w:tc>
        <w:tc>
          <w:tcPr>
            <w:tcW w:w="80" w:type="dxa"/>
            <w:vAlign w:val="bottom"/>
          </w:tcPr>
          <w:p>
            <w:pPr>
              <w:spacing w:after="0"/>
              <w:rPr>
                <w:sz w:val="13"/>
                <w:szCs w:val="13"/>
                <w:color w:val="auto"/>
              </w:rPr>
            </w:pPr>
          </w:p>
        </w:tc>
      </w:tr>
      <w:tr>
        <w:trPr>
          <w:trHeight w:val="151"/>
        </w:trPr>
        <w:tc>
          <w:tcPr>
            <w:tcW w:w="58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non-current assets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45,564</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30,666</w:t>
            </w:r>
          </w:p>
        </w:tc>
      </w:tr>
      <w:tr>
        <w:trPr>
          <w:trHeight w:val="159"/>
        </w:trPr>
        <w:tc>
          <w:tcPr>
            <w:tcW w:w="5880" w:type="dxa"/>
            <w:vAlign w:val="bottom"/>
          </w:tcPr>
          <w:p>
            <w:pPr>
              <w:spacing w:after="0"/>
              <w:rPr>
                <w:sz w:val="20"/>
                <w:szCs w:val="20"/>
                <w:color w:val="auto"/>
              </w:rPr>
            </w:pPr>
            <w:r>
              <w:rPr>
                <w:rFonts w:ascii="Arial" w:cs="Arial" w:eastAsia="Arial" w:hAnsi="Arial"/>
                <w:sz w:val="13"/>
                <w:szCs w:val="13"/>
                <w:b w:val="1"/>
                <w:bCs w:val="1"/>
                <w:color w:val="auto"/>
              </w:rPr>
              <w:t>Total assets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410,189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407,820</w:t>
            </w:r>
          </w:p>
        </w:tc>
        <w:tc>
          <w:tcPr>
            <w:tcW w:w="80" w:type="dxa"/>
            <w:vAlign w:val="bottom"/>
          </w:tcPr>
          <w:p>
            <w:pPr>
              <w:spacing w:after="0"/>
              <w:rPr>
                <w:sz w:val="13"/>
                <w:szCs w:val="13"/>
                <w:color w:val="auto"/>
              </w:rPr>
            </w:pPr>
          </w:p>
        </w:tc>
      </w:tr>
      <w:tr>
        <w:trPr>
          <w:trHeight w:val="161"/>
        </w:trPr>
        <w:tc>
          <w:tcPr>
            <w:tcW w:w="58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Liabilities and shareholders’ equity</w:t>
            </w: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52"/>
        </w:trPr>
        <w:tc>
          <w:tcPr>
            <w:tcW w:w="5880" w:type="dxa"/>
            <w:vAlign w:val="bottom"/>
          </w:tcPr>
          <w:p>
            <w:pPr>
              <w:spacing w:after="0"/>
              <w:rPr>
                <w:sz w:val="20"/>
                <w:szCs w:val="20"/>
                <w:color w:val="auto"/>
              </w:rPr>
            </w:pPr>
            <w:r>
              <w:rPr>
                <w:rFonts w:ascii="Arial" w:cs="Arial" w:eastAsia="Arial" w:hAnsi="Arial"/>
                <w:sz w:val="13"/>
                <w:szCs w:val="13"/>
                <w:b w:val="1"/>
                <w:bCs w:val="1"/>
                <w:color w:val="auto"/>
              </w:rPr>
              <w:t>Current liabilities</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58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Provisions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3,117</w:t>
            </w:r>
          </w:p>
        </w:tc>
        <w:tc>
          <w:tcPr>
            <w:tcW w:w="2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152"/>
        </w:trPr>
        <w:tc>
          <w:tcPr>
            <w:tcW w:w="5880" w:type="dxa"/>
            <w:vAlign w:val="bottom"/>
          </w:tcPr>
          <w:p>
            <w:pPr>
              <w:ind w:left="260"/>
              <w:spacing w:after="0"/>
              <w:rPr>
                <w:sz w:val="20"/>
                <w:szCs w:val="20"/>
                <w:color w:val="auto"/>
              </w:rPr>
            </w:pPr>
            <w:r>
              <w:rPr>
                <w:rFonts w:ascii="Arial" w:cs="Arial" w:eastAsia="Arial" w:hAnsi="Arial"/>
                <w:sz w:val="13"/>
                <w:szCs w:val="13"/>
                <w:color w:val="auto"/>
              </w:rPr>
              <w:t>Accounts payables</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19,904</w:t>
            </w:r>
          </w:p>
        </w:tc>
        <w:tc>
          <w:tcPr>
            <w:tcW w:w="1160" w:type="dxa"/>
            <w:vAlign w:val="bottom"/>
            <w:gridSpan w:val="3"/>
          </w:tcPr>
          <w:p>
            <w:pPr>
              <w:jc w:val="right"/>
              <w:ind w:right="80"/>
              <w:spacing w:after="0"/>
              <w:rPr>
                <w:sz w:val="20"/>
                <w:szCs w:val="20"/>
                <w:color w:val="auto"/>
              </w:rPr>
            </w:pPr>
            <w:r>
              <w:rPr>
                <w:rFonts w:ascii="Arial" w:cs="Arial" w:eastAsia="Arial" w:hAnsi="Arial"/>
                <w:sz w:val="13"/>
                <w:szCs w:val="13"/>
                <w:color w:val="auto"/>
              </w:rPr>
              <w:t>13,056</w:t>
            </w:r>
          </w:p>
        </w:tc>
      </w:tr>
      <w:tr>
        <w:trPr>
          <w:trHeight w:val="152"/>
        </w:trPr>
        <w:tc>
          <w:tcPr>
            <w:tcW w:w="58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Deferred revenue</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67,997</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64,957</w:t>
            </w:r>
          </w:p>
        </w:tc>
      </w:tr>
      <w:tr>
        <w:trPr>
          <w:trHeight w:val="152"/>
        </w:trPr>
        <w:tc>
          <w:tcPr>
            <w:tcW w:w="5880" w:type="dxa"/>
            <w:vAlign w:val="bottom"/>
          </w:tcPr>
          <w:p>
            <w:pPr>
              <w:ind w:left="260"/>
              <w:spacing w:after="0"/>
              <w:rPr>
                <w:sz w:val="20"/>
                <w:szCs w:val="20"/>
                <w:color w:val="auto"/>
              </w:rPr>
            </w:pPr>
            <w:r>
              <w:rPr>
                <w:rFonts w:ascii="Arial" w:cs="Arial" w:eastAsia="Arial" w:hAnsi="Arial"/>
                <w:sz w:val="13"/>
                <w:szCs w:val="13"/>
                <w:color w:val="auto"/>
              </w:rPr>
              <w:t>Liabilities for warrants</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22,622</w:t>
            </w:r>
          </w:p>
        </w:tc>
        <w:tc>
          <w:tcPr>
            <w:tcW w:w="1160" w:type="dxa"/>
            <w:vAlign w:val="bottom"/>
            <w:gridSpan w:val="3"/>
          </w:tcPr>
          <w:p>
            <w:pPr>
              <w:jc w:val="right"/>
              <w:ind w:right="80"/>
              <w:spacing w:after="0"/>
              <w:rPr>
                <w:sz w:val="20"/>
                <w:szCs w:val="20"/>
                <w:color w:val="auto"/>
              </w:rPr>
            </w:pPr>
            <w:r>
              <w:rPr>
                <w:rFonts w:ascii="Arial" w:cs="Arial" w:eastAsia="Arial" w:hAnsi="Arial"/>
                <w:sz w:val="13"/>
                <w:szCs w:val="13"/>
                <w:color w:val="auto"/>
              </w:rPr>
              <w:t>16,914</w:t>
            </w:r>
          </w:p>
        </w:tc>
      </w:tr>
      <w:tr>
        <w:trPr>
          <w:trHeight w:val="152"/>
        </w:trPr>
        <w:tc>
          <w:tcPr>
            <w:tcW w:w="58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Lease liabilities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2,737</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2,159</w:t>
            </w:r>
          </w:p>
        </w:tc>
      </w:tr>
      <w:tr>
        <w:trPr>
          <w:trHeight w:val="152"/>
        </w:trPr>
        <w:tc>
          <w:tcPr>
            <w:tcW w:w="5880" w:type="dxa"/>
            <w:vAlign w:val="bottom"/>
          </w:tcPr>
          <w:p>
            <w:pPr>
              <w:ind w:left="260"/>
              <w:spacing w:after="0"/>
              <w:rPr>
                <w:sz w:val="20"/>
                <w:szCs w:val="20"/>
                <w:color w:val="auto"/>
              </w:rPr>
            </w:pPr>
            <w:r>
              <w:rPr>
                <w:rFonts w:ascii="Arial" w:cs="Arial" w:eastAsia="Arial" w:hAnsi="Arial"/>
                <w:sz w:val="13"/>
                <w:szCs w:val="13"/>
                <w:color w:val="auto"/>
              </w:rPr>
              <w:t>Other current liabilities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7,929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9,366</w:t>
            </w:r>
          </w:p>
        </w:tc>
        <w:tc>
          <w:tcPr>
            <w:tcW w:w="80" w:type="dxa"/>
            <w:vAlign w:val="bottom"/>
          </w:tcPr>
          <w:p>
            <w:pPr>
              <w:spacing w:after="0"/>
              <w:rPr>
                <w:sz w:val="13"/>
                <w:szCs w:val="13"/>
                <w:color w:val="auto"/>
              </w:rPr>
            </w:pPr>
          </w:p>
        </w:tc>
      </w:tr>
      <w:tr>
        <w:trPr>
          <w:trHeight w:val="151"/>
        </w:trPr>
        <w:tc>
          <w:tcPr>
            <w:tcW w:w="58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current liabilities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124,306</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106,452</w:t>
            </w:r>
          </w:p>
        </w:tc>
      </w:tr>
      <w:tr>
        <w:trPr>
          <w:trHeight w:val="152"/>
        </w:trPr>
        <w:tc>
          <w:tcPr>
            <w:tcW w:w="5880" w:type="dxa"/>
            <w:vAlign w:val="bottom"/>
          </w:tcPr>
          <w:p>
            <w:pPr>
              <w:spacing w:after="0"/>
              <w:rPr>
                <w:sz w:val="20"/>
                <w:szCs w:val="20"/>
                <w:color w:val="auto"/>
              </w:rPr>
            </w:pPr>
            <w:r>
              <w:rPr>
                <w:rFonts w:ascii="Arial" w:cs="Arial" w:eastAsia="Arial" w:hAnsi="Arial"/>
                <w:sz w:val="13"/>
                <w:szCs w:val="13"/>
                <w:b w:val="1"/>
                <w:bCs w:val="1"/>
                <w:color w:val="auto"/>
              </w:rPr>
              <w:t>Non-current liabilities</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58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Deferred revenue</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53,559</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75,759</w:t>
            </w:r>
          </w:p>
        </w:tc>
      </w:tr>
      <w:tr>
        <w:trPr>
          <w:trHeight w:val="152"/>
        </w:trPr>
        <w:tc>
          <w:tcPr>
            <w:tcW w:w="5880" w:type="dxa"/>
            <w:vAlign w:val="bottom"/>
          </w:tcPr>
          <w:p>
            <w:pPr>
              <w:ind w:left="260"/>
              <w:spacing w:after="0"/>
              <w:rPr>
                <w:sz w:val="20"/>
                <w:szCs w:val="20"/>
                <w:color w:val="auto"/>
              </w:rPr>
            </w:pPr>
            <w:r>
              <w:rPr>
                <w:rFonts w:ascii="Arial" w:cs="Arial" w:eastAsia="Arial" w:hAnsi="Arial"/>
                <w:sz w:val="13"/>
                <w:szCs w:val="13"/>
                <w:color w:val="auto"/>
              </w:rPr>
              <w:t>Lease liabilities</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14,085</w:t>
            </w:r>
          </w:p>
        </w:tc>
        <w:tc>
          <w:tcPr>
            <w:tcW w:w="1160" w:type="dxa"/>
            <w:vAlign w:val="bottom"/>
            <w:gridSpan w:val="3"/>
          </w:tcPr>
          <w:p>
            <w:pPr>
              <w:jc w:val="right"/>
              <w:ind w:right="80"/>
              <w:spacing w:after="0"/>
              <w:rPr>
                <w:sz w:val="20"/>
                <w:szCs w:val="20"/>
                <w:color w:val="auto"/>
              </w:rPr>
            </w:pPr>
            <w:r>
              <w:rPr>
                <w:rFonts w:ascii="Arial" w:cs="Arial" w:eastAsia="Arial" w:hAnsi="Arial"/>
                <w:sz w:val="13"/>
                <w:szCs w:val="13"/>
                <w:color w:val="auto"/>
              </w:rPr>
              <w:t>12,403</w:t>
            </w:r>
          </w:p>
        </w:tc>
      </w:tr>
      <w:tr>
        <w:trPr>
          <w:trHeight w:val="152"/>
        </w:trPr>
        <w:tc>
          <w:tcPr>
            <w:tcW w:w="58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Other non-current liabilities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42</w:t>
            </w:r>
          </w:p>
        </w:tc>
      </w:tr>
      <w:tr>
        <w:trPr>
          <w:trHeight w:val="151"/>
        </w:trPr>
        <w:tc>
          <w:tcPr>
            <w:tcW w:w="5880" w:type="dxa"/>
            <w:vAlign w:val="bottom"/>
          </w:tcPr>
          <w:p>
            <w:pPr>
              <w:spacing w:after="0"/>
              <w:rPr>
                <w:sz w:val="20"/>
                <w:szCs w:val="20"/>
                <w:color w:val="auto"/>
              </w:rPr>
            </w:pPr>
            <w:r>
              <w:rPr>
                <w:rFonts w:ascii="Arial" w:cs="Arial" w:eastAsia="Arial" w:hAnsi="Arial"/>
                <w:sz w:val="13"/>
                <w:szCs w:val="13"/>
                <w:b w:val="1"/>
                <w:bCs w:val="1"/>
                <w:color w:val="auto"/>
              </w:rPr>
              <w:t>Total non-current liabilities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67,670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88,204</w:t>
            </w:r>
          </w:p>
        </w:tc>
        <w:tc>
          <w:tcPr>
            <w:tcW w:w="80" w:type="dxa"/>
            <w:vAlign w:val="bottom"/>
          </w:tcPr>
          <w:p>
            <w:pPr>
              <w:spacing w:after="0"/>
              <w:rPr>
                <w:sz w:val="13"/>
                <w:szCs w:val="13"/>
                <w:color w:val="auto"/>
              </w:rPr>
            </w:pPr>
          </w:p>
        </w:tc>
      </w:tr>
      <w:tr>
        <w:trPr>
          <w:trHeight w:val="152"/>
        </w:trPr>
        <w:tc>
          <w:tcPr>
            <w:tcW w:w="58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Shareholders’ equity</w:t>
            </w: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5880" w:type="dxa"/>
            <w:vAlign w:val="bottom"/>
          </w:tcPr>
          <w:p>
            <w:pPr>
              <w:ind w:left="260"/>
              <w:spacing w:after="0"/>
              <w:rPr>
                <w:sz w:val="20"/>
                <w:szCs w:val="20"/>
                <w:color w:val="auto"/>
              </w:rPr>
            </w:pPr>
            <w:r>
              <w:rPr>
                <w:rFonts w:ascii="Arial" w:cs="Arial" w:eastAsia="Arial" w:hAnsi="Arial"/>
                <w:sz w:val="13"/>
                <w:szCs w:val="13"/>
                <w:color w:val="auto"/>
              </w:rPr>
              <w:t>Share capital</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804</w:t>
            </w:r>
          </w:p>
        </w:tc>
        <w:tc>
          <w:tcPr>
            <w:tcW w:w="1160" w:type="dxa"/>
            <w:vAlign w:val="bottom"/>
            <w:gridSpan w:val="3"/>
          </w:tcPr>
          <w:p>
            <w:pPr>
              <w:jc w:val="right"/>
              <w:ind w:right="80"/>
              <w:spacing w:after="0"/>
              <w:rPr>
                <w:sz w:val="20"/>
                <w:szCs w:val="20"/>
                <w:color w:val="auto"/>
              </w:rPr>
            </w:pPr>
            <w:r>
              <w:rPr>
                <w:rFonts w:ascii="Arial" w:cs="Arial" w:eastAsia="Arial" w:hAnsi="Arial"/>
                <w:sz w:val="13"/>
                <w:szCs w:val="13"/>
                <w:color w:val="auto"/>
              </w:rPr>
              <w:t>767</w:t>
            </w:r>
          </w:p>
        </w:tc>
      </w:tr>
      <w:tr>
        <w:trPr>
          <w:trHeight w:val="152"/>
        </w:trPr>
        <w:tc>
          <w:tcPr>
            <w:tcW w:w="58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Share premium</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763,206</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714,177</w:t>
            </w:r>
          </w:p>
        </w:tc>
      </w:tr>
      <w:tr>
        <w:trPr>
          <w:trHeight w:val="152"/>
        </w:trPr>
        <w:tc>
          <w:tcPr>
            <w:tcW w:w="5880" w:type="dxa"/>
            <w:vAlign w:val="bottom"/>
          </w:tcPr>
          <w:p>
            <w:pPr>
              <w:ind w:left="260"/>
              <w:spacing w:after="0"/>
              <w:rPr>
                <w:sz w:val="20"/>
                <w:szCs w:val="20"/>
                <w:color w:val="auto"/>
              </w:rPr>
            </w:pPr>
            <w:r>
              <w:rPr>
                <w:rFonts w:ascii="Arial" w:cs="Arial" w:eastAsia="Arial" w:hAnsi="Arial"/>
                <w:sz w:val="13"/>
                <w:szCs w:val="13"/>
                <w:color w:val="auto"/>
              </w:rPr>
              <w:t>Accumulated deficit</w:t>
            </w: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(544,656)</w:t>
            </w:r>
          </w:p>
        </w:tc>
        <w:tc>
          <w:tcPr>
            <w:tcW w:w="1160" w:type="dxa"/>
            <w:vAlign w:val="bottom"/>
            <w:gridSpan w:val="3"/>
          </w:tcPr>
          <w:p>
            <w:pPr>
              <w:jc w:val="right"/>
              <w:ind w:right="40"/>
              <w:spacing w:after="0"/>
              <w:rPr>
                <w:sz w:val="20"/>
                <w:szCs w:val="20"/>
                <w:color w:val="auto"/>
              </w:rPr>
            </w:pPr>
            <w:r>
              <w:rPr>
                <w:rFonts w:ascii="Arial" w:cs="Arial" w:eastAsia="Arial" w:hAnsi="Arial"/>
                <w:sz w:val="13"/>
                <w:szCs w:val="13"/>
                <w:color w:val="auto"/>
              </w:rPr>
              <w:t>(500,299)</w:t>
            </w:r>
          </w:p>
        </w:tc>
      </w:tr>
      <w:tr>
        <w:trPr>
          <w:trHeight w:val="152"/>
        </w:trPr>
        <w:tc>
          <w:tcPr>
            <w:tcW w:w="58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Other reserves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(1,141)</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(1,481)</w:t>
            </w:r>
          </w:p>
        </w:tc>
      </w:tr>
      <w:tr>
        <w:trPr>
          <w:trHeight w:val="151"/>
        </w:trPr>
        <w:tc>
          <w:tcPr>
            <w:tcW w:w="5880" w:type="dxa"/>
            <w:vAlign w:val="bottom"/>
          </w:tcPr>
          <w:p>
            <w:pPr>
              <w:spacing w:after="0"/>
              <w:rPr>
                <w:sz w:val="20"/>
                <w:szCs w:val="20"/>
                <w:color w:val="auto"/>
              </w:rPr>
            </w:pPr>
            <w:r>
              <w:rPr>
                <w:rFonts w:ascii="Arial" w:cs="Arial" w:eastAsia="Arial" w:hAnsi="Arial"/>
                <w:sz w:val="13"/>
                <w:szCs w:val="13"/>
                <w:b w:val="1"/>
                <w:bCs w:val="1"/>
                <w:color w:val="auto"/>
              </w:rPr>
              <w:t>Total shareholders’ equity</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218,213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213,164</w:t>
            </w:r>
          </w:p>
        </w:tc>
        <w:tc>
          <w:tcPr>
            <w:tcW w:w="80" w:type="dxa"/>
            <w:vAlign w:val="bottom"/>
          </w:tcPr>
          <w:p>
            <w:pPr>
              <w:spacing w:after="0"/>
              <w:rPr>
                <w:sz w:val="13"/>
                <w:szCs w:val="13"/>
                <w:color w:val="auto"/>
              </w:rPr>
            </w:pPr>
          </w:p>
        </w:tc>
      </w:tr>
      <w:tr>
        <w:trPr>
          <w:trHeight w:val="159"/>
        </w:trPr>
        <w:tc>
          <w:tcPr>
            <w:tcW w:w="58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liabilities and shareholders’ equity</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410,189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407,820</w:t>
            </w:r>
          </w:p>
        </w:tc>
        <w:tc>
          <w:tcPr>
            <w:tcW w:w="80" w:type="dxa"/>
            <w:vAlign w:val="bottom"/>
            <w:shd w:val="clear" w:color="auto" w:fill="CCEEFF"/>
          </w:tcPr>
          <w:p>
            <w:pPr>
              <w:spacing w:after="0"/>
              <w:rPr>
                <w:sz w:val="13"/>
                <w:szCs w:val="13"/>
                <w:color w:val="auto"/>
              </w:rPr>
            </w:pPr>
          </w:p>
        </w:tc>
      </w:tr>
      <w:tr>
        <w:trPr>
          <w:trHeight w:val="265"/>
        </w:trPr>
        <w:tc>
          <w:tcPr>
            <w:tcW w:w="5880" w:type="dxa"/>
            <w:vAlign w:val="bottom"/>
          </w:tcPr>
          <w:p>
            <w:pPr>
              <w:spacing w:after="0"/>
              <w:rPr>
                <w:sz w:val="20"/>
                <w:szCs w:val="20"/>
                <w:color w:val="auto"/>
              </w:rPr>
            </w:pPr>
            <w:r>
              <w:rPr>
                <w:rFonts w:ascii="Arial" w:cs="Arial" w:eastAsia="Arial" w:hAnsi="Arial"/>
                <w:sz w:val="13"/>
                <w:szCs w:val="13"/>
                <w:color w:val="auto"/>
              </w:rPr>
              <w:t>Immatics Press Release August 17, 2023</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gridSpan w:val="3"/>
          </w:tcPr>
          <w:p>
            <w:pPr>
              <w:jc w:val="right"/>
              <w:spacing w:after="0"/>
              <w:rPr>
                <w:sz w:val="20"/>
                <w:szCs w:val="20"/>
                <w:color w:val="auto"/>
              </w:rPr>
            </w:pPr>
            <w:r>
              <w:rPr>
                <w:rFonts w:ascii="Arial" w:cs="Arial" w:eastAsia="Arial" w:hAnsi="Arial"/>
                <w:sz w:val="13"/>
                <w:szCs w:val="13"/>
                <w:color w:val="auto"/>
              </w:rPr>
              <w:t>9 | 11</w:t>
            </w:r>
          </w:p>
        </w:tc>
      </w:tr>
    </w:tbl>
    <w:p>
      <w:pPr>
        <w:sectPr>
          <w:pgSz w:w="11900" w:h="16838" w:orient="portrait"/>
          <w:cols w:equalWidth="0" w:num="1">
            <w:col w:w="9019"/>
          </w:cols>
          <w:pgMar w:left="1440" w:top="961" w:right="1440" w:bottom="1440" w:gutter="0" w:footer="0" w:header="0"/>
        </w:sectPr>
      </w:pPr>
    </w:p>
    <w:bookmarkStart w:id="43" w:name="page44"/>
    <w:bookmarkEnd w:id="43"/>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635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0425" cy="463550"/>
                    </a:xfrm>
                    <a:prstGeom prst="rect">
                      <a:avLst/>
                    </a:prstGeom>
                    <a:noFill/>
                  </pic:spPr>
                </pic:pic>
              </a:graphicData>
            </a:graphic>
          </wp:anchor>
        </w:drawing>
        <w:t>Unaudited Condensed Consolidated Statement of Cash Flows of Immatics N.V.</w:t>
      </w:r>
    </w:p>
    <w:p>
      <w:pPr>
        <w:spacing w:after="0" w:line="171" w:lineRule="exact"/>
        <w:rPr>
          <w:sz w:val="20"/>
          <w:szCs w:val="20"/>
          <w:color w:val="auto"/>
        </w:rPr>
      </w:pPr>
    </w:p>
    <w:tbl>
      <w:tblPr>
        <w:tblLayout w:type="fixed"/>
        <w:tblInd w:w="640" w:type="dxa"/>
        <w:tblCellMar>
          <w:top w:w="0" w:type="dxa"/>
          <w:left w:w="0" w:type="dxa"/>
          <w:bottom w:w="0" w:type="dxa"/>
          <w:right w:w="0" w:type="dxa"/>
        </w:tblCellMar>
      </w:tblPr>
      <w:tr>
        <w:trPr>
          <w:trHeight w:val="119"/>
        </w:trPr>
        <w:tc>
          <w:tcPr>
            <w:tcW w:w="6460" w:type="dxa"/>
            <w:vAlign w:val="bottom"/>
          </w:tcPr>
          <w:p>
            <w:pPr>
              <w:spacing w:after="0"/>
              <w:rPr>
                <w:sz w:val="10"/>
                <w:szCs w:val="10"/>
                <w:color w:val="auto"/>
              </w:rPr>
            </w:pPr>
          </w:p>
        </w:tc>
        <w:tc>
          <w:tcPr>
            <w:tcW w:w="1280" w:type="dxa"/>
            <w:vAlign w:val="bottom"/>
            <w:gridSpan w:val="4"/>
          </w:tcPr>
          <w:p>
            <w:pPr>
              <w:jc w:val="right"/>
              <w:ind w:right="100"/>
              <w:spacing w:after="0"/>
              <w:rPr>
                <w:sz w:val="20"/>
                <w:szCs w:val="20"/>
                <w:color w:val="auto"/>
              </w:rPr>
            </w:pPr>
            <w:r>
              <w:rPr>
                <w:rFonts w:ascii="Arial" w:cs="Arial" w:eastAsia="Arial" w:hAnsi="Arial"/>
                <w:sz w:val="10"/>
                <w:szCs w:val="10"/>
                <w:b w:val="1"/>
                <w:bCs w:val="1"/>
                <w:color w:val="auto"/>
                <w:w w:val="89"/>
              </w:rPr>
              <w:t>Six months ended June 30,</w:t>
            </w:r>
          </w:p>
        </w:tc>
      </w:tr>
      <w:tr>
        <w:trPr>
          <w:trHeight w:val="94"/>
        </w:trPr>
        <w:tc>
          <w:tcPr>
            <w:tcW w:w="6460" w:type="dxa"/>
            <w:vAlign w:val="bottom"/>
          </w:tcPr>
          <w:p>
            <w:pPr>
              <w:spacing w:after="0"/>
              <w:rPr>
                <w:sz w:val="8"/>
                <w:szCs w:val="8"/>
                <w:color w:val="auto"/>
              </w:rPr>
            </w:pPr>
          </w:p>
        </w:tc>
        <w:tc>
          <w:tcPr>
            <w:tcW w:w="540" w:type="dxa"/>
            <w:vAlign w:val="bottom"/>
            <w:tcBorders>
              <w:top w:val="single" w:sz="8" w:color="auto"/>
              <w:bottom w:val="single" w:sz="8" w:color="auto"/>
            </w:tcBorders>
          </w:tcPr>
          <w:p>
            <w:pPr>
              <w:jc w:val="right"/>
              <w:ind w:right="118"/>
              <w:spacing w:after="0" w:line="94" w:lineRule="exact"/>
              <w:rPr>
                <w:sz w:val="20"/>
                <w:szCs w:val="20"/>
                <w:color w:val="auto"/>
              </w:rPr>
            </w:pPr>
            <w:r>
              <w:rPr>
                <w:rFonts w:ascii="Arial" w:cs="Arial" w:eastAsia="Arial" w:hAnsi="Arial"/>
                <w:sz w:val="10"/>
                <w:szCs w:val="10"/>
                <w:b w:val="1"/>
                <w:bCs w:val="1"/>
                <w:color w:val="auto"/>
              </w:rPr>
              <w:t>2023</w:t>
            </w:r>
          </w:p>
        </w:tc>
        <w:tc>
          <w:tcPr>
            <w:tcW w:w="14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97"/>
              <w:spacing w:after="0" w:line="94" w:lineRule="exact"/>
              <w:rPr>
                <w:sz w:val="20"/>
                <w:szCs w:val="20"/>
                <w:color w:val="auto"/>
              </w:rPr>
            </w:pPr>
            <w:r>
              <w:rPr>
                <w:rFonts w:ascii="Arial" w:cs="Arial" w:eastAsia="Arial" w:hAnsi="Arial"/>
                <w:sz w:val="10"/>
                <w:szCs w:val="10"/>
                <w:b w:val="1"/>
                <w:bCs w:val="1"/>
                <w:color w:val="auto"/>
              </w:rPr>
              <w:t>2022</w:t>
            </w:r>
          </w:p>
        </w:tc>
        <w:tc>
          <w:tcPr>
            <w:tcW w:w="80" w:type="dxa"/>
            <w:vAlign w:val="bottom"/>
          </w:tcPr>
          <w:p>
            <w:pPr>
              <w:spacing w:after="0"/>
              <w:rPr>
                <w:sz w:val="8"/>
                <w:szCs w:val="8"/>
                <w:color w:val="auto"/>
              </w:rPr>
            </w:pPr>
          </w:p>
        </w:tc>
      </w:tr>
      <w:tr>
        <w:trPr>
          <w:trHeight w:val="94"/>
        </w:trPr>
        <w:tc>
          <w:tcPr>
            <w:tcW w:w="6460" w:type="dxa"/>
            <w:vAlign w:val="bottom"/>
          </w:tcPr>
          <w:p>
            <w:pPr>
              <w:spacing w:after="0"/>
              <w:rPr>
                <w:sz w:val="8"/>
                <w:szCs w:val="8"/>
                <w:color w:val="auto"/>
              </w:rPr>
            </w:pPr>
          </w:p>
        </w:tc>
        <w:tc>
          <w:tcPr>
            <w:tcW w:w="1200" w:type="dxa"/>
            <w:vAlign w:val="bottom"/>
            <w:gridSpan w:val="3"/>
          </w:tcPr>
          <w:p>
            <w:pPr>
              <w:jc w:val="right"/>
              <w:ind w:right="97"/>
              <w:spacing w:after="0" w:line="94" w:lineRule="exact"/>
              <w:rPr>
                <w:sz w:val="20"/>
                <w:szCs w:val="20"/>
                <w:color w:val="auto"/>
              </w:rPr>
            </w:pPr>
            <w:r>
              <w:rPr>
                <w:rFonts w:ascii="Arial" w:cs="Arial" w:eastAsia="Arial" w:hAnsi="Arial"/>
                <w:sz w:val="10"/>
                <w:szCs w:val="10"/>
                <w:b w:val="1"/>
                <w:bCs w:val="1"/>
                <w:color w:val="auto"/>
              </w:rPr>
              <w:t>(Euros in thousands)</w:t>
            </w:r>
          </w:p>
        </w:tc>
        <w:tc>
          <w:tcPr>
            <w:tcW w:w="80" w:type="dxa"/>
            <w:vAlign w:val="bottom"/>
          </w:tcPr>
          <w:p>
            <w:pPr>
              <w:spacing w:after="0"/>
              <w:rPr>
                <w:sz w:val="8"/>
                <w:szCs w:val="8"/>
                <w:color w:val="auto"/>
              </w:rPr>
            </w:pPr>
          </w:p>
        </w:tc>
      </w:tr>
      <w:tr>
        <w:trPr>
          <w:trHeight w:val="152"/>
        </w:trPr>
        <w:tc>
          <w:tcPr>
            <w:tcW w:w="6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6460" w:type="dxa"/>
            <w:vAlign w:val="bottom"/>
          </w:tcPr>
          <w:p>
            <w:pPr>
              <w:spacing w:after="0"/>
              <w:rPr>
                <w:sz w:val="20"/>
                <w:szCs w:val="20"/>
                <w:color w:val="auto"/>
              </w:rPr>
            </w:pPr>
            <w:r>
              <w:rPr>
                <w:rFonts w:ascii="Arial" w:cs="Arial" w:eastAsia="Arial" w:hAnsi="Arial"/>
                <w:sz w:val="13"/>
                <w:szCs w:val="13"/>
                <w:b w:val="1"/>
                <w:bCs w:val="1"/>
                <w:color w:val="auto"/>
              </w:rPr>
              <w:t>Net profit/(loss)</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(44,357)</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71,682</w:t>
            </w:r>
          </w:p>
        </w:tc>
      </w:tr>
      <w:tr>
        <w:trPr>
          <w:trHeight w:val="152"/>
        </w:trPr>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Taxes on income</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1,145</w:t>
            </w:r>
          </w:p>
        </w:tc>
      </w:tr>
      <w:tr>
        <w:trPr>
          <w:trHeight w:val="152"/>
        </w:trPr>
        <w:tc>
          <w:tcPr>
            <w:tcW w:w="6460" w:type="dxa"/>
            <w:vAlign w:val="bottom"/>
          </w:tcPr>
          <w:p>
            <w:pPr>
              <w:spacing w:after="0"/>
              <w:rPr>
                <w:sz w:val="20"/>
                <w:szCs w:val="20"/>
                <w:color w:val="auto"/>
              </w:rPr>
            </w:pPr>
            <w:r>
              <w:rPr>
                <w:rFonts w:ascii="Arial" w:cs="Arial" w:eastAsia="Arial" w:hAnsi="Arial"/>
                <w:sz w:val="13"/>
                <w:szCs w:val="13"/>
                <w:b w:val="1"/>
                <w:bCs w:val="1"/>
                <w:color w:val="auto"/>
              </w:rPr>
              <w:t>Profit/(loss) before tax</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(44,357)</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72,827</w:t>
            </w:r>
          </w:p>
        </w:tc>
      </w:tr>
      <w:tr>
        <w:trPr>
          <w:trHeight w:val="152"/>
        </w:trPr>
        <w:tc>
          <w:tcPr>
            <w:tcW w:w="6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Adjustments for:</w:t>
            </w: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6460" w:type="dxa"/>
            <w:vAlign w:val="bottom"/>
          </w:tcPr>
          <w:p>
            <w:pPr>
              <w:spacing w:after="0"/>
              <w:rPr>
                <w:sz w:val="20"/>
                <w:szCs w:val="20"/>
                <w:color w:val="auto"/>
              </w:rPr>
            </w:pPr>
            <w:r>
              <w:rPr>
                <w:rFonts w:ascii="Arial" w:cs="Arial" w:eastAsia="Arial" w:hAnsi="Arial"/>
                <w:sz w:val="13"/>
                <w:szCs w:val="13"/>
                <w:color w:val="auto"/>
              </w:rPr>
              <w:t>Interest income</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(4,999)</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(23)</w:t>
            </w:r>
          </w:p>
        </w:tc>
      </w:tr>
      <w:tr>
        <w:trPr>
          <w:trHeight w:val="152"/>
        </w:trPr>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Depreciation and amortization</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3,666</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3,407</w:t>
            </w:r>
          </w:p>
        </w:tc>
      </w:tr>
      <w:tr>
        <w:trPr>
          <w:trHeight w:val="152"/>
        </w:trPr>
        <w:tc>
          <w:tcPr>
            <w:tcW w:w="6460" w:type="dxa"/>
            <w:vAlign w:val="bottom"/>
          </w:tcPr>
          <w:p>
            <w:pPr>
              <w:spacing w:after="0"/>
              <w:rPr>
                <w:sz w:val="20"/>
                <w:szCs w:val="20"/>
                <w:color w:val="auto"/>
              </w:rPr>
            </w:pPr>
            <w:r>
              <w:rPr>
                <w:rFonts w:ascii="Arial" w:cs="Arial" w:eastAsia="Arial" w:hAnsi="Arial"/>
                <w:sz w:val="13"/>
                <w:szCs w:val="13"/>
                <w:color w:val="auto"/>
              </w:rPr>
              <w:t>Interest expenses</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401</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538</w:t>
            </w:r>
          </w:p>
        </w:tc>
      </w:tr>
      <w:tr>
        <w:trPr>
          <w:trHeight w:val="152"/>
        </w:trPr>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Equity settled share-based payment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11,615</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11,262</w:t>
            </w:r>
          </w:p>
        </w:tc>
      </w:tr>
      <w:tr>
        <w:trPr>
          <w:trHeight w:val="152"/>
        </w:trPr>
        <w:tc>
          <w:tcPr>
            <w:tcW w:w="6460" w:type="dxa"/>
            <w:vAlign w:val="bottom"/>
          </w:tcPr>
          <w:p>
            <w:pPr>
              <w:spacing w:after="0"/>
              <w:rPr>
                <w:sz w:val="20"/>
                <w:szCs w:val="20"/>
                <w:color w:val="auto"/>
              </w:rPr>
            </w:pPr>
            <w:r>
              <w:rPr>
                <w:rFonts w:ascii="Arial" w:cs="Arial" w:eastAsia="Arial" w:hAnsi="Arial"/>
                <w:sz w:val="13"/>
                <w:szCs w:val="13"/>
                <w:color w:val="auto"/>
              </w:rPr>
              <w:t>Net foreign exchange differences and expected credit losses</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4,081</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(7,834)</w:t>
            </w:r>
          </w:p>
        </w:tc>
      </w:tr>
      <w:tr>
        <w:trPr>
          <w:trHeight w:val="152"/>
        </w:trPr>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Change in fair value of liabilities for warrants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5,708</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(13,743)</w:t>
            </w:r>
          </w:p>
        </w:tc>
      </w:tr>
      <w:tr>
        <w:trPr>
          <w:trHeight w:val="152"/>
        </w:trPr>
        <w:tc>
          <w:tcPr>
            <w:tcW w:w="6460" w:type="dxa"/>
            <w:vAlign w:val="bottom"/>
          </w:tcPr>
          <w:p>
            <w:pPr>
              <w:spacing w:after="0"/>
              <w:rPr>
                <w:sz w:val="20"/>
                <w:szCs w:val="20"/>
                <w:color w:val="auto"/>
              </w:rPr>
            </w:pPr>
            <w:r>
              <w:rPr>
                <w:rFonts w:ascii="Arial" w:cs="Arial" w:eastAsia="Arial" w:hAnsi="Arial"/>
                <w:sz w:val="13"/>
                <w:szCs w:val="13"/>
                <w:b w:val="1"/>
                <w:bCs w:val="1"/>
                <w:color w:val="auto"/>
              </w:rPr>
              <w:t>Changes in:</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Decrease/(increase) in accounts receivables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781</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(280)</w:t>
            </w:r>
          </w:p>
        </w:tc>
      </w:tr>
      <w:tr>
        <w:trPr>
          <w:trHeight w:val="152"/>
        </w:trPr>
        <w:tc>
          <w:tcPr>
            <w:tcW w:w="6460" w:type="dxa"/>
            <w:vAlign w:val="bottom"/>
          </w:tcPr>
          <w:p>
            <w:pPr>
              <w:spacing w:after="0"/>
              <w:rPr>
                <w:sz w:val="20"/>
                <w:szCs w:val="20"/>
                <w:color w:val="auto"/>
              </w:rPr>
            </w:pPr>
            <w:r>
              <w:rPr>
                <w:rFonts w:ascii="Arial" w:cs="Arial" w:eastAsia="Arial" w:hAnsi="Arial"/>
                <w:sz w:val="13"/>
                <w:szCs w:val="13"/>
                <w:color w:val="auto"/>
              </w:rPr>
              <w:t>Decrease/(increase) in other assets</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765</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(6,903)</w:t>
            </w:r>
          </w:p>
        </w:tc>
      </w:tr>
      <w:tr>
        <w:trPr>
          <w:trHeight w:val="152"/>
        </w:trPr>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(Decrease)/increase in deferred revenue, accounts payables and other liabilities</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(9,889)</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96,933</w:t>
            </w:r>
          </w:p>
        </w:tc>
      </w:tr>
      <w:tr>
        <w:trPr>
          <w:trHeight w:val="152"/>
        </w:trPr>
        <w:tc>
          <w:tcPr>
            <w:tcW w:w="6460" w:type="dxa"/>
            <w:vAlign w:val="bottom"/>
          </w:tcPr>
          <w:p>
            <w:pPr>
              <w:spacing w:after="0"/>
              <w:rPr>
                <w:sz w:val="20"/>
                <w:szCs w:val="20"/>
                <w:color w:val="auto"/>
              </w:rPr>
            </w:pPr>
            <w:r>
              <w:rPr>
                <w:rFonts w:ascii="Arial" w:cs="Arial" w:eastAsia="Arial" w:hAnsi="Arial"/>
                <w:sz w:val="13"/>
                <w:szCs w:val="13"/>
                <w:color w:val="auto"/>
              </w:rPr>
              <w:t>Interest received</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2,051</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23</w:t>
            </w:r>
          </w:p>
        </w:tc>
      </w:tr>
      <w:tr>
        <w:trPr>
          <w:trHeight w:val="152"/>
        </w:trPr>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Interest paid</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(146)</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(434)</w:t>
            </w:r>
          </w:p>
        </w:tc>
      </w:tr>
      <w:tr>
        <w:trPr>
          <w:trHeight w:val="152"/>
        </w:trPr>
        <w:tc>
          <w:tcPr>
            <w:tcW w:w="6460" w:type="dxa"/>
            <w:vAlign w:val="bottom"/>
          </w:tcPr>
          <w:p>
            <w:pPr>
              <w:spacing w:after="0"/>
              <w:rPr>
                <w:sz w:val="20"/>
                <w:szCs w:val="20"/>
                <w:color w:val="auto"/>
              </w:rPr>
            </w:pPr>
            <w:r>
              <w:rPr>
                <w:rFonts w:ascii="Arial" w:cs="Arial" w:eastAsia="Arial" w:hAnsi="Arial"/>
                <w:sz w:val="13"/>
                <w:szCs w:val="13"/>
                <w:color w:val="auto"/>
              </w:rPr>
              <w:t>Income tax paid</w:t>
            </w:r>
          </w:p>
        </w:tc>
        <w:tc>
          <w:tcPr>
            <w:tcW w:w="54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520" w:type="dxa"/>
            <w:vAlign w:val="bottom"/>
            <w:tcBorders>
              <w:bottom w:val="single" w:sz="8" w:color="auto"/>
            </w:tcBorders>
          </w:tcPr>
          <w:p>
            <w:pPr>
              <w:jc w:val="center"/>
              <w:ind w:left="19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r>
      <w:tr>
        <w:trPr>
          <w:trHeight w:val="151"/>
        </w:trPr>
        <w:tc>
          <w:tcPr>
            <w:tcW w:w="6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cash (used in)/provided by operating activities</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(30,323)</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155,773</w:t>
            </w:r>
          </w:p>
        </w:tc>
      </w:tr>
      <w:tr>
        <w:trPr>
          <w:trHeight w:val="151"/>
        </w:trPr>
        <w:tc>
          <w:tcPr>
            <w:tcW w:w="6460" w:type="dxa"/>
            <w:vAlign w:val="bottom"/>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5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Payments for property, plant and equipment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(15,004)</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(1,965)</w:t>
            </w:r>
          </w:p>
        </w:tc>
      </w:tr>
      <w:tr>
        <w:trPr>
          <w:trHeight w:val="152"/>
        </w:trPr>
        <w:tc>
          <w:tcPr>
            <w:tcW w:w="6460" w:type="dxa"/>
            <w:vAlign w:val="bottom"/>
          </w:tcPr>
          <w:p>
            <w:pPr>
              <w:spacing w:after="0"/>
              <w:rPr>
                <w:sz w:val="20"/>
                <w:szCs w:val="20"/>
                <w:color w:val="auto"/>
              </w:rPr>
            </w:pPr>
            <w:r>
              <w:rPr>
                <w:rFonts w:ascii="Arial" w:cs="Arial" w:eastAsia="Arial" w:hAnsi="Arial"/>
                <w:sz w:val="13"/>
                <w:szCs w:val="13"/>
                <w:color w:val="auto"/>
              </w:rPr>
              <w:t>Payments for intangible assets</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(154)</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(6)</w:t>
            </w:r>
          </w:p>
        </w:tc>
      </w:tr>
      <w:tr>
        <w:trPr>
          <w:trHeight w:val="152"/>
        </w:trPr>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Proceeds from disposal of property, plant and equipment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w:t>
            </w:r>
          </w:p>
        </w:tc>
      </w:tr>
      <w:tr>
        <w:trPr>
          <w:trHeight w:val="152"/>
        </w:trPr>
        <w:tc>
          <w:tcPr>
            <w:tcW w:w="6460" w:type="dxa"/>
            <w:vAlign w:val="bottom"/>
          </w:tcPr>
          <w:p>
            <w:pPr>
              <w:spacing w:after="0"/>
              <w:rPr>
                <w:sz w:val="20"/>
                <w:szCs w:val="20"/>
                <w:color w:val="auto"/>
              </w:rPr>
            </w:pPr>
            <w:r>
              <w:rPr>
                <w:rFonts w:ascii="Arial" w:cs="Arial" w:eastAsia="Arial" w:hAnsi="Arial"/>
                <w:sz w:val="13"/>
                <w:szCs w:val="13"/>
                <w:color w:val="auto"/>
              </w:rPr>
              <w:t>Payments for investments classified in Other financial assets</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(170,326)</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(59,253)</w:t>
            </w:r>
          </w:p>
        </w:tc>
      </w:tr>
      <w:tr>
        <w:trPr>
          <w:trHeight w:val="152"/>
        </w:trPr>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Proceeds from maturity of investments classified in Other financial assets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164,929</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12,695</w:t>
            </w:r>
          </w:p>
        </w:tc>
      </w:tr>
      <w:tr>
        <w:trPr>
          <w:trHeight w:val="151"/>
        </w:trPr>
        <w:tc>
          <w:tcPr>
            <w:tcW w:w="6460" w:type="dxa"/>
            <w:vAlign w:val="bottom"/>
          </w:tcPr>
          <w:p>
            <w:pPr>
              <w:spacing w:after="0"/>
              <w:rPr>
                <w:sz w:val="20"/>
                <w:szCs w:val="20"/>
                <w:color w:val="auto"/>
              </w:rPr>
            </w:pPr>
            <w:r>
              <w:rPr>
                <w:rFonts w:ascii="Arial" w:cs="Arial" w:eastAsia="Arial" w:hAnsi="Arial"/>
                <w:sz w:val="13"/>
                <w:szCs w:val="13"/>
                <w:b w:val="1"/>
                <w:bCs w:val="1"/>
                <w:color w:val="auto"/>
              </w:rPr>
              <w:t>Net cash (used in)/provided by investing activities</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(20,555)</w:t>
            </w:r>
          </w:p>
        </w:tc>
        <w:tc>
          <w:tcPr>
            <w:tcW w:w="14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(48,528)</w:t>
            </w:r>
          </w:p>
        </w:tc>
        <w:tc>
          <w:tcPr>
            <w:tcW w:w="80" w:type="dxa"/>
            <w:vAlign w:val="bottom"/>
          </w:tcPr>
          <w:p>
            <w:pPr>
              <w:spacing w:after="0"/>
              <w:rPr>
                <w:sz w:val="13"/>
                <w:szCs w:val="13"/>
                <w:color w:val="auto"/>
              </w:rPr>
            </w:pPr>
          </w:p>
        </w:tc>
      </w:tr>
      <w:tr>
        <w:trPr>
          <w:trHeight w:val="151"/>
        </w:trPr>
        <w:tc>
          <w:tcPr>
            <w:tcW w:w="6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6460" w:type="dxa"/>
            <w:vAlign w:val="bottom"/>
          </w:tcPr>
          <w:p>
            <w:pPr>
              <w:spacing w:after="0"/>
              <w:rPr>
                <w:sz w:val="20"/>
                <w:szCs w:val="20"/>
                <w:color w:val="auto"/>
              </w:rPr>
            </w:pPr>
            <w:r>
              <w:rPr>
                <w:rFonts w:ascii="Arial" w:cs="Arial" w:eastAsia="Arial" w:hAnsi="Arial"/>
                <w:sz w:val="13"/>
                <w:szCs w:val="13"/>
                <w:color w:val="auto"/>
              </w:rPr>
              <w:t>Proceeds from issuance of shares to equity holders</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38,608</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17,112</w:t>
            </w:r>
          </w:p>
        </w:tc>
      </w:tr>
      <w:tr>
        <w:trPr>
          <w:trHeight w:val="152"/>
        </w:trPr>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Transaction costs deducted from equity</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(1,157)</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(515)</w:t>
            </w:r>
          </w:p>
        </w:tc>
      </w:tr>
      <w:tr>
        <w:trPr>
          <w:trHeight w:val="152"/>
        </w:trPr>
        <w:tc>
          <w:tcPr>
            <w:tcW w:w="6460" w:type="dxa"/>
            <w:vAlign w:val="bottom"/>
          </w:tcPr>
          <w:p>
            <w:pPr>
              <w:spacing w:after="0"/>
              <w:rPr>
                <w:sz w:val="20"/>
                <w:szCs w:val="20"/>
                <w:color w:val="auto"/>
              </w:rPr>
            </w:pPr>
            <w:r>
              <w:rPr>
                <w:rFonts w:ascii="Arial" w:cs="Arial" w:eastAsia="Arial" w:hAnsi="Arial"/>
                <w:sz w:val="13"/>
                <w:szCs w:val="13"/>
                <w:color w:val="auto"/>
              </w:rPr>
              <w:t>Repayment of lease liabilities</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(1,866)</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(1,394)</w:t>
            </w:r>
          </w:p>
        </w:tc>
      </w:tr>
      <w:tr>
        <w:trPr>
          <w:trHeight w:val="151"/>
        </w:trPr>
        <w:tc>
          <w:tcPr>
            <w:tcW w:w="6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cash provided by/(used in) financing activities</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35,585</w:t>
            </w:r>
          </w:p>
        </w:tc>
        <w:tc>
          <w:tcPr>
            <w:tcW w:w="140" w:type="dxa"/>
            <w:vAlign w:val="bottom"/>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15,203</w:t>
            </w:r>
          </w:p>
        </w:tc>
        <w:tc>
          <w:tcPr>
            <w:tcW w:w="80" w:type="dxa"/>
            <w:vAlign w:val="bottom"/>
            <w:shd w:val="clear" w:color="auto" w:fill="CCEEFF"/>
          </w:tcPr>
          <w:p>
            <w:pPr>
              <w:spacing w:after="0"/>
              <w:rPr>
                <w:sz w:val="13"/>
                <w:szCs w:val="13"/>
                <w:color w:val="auto"/>
              </w:rPr>
            </w:pPr>
          </w:p>
        </w:tc>
      </w:tr>
      <w:tr>
        <w:trPr>
          <w:trHeight w:val="159"/>
        </w:trPr>
        <w:tc>
          <w:tcPr>
            <w:tcW w:w="6460" w:type="dxa"/>
            <w:vAlign w:val="bottom"/>
          </w:tcPr>
          <w:p>
            <w:pPr>
              <w:spacing w:after="0"/>
              <w:rPr>
                <w:sz w:val="20"/>
                <w:szCs w:val="20"/>
                <w:color w:val="auto"/>
              </w:rPr>
            </w:pPr>
            <w:r>
              <w:rPr>
                <w:rFonts w:ascii="Arial" w:cs="Arial" w:eastAsia="Arial" w:hAnsi="Arial"/>
                <w:sz w:val="13"/>
                <w:szCs w:val="13"/>
                <w:b w:val="1"/>
                <w:bCs w:val="1"/>
                <w:color w:val="auto"/>
              </w:rPr>
              <w:t>Net (decrease)/increase in cash and cash equivalents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(15,293)</w:t>
            </w:r>
          </w:p>
        </w:tc>
        <w:tc>
          <w:tcPr>
            <w:tcW w:w="140" w:type="dxa"/>
            <w:vAlign w:val="bottom"/>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122,448</w:t>
            </w:r>
          </w:p>
        </w:tc>
        <w:tc>
          <w:tcPr>
            <w:tcW w:w="80" w:type="dxa"/>
            <w:vAlign w:val="bottom"/>
          </w:tcPr>
          <w:p>
            <w:pPr>
              <w:spacing w:after="0"/>
              <w:rPr>
                <w:sz w:val="13"/>
                <w:szCs w:val="13"/>
                <w:color w:val="auto"/>
              </w:rPr>
            </w:pPr>
          </w:p>
        </w:tc>
      </w:tr>
      <w:tr>
        <w:trPr>
          <w:trHeight w:val="170"/>
        </w:trPr>
        <w:tc>
          <w:tcPr>
            <w:tcW w:w="6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and cash equivalents at beginning of the year</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148,519</w:t>
            </w:r>
          </w:p>
        </w:tc>
        <w:tc>
          <w:tcPr>
            <w:tcW w:w="14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132,994</w:t>
            </w:r>
          </w:p>
        </w:tc>
        <w:tc>
          <w:tcPr>
            <w:tcW w:w="80" w:type="dxa"/>
            <w:vAlign w:val="bottom"/>
            <w:shd w:val="clear" w:color="auto" w:fill="CCEEFF"/>
          </w:tcPr>
          <w:p>
            <w:pPr>
              <w:spacing w:after="0"/>
              <w:rPr>
                <w:sz w:val="14"/>
                <w:szCs w:val="14"/>
                <w:color w:val="auto"/>
              </w:rPr>
            </w:pPr>
          </w:p>
        </w:tc>
      </w:tr>
      <w:tr>
        <w:trPr>
          <w:trHeight w:val="161"/>
        </w:trPr>
        <w:tc>
          <w:tcPr>
            <w:tcW w:w="6460" w:type="dxa"/>
            <w:vAlign w:val="bottom"/>
          </w:tcPr>
          <w:p>
            <w:pPr>
              <w:spacing w:after="0"/>
              <w:rPr>
                <w:sz w:val="20"/>
                <w:szCs w:val="20"/>
                <w:color w:val="auto"/>
              </w:rPr>
            </w:pPr>
            <w:r>
              <w:rPr>
                <w:rFonts w:ascii="Arial" w:cs="Arial" w:eastAsia="Arial" w:hAnsi="Arial"/>
                <w:sz w:val="13"/>
                <w:szCs w:val="13"/>
                <w:color w:val="auto"/>
              </w:rPr>
              <w:t>Effects of exchange rate changes and expected credit losses on cash and cash equivalents</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(2,821)</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9,683</w:t>
            </w:r>
          </w:p>
        </w:tc>
      </w:tr>
      <w:tr>
        <w:trPr>
          <w:trHeight w:val="159"/>
        </w:trPr>
        <w:tc>
          <w:tcPr>
            <w:tcW w:w="6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and cash equivalents at end of the year</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130,405</w:t>
            </w:r>
          </w:p>
        </w:tc>
        <w:tc>
          <w:tcPr>
            <w:tcW w:w="140" w:type="dxa"/>
            <w:vAlign w:val="bottom"/>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265,125</w:t>
            </w:r>
          </w:p>
        </w:tc>
        <w:tc>
          <w:tcPr>
            <w:tcW w:w="80" w:type="dxa"/>
            <w:vAlign w:val="bottom"/>
            <w:shd w:val="clear" w:color="auto" w:fill="CCEEFF"/>
          </w:tcPr>
          <w:p>
            <w:pPr>
              <w:spacing w:after="0"/>
              <w:rPr>
                <w:sz w:val="13"/>
                <w:szCs w:val="13"/>
                <w:color w:val="auto"/>
              </w:rPr>
            </w:pPr>
          </w:p>
        </w:tc>
      </w:tr>
      <w:tr>
        <w:trPr>
          <w:trHeight w:val="265"/>
        </w:trPr>
        <w:tc>
          <w:tcPr>
            <w:tcW w:w="6460" w:type="dxa"/>
            <w:vAlign w:val="bottom"/>
          </w:tcPr>
          <w:p>
            <w:pPr>
              <w:spacing w:after="0"/>
              <w:rPr>
                <w:sz w:val="20"/>
                <w:szCs w:val="20"/>
                <w:color w:val="auto"/>
              </w:rPr>
            </w:pPr>
            <w:r>
              <w:rPr>
                <w:rFonts w:ascii="Arial" w:cs="Arial" w:eastAsia="Arial" w:hAnsi="Arial"/>
                <w:sz w:val="13"/>
                <w:szCs w:val="13"/>
                <w:color w:val="auto"/>
              </w:rPr>
              <w:t>Immatics Press Release August 17, 2023</w:t>
            </w: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10 | 11</w:t>
            </w:r>
          </w:p>
        </w:tc>
      </w:tr>
    </w:tbl>
    <w:p>
      <w:pPr>
        <w:sectPr>
          <w:pgSz w:w="11900" w:h="16838" w:orient="portrait"/>
          <w:cols w:equalWidth="0" w:num="1">
            <w:col w:w="9019"/>
          </w:cols>
          <w:pgMar w:left="1440" w:top="961" w:right="1440" w:bottom="1440" w:gutter="0" w:footer="0" w:header="0"/>
        </w:sectPr>
      </w:pPr>
    </w:p>
    <w:bookmarkStart w:id="44" w:name="page45"/>
    <w:bookmarkEnd w:id="44"/>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635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0425" cy="463550"/>
                    </a:xfrm>
                    <a:prstGeom prst="rect">
                      <a:avLst/>
                    </a:prstGeom>
                    <a:noFill/>
                  </pic:spPr>
                </pic:pic>
              </a:graphicData>
            </a:graphic>
          </wp:anchor>
        </w:drawing>
        <w:t>Unaudited Condensed Consolidated Statement of Changes in Shareholders’ equity of Immatics N.V.</w:t>
      </w:r>
    </w:p>
    <w:p>
      <w:pPr>
        <w:spacing w:after="0" w:line="160"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4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1"/>
              </w:rPr>
              <w:t>Total</w:t>
            </w:r>
          </w:p>
        </w:tc>
      </w:tr>
      <w:tr>
        <w:trPr>
          <w:trHeight w:val="104"/>
        </w:trPr>
        <w:tc>
          <w:tcPr>
            <w:tcW w:w="4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gridSpan w:val="2"/>
          </w:tcPr>
          <w:p>
            <w:pPr>
              <w:jc w:val="center"/>
              <w:ind w:right="80"/>
              <w:spacing w:after="0" w:line="104" w:lineRule="exact"/>
              <w:rPr>
                <w:sz w:val="20"/>
                <w:szCs w:val="20"/>
                <w:color w:val="auto"/>
              </w:rPr>
            </w:pPr>
            <w:r>
              <w:rPr>
                <w:rFonts w:ascii="Arial" w:cs="Arial" w:eastAsia="Arial" w:hAnsi="Arial"/>
                <w:sz w:val="10"/>
                <w:szCs w:val="10"/>
                <w:b w:val="1"/>
                <w:bCs w:val="1"/>
                <w:color w:val="auto"/>
                <w:w w:val="86"/>
              </w:rPr>
              <w:t>share-</w:t>
            </w:r>
          </w:p>
        </w:tc>
      </w:tr>
      <w:tr>
        <w:trPr>
          <w:trHeight w:val="104"/>
        </w:trPr>
        <w:tc>
          <w:tcPr>
            <w:tcW w:w="4980" w:type="dxa"/>
            <w:vAlign w:val="bottom"/>
          </w:tcPr>
          <w:p>
            <w:pPr>
              <w:spacing w:after="0"/>
              <w:rPr>
                <w:sz w:val="9"/>
                <w:szCs w:val="9"/>
                <w:color w:val="auto"/>
              </w:rPr>
            </w:pPr>
          </w:p>
        </w:tc>
        <w:tc>
          <w:tcPr>
            <w:tcW w:w="400" w:type="dxa"/>
            <w:vAlign w:val="bottom"/>
            <w:gridSpan w:val="2"/>
          </w:tcPr>
          <w:p>
            <w:pPr>
              <w:ind w:left="20"/>
              <w:spacing w:after="0" w:line="104" w:lineRule="exact"/>
              <w:rPr>
                <w:sz w:val="20"/>
                <w:szCs w:val="20"/>
                <w:color w:val="auto"/>
              </w:rPr>
            </w:pPr>
            <w:r>
              <w:rPr>
                <w:rFonts w:ascii="Arial" w:cs="Arial" w:eastAsia="Arial" w:hAnsi="Arial"/>
                <w:sz w:val="10"/>
                <w:szCs w:val="10"/>
                <w:b w:val="1"/>
                <w:bCs w:val="1"/>
                <w:color w:val="auto"/>
              </w:rPr>
              <w:t>Share</w:t>
            </w:r>
          </w:p>
        </w:tc>
        <w:tc>
          <w:tcPr>
            <w:tcW w:w="560" w:type="dxa"/>
            <w:vAlign w:val="bottom"/>
            <w:gridSpan w:val="2"/>
          </w:tcPr>
          <w:p>
            <w:pPr>
              <w:ind w:left="100"/>
              <w:spacing w:after="0" w:line="104" w:lineRule="exact"/>
              <w:rPr>
                <w:sz w:val="20"/>
                <w:szCs w:val="20"/>
                <w:color w:val="auto"/>
              </w:rPr>
            </w:pPr>
            <w:r>
              <w:rPr>
                <w:rFonts w:ascii="Arial" w:cs="Arial" w:eastAsia="Arial" w:hAnsi="Arial"/>
                <w:sz w:val="10"/>
                <w:szCs w:val="10"/>
                <w:b w:val="1"/>
                <w:bCs w:val="1"/>
                <w:color w:val="auto"/>
              </w:rPr>
              <w:t>Share</w:t>
            </w:r>
          </w:p>
        </w:tc>
        <w:tc>
          <w:tcPr>
            <w:tcW w:w="740" w:type="dxa"/>
            <w:vAlign w:val="bottom"/>
            <w:gridSpan w:val="2"/>
          </w:tcPr>
          <w:p>
            <w:pPr>
              <w:jc w:val="right"/>
              <w:ind w:right="160"/>
              <w:spacing w:after="0" w:line="104" w:lineRule="exact"/>
              <w:rPr>
                <w:sz w:val="20"/>
                <w:szCs w:val="20"/>
                <w:color w:val="auto"/>
              </w:rPr>
            </w:pPr>
            <w:r>
              <w:rPr>
                <w:rFonts w:ascii="Arial" w:cs="Arial" w:eastAsia="Arial" w:hAnsi="Arial"/>
                <w:sz w:val="10"/>
                <w:szCs w:val="10"/>
                <w:b w:val="1"/>
                <w:bCs w:val="1"/>
                <w:color w:val="auto"/>
                <w:w w:val="89"/>
              </w:rPr>
              <w:t>Accumulated</w:t>
            </w:r>
          </w:p>
        </w:tc>
        <w:tc>
          <w:tcPr>
            <w:tcW w:w="520" w:type="dxa"/>
            <w:vAlign w:val="bottom"/>
            <w:gridSpan w:val="2"/>
          </w:tcPr>
          <w:p>
            <w:pPr>
              <w:ind w:left="60"/>
              <w:spacing w:after="0" w:line="104" w:lineRule="exact"/>
              <w:rPr>
                <w:sz w:val="20"/>
                <w:szCs w:val="20"/>
                <w:color w:val="auto"/>
              </w:rPr>
            </w:pPr>
            <w:r>
              <w:rPr>
                <w:rFonts w:ascii="Arial" w:cs="Arial" w:eastAsia="Arial" w:hAnsi="Arial"/>
                <w:sz w:val="10"/>
                <w:szCs w:val="10"/>
                <w:b w:val="1"/>
                <w:bCs w:val="1"/>
                <w:color w:val="auto"/>
              </w:rPr>
              <w:t>Other</w:t>
            </w:r>
          </w:p>
        </w:tc>
        <w:tc>
          <w:tcPr>
            <w:tcW w:w="540" w:type="dxa"/>
            <w:vAlign w:val="bottom"/>
            <w:gridSpan w:val="2"/>
          </w:tcPr>
          <w:p>
            <w:pPr>
              <w:jc w:val="center"/>
              <w:ind w:right="80"/>
              <w:spacing w:after="0" w:line="104" w:lineRule="exact"/>
              <w:rPr>
                <w:sz w:val="20"/>
                <w:szCs w:val="20"/>
                <w:color w:val="auto"/>
              </w:rPr>
            </w:pPr>
            <w:r>
              <w:rPr>
                <w:rFonts w:ascii="Arial" w:cs="Arial" w:eastAsia="Arial" w:hAnsi="Arial"/>
                <w:sz w:val="10"/>
                <w:szCs w:val="10"/>
                <w:b w:val="1"/>
                <w:bCs w:val="1"/>
                <w:color w:val="auto"/>
                <w:w w:val="87"/>
              </w:rPr>
              <w:t>holders’</w:t>
            </w:r>
          </w:p>
        </w:tc>
      </w:tr>
      <w:tr>
        <w:trPr>
          <w:trHeight w:val="119"/>
        </w:trPr>
        <w:tc>
          <w:tcPr>
            <w:tcW w:w="4980" w:type="dxa"/>
            <w:vAlign w:val="bottom"/>
          </w:tcPr>
          <w:p>
            <w:pPr>
              <w:spacing w:after="0"/>
              <w:rPr>
                <w:sz w:val="20"/>
                <w:szCs w:val="20"/>
                <w:color w:val="auto"/>
              </w:rPr>
            </w:pPr>
            <w:r>
              <w:rPr>
                <w:rFonts w:ascii="Arial" w:cs="Arial" w:eastAsia="Arial" w:hAnsi="Arial"/>
                <w:sz w:val="10"/>
                <w:szCs w:val="10"/>
                <w:b w:val="1"/>
                <w:bCs w:val="1"/>
                <w:color w:val="auto"/>
              </w:rPr>
              <w:t>(Euros in thousands)</w:t>
            </w:r>
          </w:p>
        </w:tc>
        <w:tc>
          <w:tcPr>
            <w:tcW w:w="40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w w:val="81"/>
              </w:rPr>
              <w:t>capital</w:t>
            </w:r>
          </w:p>
        </w:tc>
        <w:tc>
          <w:tcPr>
            <w:tcW w:w="560" w:type="dxa"/>
            <w:vAlign w:val="bottom"/>
            <w:gridSpan w:val="2"/>
          </w:tcPr>
          <w:p>
            <w:pPr>
              <w:ind w:left="20"/>
              <w:spacing w:after="0"/>
              <w:rPr>
                <w:sz w:val="20"/>
                <w:szCs w:val="20"/>
                <w:color w:val="auto"/>
              </w:rPr>
            </w:pPr>
            <w:r>
              <w:rPr>
                <w:rFonts w:ascii="Arial" w:cs="Arial" w:eastAsia="Arial" w:hAnsi="Arial"/>
                <w:sz w:val="10"/>
                <w:szCs w:val="10"/>
                <w:b w:val="1"/>
                <w:bCs w:val="1"/>
                <w:color w:val="auto"/>
              </w:rPr>
              <w:t>premium</w:t>
            </w:r>
          </w:p>
        </w:tc>
        <w:tc>
          <w:tcPr>
            <w:tcW w:w="74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deficit</w:t>
            </w:r>
          </w:p>
        </w:tc>
        <w:tc>
          <w:tcPr>
            <w:tcW w:w="520" w:type="dxa"/>
            <w:vAlign w:val="bottom"/>
            <w:gridSpan w:val="2"/>
          </w:tcPr>
          <w:p>
            <w:pPr>
              <w:spacing w:after="0"/>
              <w:rPr>
                <w:sz w:val="20"/>
                <w:szCs w:val="20"/>
                <w:color w:val="auto"/>
              </w:rPr>
            </w:pPr>
            <w:r>
              <w:rPr>
                <w:rFonts w:ascii="Arial" w:cs="Arial" w:eastAsia="Arial" w:hAnsi="Arial"/>
                <w:sz w:val="10"/>
                <w:szCs w:val="10"/>
                <w:b w:val="1"/>
                <w:bCs w:val="1"/>
                <w:color w:val="auto"/>
              </w:rPr>
              <w:t>reserves</w:t>
            </w:r>
          </w:p>
        </w:tc>
        <w:tc>
          <w:tcPr>
            <w:tcW w:w="5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8"/>
              </w:rPr>
              <w:t>equity</w:t>
            </w:r>
          </w:p>
        </w:tc>
      </w:tr>
      <w:tr>
        <w:trPr>
          <w:trHeight w:val="141"/>
        </w:trPr>
        <w:tc>
          <w:tcPr>
            <w:tcW w:w="498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Balance as of January 1, 2022</w:t>
            </w:r>
          </w:p>
        </w:tc>
        <w:tc>
          <w:tcPr>
            <w:tcW w:w="280" w:type="dxa"/>
            <w:vAlign w:val="bottom"/>
            <w:tcBorders>
              <w:top w:val="single" w:sz="8" w:color="auto"/>
            </w:tcBorders>
            <w:shd w:val="clear" w:color="auto" w:fill="CCEEFF"/>
          </w:tcPr>
          <w:p>
            <w:pPr>
              <w:ind w:left="100"/>
              <w:spacing w:after="0" w:line="141" w:lineRule="exact"/>
              <w:rPr>
                <w:sz w:val="20"/>
                <w:szCs w:val="20"/>
                <w:color w:val="auto"/>
              </w:rPr>
            </w:pPr>
            <w:r>
              <w:rPr>
                <w:rFonts w:ascii="Arial" w:cs="Arial" w:eastAsia="Arial" w:hAnsi="Arial"/>
                <w:sz w:val="13"/>
                <w:szCs w:val="13"/>
                <w:b w:val="1"/>
                <w:bCs w:val="1"/>
                <w:color w:val="auto"/>
                <w:w w:val="73"/>
              </w:rPr>
              <w:t>629</w:t>
            </w:r>
          </w:p>
        </w:tc>
        <w:tc>
          <w:tcPr>
            <w:tcW w:w="1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w w:val="93"/>
              </w:rPr>
              <w:t>565,192</w:t>
            </w: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(537,813)</w:t>
            </w:r>
          </w:p>
        </w:tc>
        <w:tc>
          <w:tcPr>
            <w:tcW w:w="1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w w:val="82"/>
              </w:rPr>
              <w:t>(3,945)</w:t>
            </w:r>
          </w:p>
        </w:tc>
        <w:tc>
          <w:tcPr>
            <w:tcW w:w="1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24,063</w:t>
            </w:r>
          </w:p>
        </w:tc>
        <w:tc>
          <w:tcPr>
            <w:tcW w:w="80" w:type="dxa"/>
            <w:vAlign w:val="bottom"/>
            <w:tcBorders>
              <w:top w:val="single" w:sz="8" w:color="CCEEFF"/>
            </w:tcBorders>
            <w:shd w:val="clear" w:color="auto" w:fill="CCEEFF"/>
          </w:tcPr>
          <w:p>
            <w:pPr>
              <w:spacing w:after="0"/>
              <w:rPr>
                <w:sz w:val="12"/>
                <w:szCs w:val="12"/>
                <w:color w:val="auto"/>
              </w:rPr>
            </w:pPr>
          </w:p>
        </w:tc>
      </w:tr>
      <w:tr>
        <w:trPr>
          <w:trHeight w:val="152"/>
        </w:trPr>
        <w:tc>
          <w:tcPr>
            <w:tcW w:w="4980" w:type="dxa"/>
            <w:vAlign w:val="bottom"/>
          </w:tcPr>
          <w:p>
            <w:pPr>
              <w:spacing w:after="0"/>
              <w:rPr>
                <w:sz w:val="20"/>
                <w:szCs w:val="20"/>
                <w:color w:val="auto"/>
              </w:rPr>
            </w:pPr>
            <w:r>
              <w:rPr>
                <w:rFonts w:ascii="Arial" w:cs="Arial" w:eastAsia="Arial" w:hAnsi="Arial"/>
                <w:sz w:val="13"/>
                <w:szCs w:val="13"/>
                <w:color w:val="auto"/>
              </w:rPr>
              <w:t>Other comprehensive income</w:t>
            </w:r>
          </w:p>
        </w:tc>
        <w:tc>
          <w:tcPr>
            <w:tcW w:w="4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56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1,338</w:t>
            </w:r>
          </w:p>
        </w:tc>
        <w:tc>
          <w:tcPr>
            <w:tcW w:w="16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1,338</w:t>
            </w:r>
          </w:p>
        </w:tc>
      </w:tr>
      <w:tr>
        <w:trPr>
          <w:trHeight w:val="152"/>
        </w:trPr>
        <w:tc>
          <w:tcPr>
            <w:tcW w:w="4980" w:type="dxa"/>
            <w:vAlign w:val="bottom"/>
            <w:shd w:val="clear" w:color="auto" w:fill="CCEEFF"/>
          </w:tcPr>
          <w:p>
            <w:pPr>
              <w:spacing w:after="0"/>
              <w:rPr>
                <w:sz w:val="20"/>
                <w:szCs w:val="20"/>
                <w:color w:val="auto"/>
              </w:rPr>
            </w:pPr>
            <w:r>
              <w:rPr>
                <w:rFonts w:ascii="Arial" w:cs="Arial" w:eastAsia="Arial" w:hAnsi="Arial"/>
                <w:sz w:val="13"/>
                <w:szCs w:val="13"/>
                <w:color w:val="auto"/>
              </w:rPr>
              <w:t>Net profit</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71,682</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71,682</w:t>
            </w:r>
          </w:p>
        </w:tc>
      </w:tr>
      <w:tr>
        <w:trPr>
          <w:trHeight w:val="152"/>
        </w:trPr>
        <w:tc>
          <w:tcPr>
            <w:tcW w:w="4980" w:type="dxa"/>
            <w:vAlign w:val="bottom"/>
          </w:tcPr>
          <w:p>
            <w:pPr>
              <w:spacing w:after="0"/>
              <w:rPr>
                <w:sz w:val="20"/>
                <w:szCs w:val="20"/>
                <w:color w:val="auto"/>
              </w:rPr>
            </w:pPr>
            <w:r>
              <w:rPr>
                <w:rFonts w:ascii="Arial" w:cs="Arial" w:eastAsia="Arial" w:hAnsi="Arial"/>
                <w:sz w:val="13"/>
                <w:szCs w:val="13"/>
                <w:b w:val="1"/>
                <w:bCs w:val="1"/>
                <w:color w:val="auto"/>
              </w:rPr>
              <w:t>Comprehensive income for the year</w:t>
            </w:r>
          </w:p>
        </w:tc>
        <w:tc>
          <w:tcPr>
            <w:tcW w:w="4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56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71,682</w:t>
            </w:r>
          </w:p>
        </w:tc>
        <w:tc>
          <w:tcPr>
            <w:tcW w:w="360" w:type="dxa"/>
            <w:vAlign w:val="bottom"/>
          </w:tcPr>
          <w:p>
            <w:pPr>
              <w:jc w:val="right"/>
              <w:spacing w:after="0"/>
              <w:rPr>
                <w:sz w:val="20"/>
                <w:szCs w:val="20"/>
                <w:color w:val="auto"/>
              </w:rPr>
            </w:pPr>
            <w:r>
              <w:rPr>
                <w:rFonts w:ascii="Arial" w:cs="Arial" w:eastAsia="Arial" w:hAnsi="Arial"/>
                <w:sz w:val="13"/>
                <w:szCs w:val="13"/>
                <w:color w:val="auto"/>
              </w:rPr>
              <w:t>1,338</w:t>
            </w:r>
          </w:p>
        </w:tc>
        <w:tc>
          <w:tcPr>
            <w:tcW w:w="16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73,020</w:t>
            </w:r>
          </w:p>
        </w:tc>
      </w:tr>
      <w:tr>
        <w:trPr>
          <w:trHeight w:val="152"/>
        </w:trPr>
        <w:tc>
          <w:tcPr>
            <w:tcW w:w="4980" w:type="dxa"/>
            <w:vAlign w:val="bottom"/>
            <w:shd w:val="clear" w:color="auto" w:fill="CCEEFF"/>
          </w:tcPr>
          <w:p>
            <w:pPr>
              <w:spacing w:after="0"/>
              <w:rPr>
                <w:sz w:val="20"/>
                <w:szCs w:val="20"/>
                <w:color w:val="auto"/>
              </w:rPr>
            </w:pPr>
            <w:r>
              <w:rPr>
                <w:rFonts w:ascii="Arial" w:cs="Arial" w:eastAsia="Arial" w:hAnsi="Arial"/>
                <w:sz w:val="13"/>
                <w:szCs w:val="13"/>
                <w:color w:val="auto"/>
              </w:rPr>
              <w:t>Equity-settled share-based compensation</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11,262</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11,262</w:t>
            </w:r>
          </w:p>
        </w:tc>
      </w:tr>
      <w:tr>
        <w:trPr>
          <w:trHeight w:val="152"/>
        </w:trPr>
        <w:tc>
          <w:tcPr>
            <w:tcW w:w="4980" w:type="dxa"/>
            <w:vAlign w:val="bottom"/>
          </w:tcPr>
          <w:p>
            <w:pPr>
              <w:spacing w:after="0"/>
              <w:rPr>
                <w:sz w:val="20"/>
                <w:szCs w:val="20"/>
                <w:color w:val="auto"/>
              </w:rPr>
            </w:pPr>
            <w:r>
              <w:rPr>
                <w:rFonts w:ascii="Arial" w:cs="Arial" w:eastAsia="Arial" w:hAnsi="Arial"/>
                <w:sz w:val="13"/>
                <w:szCs w:val="13"/>
                <w:color w:val="auto"/>
              </w:rPr>
              <w:t>Share options exercised</w:t>
            </w:r>
          </w:p>
        </w:tc>
        <w:tc>
          <w:tcPr>
            <w:tcW w:w="4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1</w:t>
            </w:r>
          </w:p>
        </w:tc>
      </w:tr>
      <w:tr>
        <w:trPr>
          <w:trHeight w:val="152"/>
        </w:trPr>
        <w:tc>
          <w:tcPr>
            <w:tcW w:w="4980" w:type="dxa"/>
            <w:vAlign w:val="bottom"/>
            <w:shd w:val="clear" w:color="auto" w:fill="CCEEFF"/>
          </w:tcPr>
          <w:p>
            <w:pPr>
              <w:spacing w:after="0"/>
              <w:rPr>
                <w:sz w:val="20"/>
                <w:szCs w:val="20"/>
                <w:color w:val="auto"/>
              </w:rPr>
            </w:pPr>
            <w:r>
              <w:rPr>
                <w:rFonts w:ascii="Arial" w:cs="Arial" w:eastAsia="Arial" w:hAnsi="Arial"/>
                <w:sz w:val="13"/>
                <w:szCs w:val="13"/>
                <w:color w:val="auto"/>
              </w:rPr>
              <w:t>Issue of share capital - net of transaction costs</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24</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16,571</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16,595</w:t>
            </w:r>
          </w:p>
        </w:tc>
      </w:tr>
      <w:tr>
        <w:trPr>
          <w:trHeight w:val="159"/>
        </w:trPr>
        <w:tc>
          <w:tcPr>
            <w:tcW w:w="4980" w:type="dxa"/>
            <w:vAlign w:val="bottom"/>
          </w:tcPr>
          <w:p>
            <w:pPr>
              <w:spacing w:after="0"/>
              <w:rPr>
                <w:sz w:val="20"/>
                <w:szCs w:val="20"/>
                <w:color w:val="auto"/>
              </w:rPr>
            </w:pPr>
            <w:r>
              <w:rPr>
                <w:rFonts w:ascii="Arial" w:cs="Arial" w:eastAsia="Arial" w:hAnsi="Arial"/>
                <w:sz w:val="13"/>
                <w:szCs w:val="13"/>
                <w:b w:val="1"/>
                <w:bCs w:val="1"/>
                <w:color w:val="auto"/>
              </w:rPr>
              <w:t>Balance as of June 30, 2022</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3"/>
                <w:szCs w:val="13"/>
                <w:b w:val="1"/>
                <w:bCs w:val="1"/>
                <w:color w:val="auto"/>
                <w:w w:val="73"/>
              </w:rPr>
              <w:t>653</w:t>
            </w:r>
          </w:p>
        </w:tc>
        <w:tc>
          <w:tcPr>
            <w:tcW w:w="12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593,026</w:t>
            </w:r>
          </w:p>
        </w:tc>
        <w:tc>
          <w:tcPr>
            <w:tcW w:w="10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(466,131)</w:t>
            </w:r>
          </w:p>
        </w:tc>
        <w:tc>
          <w:tcPr>
            <w:tcW w:w="16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(2,607</w:t>
            </w:r>
          </w:p>
        </w:tc>
        <w:tc>
          <w:tcPr>
            <w:tcW w:w="160" w:type="dxa"/>
            <w:vAlign w:val="bottom"/>
          </w:tcPr>
          <w:p>
            <w:pPr>
              <w:jc w:val="right"/>
              <w:ind w:right="37"/>
              <w:spacing w:after="0"/>
              <w:rPr>
                <w:sz w:val="20"/>
                <w:szCs w:val="20"/>
                <w:color w:val="auto"/>
              </w:rPr>
            </w:pPr>
            <w:r>
              <w:rPr>
                <w:rFonts w:ascii="Arial" w:cs="Arial" w:eastAsia="Arial" w:hAnsi="Arial"/>
                <w:sz w:val="13"/>
                <w:szCs w:val="13"/>
                <w:b w:val="1"/>
                <w:bCs w:val="1"/>
                <w:color w:val="auto"/>
                <w:w w:val="9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124,941</w:t>
            </w:r>
          </w:p>
        </w:tc>
        <w:tc>
          <w:tcPr>
            <w:tcW w:w="80" w:type="dxa"/>
            <w:vAlign w:val="bottom"/>
          </w:tcPr>
          <w:p>
            <w:pPr>
              <w:spacing w:after="0"/>
              <w:rPr>
                <w:sz w:val="13"/>
                <w:szCs w:val="13"/>
                <w:color w:val="auto"/>
              </w:rPr>
            </w:pPr>
          </w:p>
        </w:tc>
      </w:tr>
      <w:tr>
        <w:trPr>
          <w:trHeight w:val="161"/>
        </w:trPr>
        <w:tc>
          <w:tcPr>
            <w:tcW w:w="49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as of January 1, 2023</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3"/>
                <w:szCs w:val="13"/>
                <w:b w:val="1"/>
                <w:bCs w:val="1"/>
                <w:color w:val="auto"/>
              </w:rPr>
              <w:t>767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w w:val="93"/>
              </w:rPr>
              <w:t>714,177</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(500,299)</w:t>
            </w:r>
          </w:p>
        </w:tc>
        <w:tc>
          <w:tcPr>
            <w:tcW w:w="52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97"/>
              </w:rPr>
              <w:t>(1,481)</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w w:val="93"/>
              </w:rPr>
              <w:t>213,164</w:t>
            </w:r>
          </w:p>
        </w:tc>
      </w:tr>
      <w:tr>
        <w:trPr>
          <w:trHeight w:val="152"/>
        </w:trPr>
        <w:tc>
          <w:tcPr>
            <w:tcW w:w="4980" w:type="dxa"/>
            <w:vAlign w:val="bottom"/>
          </w:tcPr>
          <w:p>
            <w:pPr>
              <w:spacing w:after="0"/>
              <w:rPr>
                <w:sz w:val="20"/>
                <w:szCs w:val="20"/>
                <w:color w:val="auto"/>
              </w:rPr>
            </w:pPr>
            <w:r>
              <w:rPr>
                <w:rFonts w:ascii="Arial" w:cs="Arial" w:eastAsia="Arial" w:hAnsi="Arial"/>
                <w:sz w:val="13"/>
                <w:szCs w:val="13"/>
                <w:color w:val="auto"/>
              </w:rPr>
              <w:t>Other comprehensive income</w:t>
            </w:r>
          </w:p>
        </w:tc>
        <w:tc>
          <w:tcPr>
            <w:tcW w:w="4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56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60" w:type="dxa"/>
            <w:vAlign w:val="bottom"/>
          </w:tcPr>
          <w:p>
            <w:pPr>
              <w:ind w:left="180"/>
              <w:spacing w:after="0"/>
              <w:rPr>
                <w:sz w:val="20"/>
                <w:szCs w:val="20"/>
                <w:color w:val="auto"/>
              </w:rPr>
            </w:pPr>
            <w:r>
              <w:rPr>
                <w:rFonts w:ascii="Arial" w:cs="Arial" w:eastAsia="Arial" w:hAnsi="Arial"/>
                <w:sz w:val="13"/>
                <w:szCs w:val="13"/>
                <w:color w:val="auto"/>
                <w:w w:val="73"/>
              </w:rPr>
              <w:t>340</w:t>
            </w:r>
          </w:p>
        </w:tc>
        <w:tc>
          <w:tcPr>
            <w:tcW w:w="16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340</w:t>
            </w:r>
          </w:p>
        </w:tc>
      </w:tr>
      <w:tr>
        <w:trPr>
          <w:trHeight w:val="152"/>
        </w:trPr>
        <w:tc>
          <w:tcPr>
            <w:tcW w:w="498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(44,357)</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9"/>
              </w:rPr>
              <w:t>(44,357)</w:t>
            </w:r>
          </w:p>
        </w:tc>
      </w:tr>
      <w:tr>
        <w:trPr>
          <w:trHeight w:val="152"/>
        </w:trPr>
        <w:tc>
          <w:tcPr>
            <w:tcW w:w="4980" w:type="dxa"/>
            <w:vAlign w:val="bottom"/>
          </w:tcPr>
          <w:p>
            <w:pPr>
              <w:spacing w:after="0"/>
              <w:rPr>
                <w:sz w:val="20"/>
                <w:szCs w:val="20"/>
                <w:color w:val="auto"/>
              </w:rPr>
            </w:pPr>
            <w:r>
              <w:rPr>
                <w:rFonts w:ascii="Arial" w:cs="Arial" w:eastAsia="Arial" w:hAnsi="Arial"/>
                <w:sz w:val="13"/>
                <w:szCs w:val="13"/>
                <w:b w:val="1"/>
                <w:bCs w:val="1"/>
                <w:color w:val="auto"/>
              </w:rPr>
              <w:t>Comprehensive loss for the year</w:t>
            </w:r>
          </w:p>
        </w:tc>
        <w:tc>
          <w:tcPr>
            <w:tcW w:w="4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560" w:type="dxa"/>
            <w:vAlign w:val="bottom"/>
            <w:gridSpan w:val="2"/>
          </w:tcPr>
          <w:p>
            <w:pPr>
              <w:ind w:left="260"/>
              <w:spacing w:after="0"/>
              <w:rPr>
                <w:sz w:val="20"/>
                <w:szCs w:val="20"/>
                <w:color w:val="auto"/>
              </w:rPr>
            </w:pPr>
            <w:r>
              <w:rPr>
                <w:rFonts w:ascii="Arial" w:cs="Arial" w:eastAsia="Arial" w:hAnsi="Arial"/>
                <w:sz w:val="13"/>
                <w:szCs w:val="13"/>
                <w:b w:val="1"/>
                <w:bCs w:val="1"/>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(44,357)</w:t>
            </w:r>
          </w:p>
        </w:tc>
        <w:tc>
          <w:tcPr>
            <w:tcW w:w="360" w:type="dxa"/>
            <w:vAlign w:val="bottom"/>
          </w:tcPr>
          <w:p>
            <w:pPr>
              <w:ind w:left="180"/>
              <w:spacing w:after="0"/>
              <w:rPr>
                <w:sz w:val="20"/>
                <w:szCs w:val="20"/>
                <w:color w:val="auto"/>
              </w:rPr>
            </w:pPr>
            <w:r>
              <w:rPr>
                <w:rFonts w:ascii="Arial" w:cs="Arial" w:eastAsia="Arial" w:hAnsi="Arial"/>
                <w:sz w:val="13"/>
                <w:szCs w:val="13"/>
                <w:b w:val="1"/>
                <w:bCs w:val="1"/>
                <w:color w:val="auto"/>
                <w:w w:val="73"/>
              </w:rPr>
              <w:t>340</w:t>
            </w:r>
          </w:p>
        </w:tc>
        <w:tc>
          <w:tcPr>
            <w:tcW w:w="16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99"/>
              </w:rPr>
              <w:t>(44,017)</w:t>
            </w:r>
          </w:p>
        </w:tc>
      </w:tr>
      <w:tr>
        <w:trPr>
          <w:trHeight w:val="152"/>
        </w:trPr>
        <w:tc>
          <w:tcPr>
            <w:tcW w:w="4980" w:type="dxa"/>
            <w:vAlign w:val="bottom"/>
            <w:shd w:val="clear" w:color="auto" w:fill="CCEEFF"/>
          </w:tcPr>
          <w:p>
            <w:pPr>
              <w:spacing w:after="0"/>
              <w:rPr>
                <w:sz w:val="20"/>
                <w:szCs w:val="20"/>
                <w:color w:val="auto"/>
              </w:rPr>
            </w:pPr>
            <w:r>
              <w:rPr>
                <w:rFonts w:ascii="Arial" w:cs="Arial" w:eastAsia="Arial" w:hAnsi="Arial"/>
                <w:sz w:val="13"/>
                <w:szCs w:val="13"/>
                <w:color w:val="auto"/>
              </w:rPr>
              <w:t>Equity-settled share-based compensation</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11,615</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11,615</w:t>
            </w:r>
          </w:p>
        </w:tc>
      </w:tr>
      <w:tr>
        <w:trPr>
          <w:trHeight w:val="152"/>
        </w:trPr>
        <w:tc>
          <w:tcPr>
            <w:tcW w:w="4980" w:type="dxa"/>
            <w:vAlign w:val="bottom"/>
          </w:tcPr>
          <w:p>
            <w:pPr>
              <w:spacing w:after="0"/>
              <w:rPr>
                <w:sz w:val="20"/>
                <w:szCs w:val="20"/>
                <w:color w:val="auto"/>
              </w:rPr>
            </w:pPr>
            <w:r>
              <w:rPr>
                <w:rFonts w:ascii="Arial" w:cs="Arial" w:eastAsia="Arial" w:hAnsi="Arial"/>
                <w:sz w:val="13"/>
                <w:szCs w:val="13"/>
                <w:color w:val="auto"/>
              </w:rPr>
              <w:t>Share options exercised</w:t>
            </w:r>
          </w:p>
        </w:tc>
        <w:tc>
          <w:tcPr>
            <w:tcW w:w="4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40</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2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40</w:t>
            </w:r>
          </w:p>
        </w:tc>
      </w:tr>
      <w:tr>
        <w:trPr>
          <w:trHeight w:val="152"/>
        </w:trPr>
        <w:tc>
          <w:tcPr>
            <w:tcW w:w="4980" w:type="dxa"/>
            <w:vAlign w:val="bottom"/>
            <w:shd w:val="clear" w:color="auto" w:fill="CCEEFF"/>
          </w:tcPr>
          <w:p>
            <w:pPr>
              <w:spacing w:after="0"/>
              <w:rPr>
                <w:sz w:val="20"/>
                <w:szCs w:val="20"/>
                <w:color w:val="auto"/>
              </w:rPr>
            </w:pPr>
            <w:r>
              <w:rPr>
                <w:rFonts w:ascii="Arial" w:cs="Arial" w:eastAsia="Arial" w:hAnsi="Arial"/>
                <w:sz w:val="13"/>
                <w:szCs w:val="13"/>
                <w:color w:val="auto"/>
              </w:rPr>
              <w:t>Issue of share capital - net of transaction costs</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37,374</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37,411</w:t>
            </w:r>
          </w:p>
        </w:tc>
      </w:tr>
      <w:tr>
        <w:trPr>
          <w:trHeight w:val="159"/>
        </w:trPr>
        <w:tc>
          <w:tcPr>
            <w:tcW w:w="4980" w:type="dxa"/>
            <w:vAlign w:val="bottom"/>
          </w:tcPr>
          <w:p>
            <w:pPr>
              <w:spacing w:after="0"/>
              <w:rPr>
                <w:sz w:val="20"/>
                <w:szCs w:val="20"/>
                <w:color w:val="auto"/>
              </w:rPr>
            </w:pPr>
            <w:r>
              <w:rPr>
                <w:rFonts w:ascii="Arial" w:cs="Arial" w:eastAsia="Arial" w:hAnsi="Arial"/>
                <w:sz w:val="13"/>
                <w:szCs w:val="13"/>
                <w:b w:val="1"/>
                <w:bCs w:val="1"/>
                <w:color w:val="auto"/>
              </w:rPr>
              <w:t>Balance as of June 30, 2023</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3"/>
                <w:szCs w:val="13"/>
                <w:b w:val="1"/>
                <w:bCs w:val="1"/>
                <w:color w:val="auto"/>
                <w:w w:val="73"/>
              </w:rPr>
              <w:t>804</w:t>
            </w:r>
          </w:p>
        </w:tc>
        <w:tc>
          <w:tcPr>
            <w:tcW w:w="12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763,206</w:t>
            </w:r>
          </w:p>
        </w:tc>
        <w:tc>
          <w:tcPr>
            <w:tcW w:w="10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(544,656)</w:t>
            </w:r>
          </w:p>
        </w:tc>
        <w:tc>
          <w:tcPr>
            <w:tcW w:w="16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(1,141</w:t>
            </w:r>
          </w:p>
        </w:tc>
        <w:tc>
          <w:tcPr>
            <w:tcW w:w="160" w:type="dxa"/>
            <w:vAlign w:val="bottom"/>
          </w:tcPr>
          <w:p>
            <w:pPr>
              <w:jc w:val="right"/>
              <w:ind w:right="37"/>
              <w:spacing w:after="0"/>
              <w:rPr>
                <w:sz w:val="20"/>
                <w:szCs w:val="20"/>
                <w:color w:val="auto"/>
              </w:rPr>
            </w:pPr>
            <w:r>
              <w:rPr>
                <w:rFonts w:ascii="Arial" w:cs="Arial" w:eastAsia="Arial" w:hAnsi="Arial"/>
                <w:sz w:val="13"/>
                <w:szCs w:val="13"/>
                <w:b w:val="1"/>
                <w:bCs w:val="1"/>
                <w:color w:val="auto"/>
                <w:w w:val="9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218,213</w:t>
            </w:r>
          </w:p>
        </w:tc>
        <w:tc>
          <w:tcPr>
            <w:tcW w:w="80" w:type="dxa"/>
            <w:vAlign w:val="bottom"/>
          </w:tcPr>
          <w:p>
            <w:pPr>
              <w:spacing w:after="0"/>
              <w:rPr>
                <w:sz w:val="13"/>
                <w:szCs w:val="13"/>
                <w:color w:val="auto"/>
              </w:rPr>
            </w:pPr>
          </w:p>
        </w:tc>
      </w:tr>
      <w:tr>
        <w:trPr>
          <w:trHeight w:val="265"/>
        </w:trPr>
        <w:tc>
          <w:tcPr>
            <w:tcW w:w="4980" w:type="dxa"/>
            <w:vAlign w:val="bottom"/>
          </w:tcPr>
          <w:p>
            <w:pPr>
              <w:spacing w:after="0"/>
              <w:rPr>
                <w:sz w:val="20"/>
                <w:szCs w:val="20"/>
                <w:color w:val="auto"/>
              </w:rPr>
            </w:pPr>
            <w:r>
              <w:rPr>
                <w:rFonts w:ascii="Arial" w:cs="Arial" w:eastAsia="Arial" w:hAnsi="Arial"/>
                <w:sz w:val="13"/>
                <w:szCs w:val="13"/>
                <w:color w:val="auto"/>
              </w:rPr>
              <w:t>Immatics Press Release August 17, 2023</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11 | 11</w:t>
            </w:r>
          </w:p>
        </w:tc>
      </w:tr>
    </w:tbl>
    <w:p>
      <w:pPr>
        <w:sectPr>
          <w:pgSz w:w="11900" w:h="16838" w:orient="portrait"/>
          <w:cols w:equalWidth="0" w:num="1">
            <w:col w:w="9019"/>
          </w:cols>
          <w:pgMar w:left="1440" w:top="961" w:right="1440" w:bottom="1440" w:gutter="0" w:footer="0" w:header="0"/>
        </w:sectPr>
      </w:pPr>
    </w:p>
    <w:bookmarkStart w:id="45" w:name="page46"/>
    <w:bookmarkEnd w:id="4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04"/>
    </w:lvl>
  </w:abstractNum>
  <w:abstractNum w:abstractNumId="1">
    <w:nsid w:val="140E0F76"/>
    <w:multiLevelType w:val="hybridMultilevel"/>
    <w:lvl w:ilvl="0">
      <w:lvlJc w:val="left"/>
      <w:lvlText w:val="%1."/>
      <w:numFmt w:val="decimal"/>
      <w:start w:val="3"/>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lvl w:ilvl="1">
      <w:lvlJc w:val="left"/>
      <w:lvlText w:val="%2"/>
      <w:numFmt w:val="decimal"/>
      <w:start w:val="11"/>
    </w:lvl>
  </w:abstractNum>
  <w:abstractNum w:abstractNumId="6">
    <w:nsid w:val="1BEFD79F"/>
    <w:multiLevelType w:val="hybridMultilevel"/>
    <w:lvl w:ilvl="0">
      <w:lvlJc w:val="left"/>
      <w:lvlText w:val="•"/>
      <w:numFmt w:val="bullet"/>
      <w:start w:val="1"/>
    </w:lvl>
    <w:lvl w:ilvl="1">
      <w:lvlJc w:val="left"/>
      <w:lvlText w:val="%2."/>
      <w:numFmt w:val="decimal"/>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8"/>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bullet"/>
      <w:start w:val="1"/>
    </w:lvl>
  </w:abstractNum>
  <w:abstractNum w:abstractNumId="16">
    <w:nsid w:val="62BBD95A"/>
    <w:multiLevelType w:val="hybridMultilevel"/>
    <w:lvl w:ilvl="0">
      <w:lvlJc w:val="left"/>
      <w:lvlText w:val="•"/>
      <w:numFmt w:val="bullet"/>
      <w:start w:val="1"/>
    </w:lvl>
    <w:lvl w:ilvl="1">
      <w:lvlJc w:val="left"/>
      <w:lvlText w:val="%2."/>
      <w:numFmt w:val="decimal"/>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2"/>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3"/>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2023-08-17T06:16:17Z</dcterms:created>
  <dcterms:modified xsi:type="dcterms:W3CDTF">2023-08-17T06:16:17Z</dcterms:modified>
</cp:coreProperties>
</file>