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Hothum Mathias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PAUL-EHRLICH-STR. 15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TUBINGEN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2M</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72076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Immatics N.V.</w:t>
              </w:r>
            </w:hyperlink>
            <w:r>
              <w:rPr/>
              <w:t xml:space="preserve"> [ </w:t>
            </w:r>
            <w:r>
              <w:rPr>
                <w:rFonts w:ascii="Times;serif" w:hAnsi="Times;serif"/>
                <w:color w:val="0000FF"/>
                <w:sz w:val="24"/>
                <w:shd w:fill="FFFFFF" w:val="clear"/>
              </w:rPr>
              <w:t>IMTX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9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61"/>
        <w:gridCol w:w="801"/>
        <w:gridCol w:w="801"/>
        <w:gridCol w:w="936"/>
        <w:gridCol w:w="831"/>
        <w:gridCol w:w="846"/>
      </w:tblGrid>
      <w:tr>
        <w:trPr>
          <w:tblHeader w:val="true"/>
        </w:trPr>
        <w:tc>
          <w:tcPr>
            <w:tcW w:w="119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9.09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06/15/2036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Options vest 100% on the first anniversary of the grant date, June 16,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Edward Sturchio, attorney-in-fact for Mathias Hothum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dp248661_ex2401.htm"/>
      <w:bookmarkStart w:id="3" w:name="ksdp248661_ex240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Edward Sturchio, Ephraim Hofsäß, Lorenzo Gerardi and Mona Rinn as the undersigned’s true and lawful attorneys-in-fact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system or successor EDGAR Next, including identification codes, verification codes, passwords and password management codes, and any related annual certifications or confirmations, and to act as the undersigned’s agent for such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 for and on behalf of the undersigned, in the undersigned’s capacity as a reporting person pursuant to Section 16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thereunder of Immatics N.V.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Forms 3, 4 and 5, including any amendments thereto, in accordance with Section 16(a)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any applicable stock exchange or similar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prepare, execute and file, or cause to be prepared, executed and filed, on behalf of the undersigned one or more Forms 144, or any amendments thereto, relating to any sales orders (including in connection with the exercise of options to purchase the Company’s common stock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orally or electronically, to sell shares of common stock to the public from time to time in accordance with Rule 144 under the Securities Act of 1933, as amended;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11th day of June, 2026.</w:t>
      </w:r>
    </w:p>
    <w:p>
      <w:pPr>
        <w:pStyle w:val="TextBody"/>
        <w:bidi w:val="0"/>
        <w:spacing w:before="0" w:after="0"/>
        <w:ind w:left="0" w:right="0" w:firstLine="720"/>
        <w:jc w:val="left"/>
        <w:rPr>
          <w:caps w:val="false"/>
          <w:smallCaps w:val="false"/>
        </w:rPr>
      </w:pPr>
      <w:r>
        <w:rPr>
          <w:caps w:val="false"/>
          <w:smallCaps w:val="false"/>
        </w:rPr>
        <w:t> </w:t>
      </w:r>
    </w:p>
    <w:tbl>
      <w:tblPr>
        <w:tblW w:w="3220" w:type="dxa"/>
        <w:jc w:val="left"/>
        <w:tblInd w:w="0" w:type="dxa"/>
        <w:tblLayout w:type="fixed"/>
        <w:tblCellMar>
          <w:top w:w="60" w:type="dxa"/>
          <w:left w:w="60" w:type="dxa"/>
          <w:bottom w:w="60" w:type="dxa"/>
          <w:right w:w="60" w:type="dxa"/>
        </w:tblCellMar>
      </w:tblPr>
      <w:tblGrid>
        <w:gridCol w:w="195"/>
        <w:gridCol w:w="980"/>
        <w:gridCol w:w="2045"/>
      </w:tblGrid>
      <w:tr>
        <w:trPr/>
        <w:tc>
          <w:tcPr>
            <w:tcW w:w="19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20"/>
              </w:rPr>
            </w:pPr>
            <w:r>
              <w:rPr>
                <w:sz w:val="20"/>
              </w:rPr>
              <w:t>Name:</w:t>
            </w:r>
          </w:p>
        </w:tc>
        <w:tc>
          <w:tcPr>
            <w:tcW w:w="2045" w:type="dxa"/>
            <w:tcBorders/>
            <w:vAlign w:val="center"/>
          </w:tcPr>
          <w:p>
            <w:pPr>
              <w:pStyle w:val="TableContents"/>
              <w:bidi w:val="0"/>
              <w:spacing w:before="0" w:after="283"/>
              <w:jc w:val="left"/>
              <w:rPr>
                <w:sz w:val="20"/>
              </w:rPr>
            </w:pPr>
            <w:r>
              <w:rPr>
                <w:sz w:val="20"/>
              </w:rPr>
              <w:t>Dr. Mathias Hothum</w:t>
            </w:r>
          </w:p>
        </w:tc>
      </w:tr>
      <w:tr>
        <w:trPr/>
        <w:tc>
          <w:tcPr>
            <w:tcW w:w="19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20"/>
              </w:rPr>
            </w:pPr>
            <w:r>
              <w:rPr>
                <w:sz w:val="20"/>
              </w:rPr>
              <w:t>Signature:</w:t>
            </w:r>
          </w:p>
        </w:tc>
        <w:tc>
          <w:tcPr>
            <w:tcW w:w="204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sz w:val="20"/>
              </w:rPr>
            </w:pPr>
            <w:r>
              <w:rPr>
                <w:sz w:val="20"/>
              </w:rPr>
              <w:t>/s/ Dr. Mathias Hothum</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8385" TargetMode="External"/><Relationship Id="rId5" Type="http://schemas.openxmlformats.org/officeDocument/2006/relationships/hyperlink" Target="http://www.sec.gov/cgi-bin/browse-edgar?action=getcompany&amp;CIK=00018091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1276</Words>
  <Characters>6807</Characters>
  <CharactersWithSpaces>8032</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