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IMMATICS N.V.</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Ordinary shares, nominal value €0.01 per share</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N44445109</w:t>
      </w:r>
    </w:p>
    <w:p>
      <w:pPr>
        <w:spacing w:after="0" w:line="3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6" w:lineRule="exact"/>
        <w:rPr>
          <w:sz w:val="24"/>
          <w:szCs w:val="24"/>
          <w:color w:val="auto"/>
        </w:rPr>
      </w:pPr>
    </w:p>
    <w:p>
      <w:pPr>
        <w:ind w:left="98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Rule 13d-1(d)</w:t>
      </w:r>
    </w:p>
    <w:p>
      <w:pPr>
        <w:spacing w:after="0" w:line="253" w:lineRule="exact"/>
        <w:rPr>
          <w:sz w:val="24"/>
          <w:szCs w:val="24"/>
          <w:color w:val="auto"/>
        </w:rPr>
      </w:pPr>
    </w:p>
    <w:p>
      <w:pPr>
        <w:ind w:left="980" w:right="120" w:hanging="324"/>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509" w:right="73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dievini Hopp BioTech holding GmbH &amp; Co. KG</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7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26.2%</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DH-Capital GmbH &amp; Co. KG</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16,476,073 ordinary shares common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26.2%</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OH Beteiligungen GmbH &amp; Co. KG</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7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16,476,073 ordinary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16,476,073 ordinary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26.2%</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Dietmar Hopp</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16,476,073 ordinary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26.2%</w:t>
            </w:r>
            <w:r>
              <w:rPr>
                <w:rFonts w:ascii="Times New Roman" w:cs="Times New Roman" w:eastAsia="Times New Roman" w:hAnsi="Times New Roman"/>
                <w:sz w:val="29"/>
                <w:szCs w:val="29"/>
                <w:color w:val="auto"/>
                <w:w w:val="92"/>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5" w:name="page6"/>
    <w:bookmarkEnd w:id="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Oliver Hopp</w:t>
            </w: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640" w:type="dxa"/>
            <w:vAlign w:val="bottom"/>
            <w:tcBorders>
              <w:bottom w:val="single" w:sz="8" w:color="auto"/>
            </w:tcBorders>
          </w:tcPr>
          <w:p>
            <w:pPr>
              <w:jc w:val="right"/>
              <w:ind w:right="133"/>
              <w:spacing w:after="0" w:line="403" w:lineRule="exact"/>
              <w:rPr>
                <w:sz w:val="20"/>
                <w:szCs w:val="20"/>
                <w:color w:val="auto"/>
              </w:rPr>
            </w:pPr>
            <w:r>
              <w:rPr>
                <w:rFonts w:ascii="MS PGothic" w:cs="MS PGothic" w:eastAsia="MS PGothic" w:hAnsi="MS PGothic"/>
                <w:sz w:val="35"/>
                <w:szCs w:val="35"/>
                <w:color w:val="auto"/>
                <w:w w:val="89"/>
                <w:vertAlign w:val="subscript"/>
              </w:rPr>
              <w:t>☐</w:t>
            </w:r>
            <w:r>
              <w:rPr>
                <w:rFonts w:ascii="Times New Roman" w:cs="Times New Roman" w:eastAsia="Times New Roman" w:hAnsi="Times New Roman"/>
                <w:sz w:val="15"/>
                <w:szCs w:val="15"/>
                <w:color w:val="auto"/>
                <w:w w:val="89"/>
              </w:rPr>
              <w:t xml:space="preserve"> (1)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380" w:type="dxa"/>
            <w:vAlign w:val="bottom"/>
          </w:tcPr>
          <w:p>
            <w:pPr>
              <w:spacing w:after="0"/>
              <w:rPr>
                <w:sz w:val="21"/>
                <w:szCs w:val="21"/>
                <w:color w:val="auto"/>
              </w:rPr>
            </w:pPr>
          </w:p>
        </w:tc>
        <w:tc>
          <w:tcPr>
            <w:tcW w:w="6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380" w:type="dxa"/>
            <w:vAlign w:val="bottom"/>
          </w:tcPr>
          <w:p>
            <w:pPr>
              <w:spacing w:after="0"/>
              <w:rPr>
                <w:sz w:val="16"/>
                <w:szCs w:val="16"/>
                <w:color w:val="auto"/>
              </w:rPr>
            </w:pPr>
          </w:p>
        </w:tc>
        <w:tc>
          <w:tcPr>
            <w:tcW w:w="640" w:type="dxa"/>
            <w:vAlign w:val="bottom"/>
            <w:tcBorders>
              <w:right w:val="single" w:sz="8" w:color="auto"/>
            </w:tcBorders>
          </w:tcPr>
          <w:p>
            <w:pPr>
              <w:jc w:val="right"/>
              <w:ind w:right="313"/>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16,476,073 ordinary shares</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26.2%</w:t>
            </w:r>
            <w:r>
              <w:rPr>
                <w:rFonts w:ascii="Times New Roman" w:cs="Times New Roman" w:eastAsia="Times New Roman" w:hAnsi="Times New Roman"/>
                <w:sz w:val="29"/>
                <w:szCs w:val="29"/>
                <w:color w:val="auto"/>
                <w:w w:val="92"/>
                <w:vertAlign w:val="superscript"/>
              </w:rPr>
              <w:t>(3)</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6" w:name="page7"/>
    <w:bookmarkEnd w:id="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7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Daniel Hopp</w:t>
            </w:r>
          </w:p>
        </w:tc>
        <w:tc>
          <w:tcPr>
            <w:tcW w:w="70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w:t>
            </w:r>
          </w:p>
        </w:tc>
        <w:tc>
          <w:tcPr>
            <w:tcW w:w="700" w:type="dxa"/>
            <w:vAlign w:val="bottom"/>
            <w:tcBorders>
              <w:bottom w:val="single" w:sz="8" w:color="auto"/>
            </w:tcBorders>
          </w:tcPr>
          <w:p>
            <w:pPr>
              <w:jc w:val="center"/>
              <w:ind w:right="193"/>
              <w:spacing w:after="0" w:line="403" w:lineRule="exact"/>
              <w:rPr>
                <w:sz w:val="20"/>
                <w:szCs w:val="20"/>
                <w:color w:val="auto"/>
              </w:rPr>
            </w:pPr>
            <w:r>
              <w:rPr>
                <w:rFonts w:ascii="MS PGothic" w:cs="MS PGothic" w:eastAsia="MS PGothic" w:hAnsi="MS PGothic"/>
                <w:sz w:val="35"/>
                <w:szCs w:val="35"/>
                <w:color w:val="auto"/>
                <w:w w:val="85"/>
                <w:vertAlign w:val="subscript"/>
              </w:rPr>
              <w:t>☐</w:t>
            </w:r>
            <w:r>
              <w:rPr>
                <w:rFonts w:ascii="Times New Roman" w:cs="Times New Roman" w:eastAsia="Times New Roman" w:hAnsi="Times New Roman"/>
                <w:sz w:val="15"/>
                <w:szCs w:val="15"/>
                <w:color w:val="auto"/>
                <w:w w:val="85"/>
              </w:rPr>
              <w:t xml:space="preserve"> (1)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70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right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spacing w:after="0"/>
              <w:rPr>
                <w:sz w:val="21"/>
                <w:szCs w:val="21"/>
                <w:color w:val="auto"/>
              </w:rPr>
            </w:pPr>
          </w:p>
        </w:tc>
        <w:tc>
          <w:tcPr>
            <w:tcW w:w="7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spacing w:after="0"/>
              <w:rPr>
                <w:sz w:val="16"/>
                <w:szCs w:val="16"/>
                <w:color w:val="auto"/>
              </w:rPr>
            </w:pPr>
          </w:p>
        </w:tc>
        <w:tc>
          <w:tcPr>
            <w:tcW w:w="700" w:type="dxa"/>
            <w:vAlign w:val="bottom"/>
            <w:tcBorders>
              <w:right w:val="single" w:sz="8" w:color="auto"/>
            </w:tcBorders>
          </w:tcPr>
          <w:p>
            <w:pPr>
              <w:jc w:val="right"/>
              <w:ind w:right="313"/>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right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26.2%</w:t>
            </w:r>
            <w:r>
              <w:rPr>
                <w:rFonts w:ascii="Times New Roman" w:cs="Times New Roman" w:eastAsia="Times New Roman" w:hAnsi="Times New Roman"/>
                <w:sz w:val="29"/>
                <w:szCs w:val="29"/>
                <w:color w:val="auto"/>
                <w:w w:val="92"/>
                <w:vertAlign w:val="superscript"/>
              </w:rPr>
              <w:t>(3)</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7" w:name="page8"/>
    <w:bookmarkEnd w:id="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Prof. Dr. Friedrich von Bohlen und Halbach</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26.2%</w:t>
            </w:r>
            <w:r>
              <w:rPr>
                <w:rFonts w:ascii="Times New Roman" w:cs="Times New Roman" w:eastAsia="Times New Roman" w:hAnsi="Times New Roman"/>
                <w:sz w:val="29"/>
                <w:szCs w:val="29"/>
                <w:color w:val="auto"/>
                <w:w w:val="92"/>
                <w:vertAlign w:val="superscript"/>
              </w:rPr>
              <w:t>(5)</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sz w:val="20"/>
          <w:szCs w:val="20"/>
          <w:color w:val="auto"/>
        </w:rPr>
      </w:pPr>
    </w:p>
    <w:p>
      <w:pPr>
        <w:ind w:left="340" w:right="20" w:hanging="332"/>
        <w:spacing w:after="0" w:line="260"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8" w:name="page9"/>
    <w:bookmarkEnd w:id="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-136525</wp:posOffset>
            </wp:positionV>
            <wp:extent cx="30086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780" w:space="720"/>
            <w:col w:w="2000" w:space="720"/>
            <w:col w:w="302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Prof. Dr. Christof Hettich</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16,476,073 ordinary shares</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26.2</w:t>
            </w:r>
            <w:r>
              <w:rPr>
                <w:rFonts w:ascii="Times New Roman" w:cs="Times New Roman" w:eastAsia="Times New Roman" w:hAnsi="Times New Roman"/>
                <w:sz w:val="29"/>
                <w:szCs w:val="29"/>
                <w:color w:val="auto"/>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9" w:name="page10"/>
    <w:bookmarkEnd w:id="9"/>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-128905</wp:posOffset>
            </wp:positionV>
            <wp:extent cx="30086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80" w:space="720"/>
            <w:col w:w="1960" w:space="720"/>
            <w:col w:w="3060"/>
          </w:cols>
          <w:pgMar w:left="320" w:top="1134" w:right="339" w:bottom="1440" w:gutter="0" w:footer="0" w:header="0"/>
        </w:sectPr>
      </w:pP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680" w:type="dxa"/>
            <w:vAlign w:val="bottom"/>
            <w:tcBorders>
              <w:top w:val="single" w:sz="8" w:color="auto"/>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right w:val="single" w:sz="8" w:color="auto"/>
            </w:tcBorders>
          </w:tcPr>
          <w:p>
            <w:pPr>
              <w:spacing w:after="0"/>
              <w:rPr>
                <w:sz w:val="22"/>
                <w:szCs w:val="22"/>
                <w:color w:val="auto"/>
              </w:rPr>
            </w:pPr>
          </w:p>
        </w:tc>
        <w:tc>
          <w:tcPr>
            <w:tcW w:w="1030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Dr. Mathias Hothum</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1020" w:type="dxa"/>
            <w:vAlign w:val="bottom"/>
            <w:tcBorders>
              <w:bottom w:val="single" w:sz="8" w:color="auto"/>
            </w:tcBorders>
          </w:tcPr>
          <w:p>
            <w:pPr>
              <w:jc w:val="right"/>
              <w:ind w:right="130"/>
              <w:spacing w:after="0" w:line="334"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(1)</w:t>
            </w: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8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5"/>
              </w:rPr>
              <w:t>Germany</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21"/>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252"/>
        </w:trPr>
        <w:tc>
          <w:tcPr>
            <w:tcW w:w="680" w:type="dxa"/>
            <w:vAlign w:val="bottom"/>
            <w:tcBorders>
              <w:left w:val="single" w:sz="8" w:color="auto"/>
            </w:tcBorders>
          </w:tcPr>
          <w:p>
            <w:pPr>
              <w:spacing w:after="0"/>
              <w:rPr>
                <w:sz w:val="21"/>
                <w:szCs w:val="21"/>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102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jc w:val="center"/>
              <w:ind w:right="430"/>
              <w:spacing w:after="0" w:line="184" w:lineRule="exact"/>
              <w:rPr>
                <w:sz w:val="20"/>
                <w:szCs w:val="20"/>
                <w:color w:val="auto"/>
              </w:rPr>
            </w:pPr>
            <w:r>
              <w:rPr>
                <w:rFonts w:ascii="Times New Roman" w:cs="Times New Roman" w:eastAsia="Times New Roman" w:hAnsi="Times New Roman"/>
                <w:sz w:val="18"/>
                <w:szCs w:val="18"/>
                <w:color w:val="auto"/>
                <w:w w:val="99"/>
              </w:rPr>
              <w:t>Each</w:t>
            </w:r>
          </w:p>
        </w:tc>
        <w:tc>
          <w:tcPr>
            <w:tcW w:w="1020" w:type="dxa"/>
            <w:vAlign w:val="bottom"/>
            <w:tcBorders>
              <w:right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7.</w:t>
            </w:r>
          </w:p>
        </w:tc>
        <w:tc>
          <w:tcPr>
            <w:tcW w:w="8500" w:type="dxa"/>
            <w:vAlign w:val="bottom"/>
            <w:tcBorders>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Reporting</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7"/>
              </w:rPr>
              <w:t>Person</w:t>
            </w:r>
          </w:p>
        </w:tc>
        <w:tc>
          <w:tcPr>
            <w:tcW w:w="102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 ordinary shares</w:t>
            </w:r>
          </w:p>
        </w:tc>
        <w:tc>
          <w:tcPr>
            <w:tcW w:w="0" w:type="dxa"/>
            <w:vAlign w:val="bottom"/>
          </w:tcPr>
          <w:p>
            <w:pPr>
              <w:spacing w:after="0"/>
              <w:rPr>
                <w:sz w:val="1"/>
                <w:szCs w:val="1"/>
                <w:color w:val="auto"/>
              </w:rPr>
            </w:pPr>
          </w:p>
        </w:tc>
      </w:tr>
      <w:tr>
        <w:trPr>
          <w:trHeight w:val="39"/>
        </w:trPr>
        <w:tc>
          <w:tcPr>
            <w:tcW w:w="680" w:type="dxa"/>
            <w:vAlign w:val="bottom"/>
            <w:tcBorders>
              <w:left w:val="single" w:sz="8" w:color="auto"/>
            </w:tcBorders>
          </w:tcPr>
          <w:p>
            <w:pPr>
              <w:spacing w:after="0"/>
              <w:rPr>
                <w:sz w:val="3"/>
                <w:szCs w:val="3"/>
                <w:color w:val="auto"/>
              </w:rPr>
            </w:pPr>
          </w:p>
        </w:tc>
        <w:tc>
          <w:tcPr>
            <w:tcW w:w="1040" w:type="dxa"/>
            <w:vAlign w:val="bottom"/>
            <w:tcBorders>
              <w:right w:val="single" w:sz="8" w:color="auto"/>
            </w:tcBorders>
            <w:gridSpan w:val="2"/>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w w:val="97"/>
              </w:rPr>
              <w:t>With:</w:t>
            </w:r>
          </w:p>
        </w:tc>
        <w:tc>
          <w:tcPr>
            <w:tcW w:w="1020" w:type="dxa"/>
            <w:vAlign w:val="bottom"/>
            <w:tcBorders>
              <w:bottom w:val="single" w:sz="8" w:color="auto"/>
              <w:right w:val="single" w:sz="8" w:color="auto"/>
            </w:tcBorders>
          </w:tcPr>
          <w:p>
            <w:pPr>
              <w:spacing w:after="0"/>
              <w:rPr>
                <w:sz w:val="3"/>
                <w:szCs w:val="3"/>
                <w:color w:val="auto"/>
              </w:rPr>
            </w:pPr>
          </w:p>
        </w:tc>
        <w:tc>
          <w:tcPr>
            <w:tcW w:w="8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gridSpan w:val="2"/>
            <w:vMerge w:val="continue"/>
          </w:tcPr>
          <w:p>
            <w:pPr>
              <w:spacing w:after="0"/>
              <w:rPr>
                <w:sz w:val="20"/>
                <w:szCs w:val="20"/>
                <w:color w:val="auto"/>
              </w:rPr>
            </w:pPr>
          </w:p>
        </w:tc>
        <w:tc>
          <w:tcPr>
            <w:tcW w:w="102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5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16,476,073 ordinary shares </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16,476,073 ordinary shares</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10.</w:t>
            </w:r>
          </w:p>
        </w:tc>
        <w:tc>
          <w:tcPr>
            <w:tcW w:w="26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680" w:type="dxa"/>
            <w:vAlign w:val="bottom"/>
            <w:tcBorders>
              <w:left w:val="single" w:sz="8" w:color="auto"/>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11.</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6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26.2</w:t>
            </w:r>
            <w:r>
              <w:rPr>
                <w:rFonts w:ascii="Times New Roman" w:cs="Times New Roman" w:eastAsia="Times New Roman" w:hAnsi="Times New Roman"/>
                <w:sz w:val="29"/>
                <w:szCs w:val="29"/>
                <w:color w:val="auto"/>
                <w:vertAlign w:val="superscript"/>
              </w:rPr>
              <w:t>(3)</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7"/>
              </w:rPr>
              <w:t>12.</w:t>
            </w:r>
          </w:p>
        </w:tc>
        <w:tc>
          <w:tcPr>
            <w:tcW w:w="26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21"/>
        </w:trPr>
        <w:tc>
          <w:tcPr>
            <w:tcW w:w="68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020" w:type="dxa"/>
            <w:vAlign w:val="bottom"/>
            <w:tcBorders>
              <w:bottom w:val="single" w:sz="8" w:color="auto"/>
            </w:tcBorders>
          </w:tcPr>
          <w:p>
            <w:pPr>
              <w:spacing w:after="0"/>
              <w:rPr>
                <w:sz w:val="24"/>
                <w:szCs w:val="24"/>
                <w:color w:val="auto"/>
              </w:rPr>
            </w:pPr>
          </w:p>
        </w:tc>
        <w:tc>
          <w:tcPr>
            <w:tcW w:w="8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40" w:hanging="332"/>
        <w:spacing w:after="0" w:line="25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dievini.</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0" w:name="page11"/>
    <w:bookmarkEnd w:id="10"/>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-128905</wp:posOffset>
            </wp:positionV>
            <wp:extent cx="30086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80" w:space="720"/>
            <w:col w:w="1920" w:space="720"/>
            <w:col w:w="3100"/>
          </w:cols>
          <w:pgMar w:left="320" w:top="1134" w:right="339" w:bottom="1440" w:gutter="0" w:footer="0" w:header="0"/>
        </w:sectPr>
      </w:pPr>
    </w:p>
    <w:p>
      <w:pPr>
        <w:spacing w:after="0" w:line="5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Introductory Note: 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in respect of ordinary shares of Immatics N.V.</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Immatics N.V.</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Paul-Ehrlich-Straße 15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72076 Tübingen, Germany</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Items 2(a)</w:t>
      </w:r>
      <w:r>
        <w:rPr>
          <w:sz w:val="20"/>
          <w:szCs w:val="20"/>
          <w:color w:val="auto"/>
        </w:rPr>
        <w:tab/>
      </w:r>
      <w:r>
        <w:rPr>
          <w:rFonts w:ascii="Times New Roman" w:cs="Times New Roman" w:eastAsia="Times New Roman" w:hAnsi="Times New Roman"/>
          <w:sz w:val="17"/>
          <w:szCs w:val="17"/>
          <w:b w:val="1"/>
          <w:bCs w:val="1"/>
          <w:color w:val="auto"/>
        </w:rPr>
        <w:t>Name of Reporting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dievini Hopp BioTech holding GmbH &amp; Co. KG (“dievini”)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DH-Capital GmbH &amp; Co. KG (“DH-Capital”)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OH Beteiligungen GmbH &amp; Co. KG (“OH Beteiligungen”)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Dietmar Hopp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Oliver Hopp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Daniel Hopp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Prof. Dr. Friedrich von Bohlen und Halbach (“Dr. von Bohlen”)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Prof. Dr. Christof Hettich (“Dr. Hettich”)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 Mathias Hothum (“Dr. Hothum”)</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or principal business office or, if none, residence:</w:t>
      </w:r>
    </w:p>
    <w:p>
      <w:pPr>
        <w:spacing w:after="0" w:line="229" w:lineRule="exact"/>
        <w:rPr>
          <w:sz w:val="20"/>
          <w:szCs w:val="20"/>
          <w:color w:val="auto"/>
        </w:rPr>
      </w:pPr>
    </w:p>
    <w:p>
      <w:pPr>
        <w:ind w:left="980" w:right="56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dievini, Dietmar Hopp, Dr. von Bohlen, Dr. Hettich and Dr. Hothum is c/o dievini Hopp BioTech holding GmbH &amp; Co. KG, Johann-Jakob-Astor Straße 57, 69190 Walldorf, Germany.</w:t>
      </w:r>
    </w:p>
    <w:p>
      <w:pPr>
        <w:spacing w:after="0" w:line="162" w:lineRule="exact"/>
        <w:rPr>
          <w:sz w:val="20"/>
          <w:szCs w:val="20"/>
          <w:color w:val="auto"/>
        </w:rPr>
      </w:pPr>
    </w:p>
    <w:p>
      <w:pPr>
        <w:ind w:left="980" w:right="48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DH-Capital GmbH &amp; Co. KG and OH Beteiligungen GmbH &amp; Co. KG is Opelstraße 28, 68789 St. Leon-Rot, Germany.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Oliver Hopp is Johann-Jakob-Astor-Straße 59, 69190 Walldorf, Germany.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Daniel Hopp is Johann-Jakob-Astor-Straße 59, 69190 Walldorf, Germany.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tc>
        <w:tc>
          <w:tcPr>
            <w:tcW w:w="120" w:type="dxa"/>
            <w:vAlign w:val="bottom"/>
          </w:tcPr>
          <w:p>
            <w:pPr>
              <w:spacing w:after="0"/>
              <w:rPr>
                <w:sz w:val="20"/>
                <w:szCs w:val="20"/>
                <w:color w:val="auto"/>
              </w:rPr>
            </w:pPr>
          </w:p>
        </w:tc>
        <w:tc>
          <w:tcPr>
            <w:tcW w:w="9080" w:type="dxa"/>
            <w:vAlign w:val="bottom"/>
          </w:tcPr>
          <w:p>
            <w:pPr>
              <w:spacing w:after="0"/>
              <w:rPr>
                <w:sz w:val="20"/>
                <w:szCs w:val="20"/>
                <w:color w:val="auto"/>
              </w:rPr>
            </w:pPr>
          </w:p>
        </w:tc>
      </w:tr>
      <w:tr>
        <w:trPr>
          <w:trHeight w:val="439"/>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Dievini</w:t>
            </w:r>
          </w:p>
        </w:tc>
        <w:tc>
          <w:tcPr>
            <w:tcW w:w="120" w:type="dxa"/>
            <w:vAlign w:val="bottom"/>
            <w:tcBorders>
              <w:top w:val="single" w:sz="8" w:color="CCEEFF"/>
            </w:tcBorders>
            <w:shd w:val="clear" w:color="auto" w:fill="CCEEFF"/>
          </w:tcPr>
          <w:p>
            <w:pPr>
              <w:spacing w:after="0"/>
              <w:rPr>
                <w:sz w:val="18"/>
                <w:szCs w:val="18"/>
                <w:color w:val="auto"/>
              </w:rPr>
            </w:pPr>
          </w:p>
        </w:tc>
        <w:tc>
          <w:tcPr>
            <w:tcW w:w="9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DH-Capital</w:t>
            </w:r>
          </w:p>
        </w:tc>
        <w:tc>
          <w:tcPr>
            <w:tcW w:w="9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 Beteiligungen</w:t>
            </w:r>
          </w:p>
        </w:tc>
        <w:tc>
          <w:tcPr>
            <w:tcW w:w="9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Dietmar Hopp</w:t>
            </w:r>
          </w:p>
        </w:tc>
        <w:tc>
          <w:tcPr>
            <w:tcW w:w="9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Oliver Hopp</w:t>
            </w:r>
          </w:p>
        </w:tc>
        <w:tc>
          <w:tcPr>
            <w:tcW w:w="9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Daniel Hopp</w:t>
            </w:r>
          </w:p>
        </w:tc>
        <w:tc>
          <w:tcPr>
            <w:tcW w:w="9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von Bohlen</w:t>
            </w:r>
          </w:p>
        </w:tc>
        <w:tc>
          <w:tcPr>
            <w:tcW w:w="9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Dr. Hettich</w:t>
            </w:r>
          </w:p>
        </w:tc>
        <w:tc>
          <w:tcPr>
            <w:tcW w:w="9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Hothum</w:t>
            </w:r>
          </w:p>
        </w:tc>
        <w:tc>
          <w:tcPr>
            <w:tcW w:w="9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682"/>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34" w:right="339" w:bottom="1440" w:gutter="0" w:footer="0" w:header="0"/>
          <w:type w:val="continuous"/>
        </w:sectPr>
      </w:pPr>
    </w:p>
    <w:bookmarkStart w:id="11" w:name="page12"/>
    <w:bookmarkEnd w:id="1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-128905</wp:posOffset>
            </wp:positionV>
            <wp:extent cx="30086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80" w:space="720"/>
            <w:col w:w="1920" w:space="720"/>
            <w:col w:w="3100"/>
          </w:cols>
          <w:pgMar w:left="320" w:top="1134" w:right="339" w:bottom="1440" w:gutter="0" w:footer="0" w:header="0"/>
        </w:sectPr>
      </w:pPr>
    </w:p>
    <w:p>
      <w:pPr>
        <w:spacing w:after="0" w:line="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Ordinary shares, nominal value €0.01 per share.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No.:</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N44445109</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filings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980" w:right="340"/>
        <w:spacing w:after="0" w:line="282" w:lineRule="auto"/>
        <w:rPr>
          <w:sz w:val="20"/>
          <w:szCs w:val="20"/>
          <w:color w:val="auto"/>
        </w:rPr>
      </w:pPr>
      <w:r>
        <w:rPr>
          <w:rFonts w:ascii="Times New Roman" w:cs="Times New Roman" w:eastAsia="Times New Roman" w:hAnsi="Times New Roman"/>
          <w:sz w:val="18"/>
          <w:szCs w:val="18"/>
          <w:color w:val="auto"/>
        </w:rPr>
        <w:t>The following information with respect to the ownership of ordinary shares of the Issuer by the Reporting Persons filing this statement on Schedule 13G is provided as of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Shares Held</w:t>
            </w:r>
          </w:p>
        </w:tc>
        <w:tc>
          <w:tcPr>
            <w:tcW w:w="116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Sole Voting</w:t>
            </w:r>
          </w:p>
        </w:tc>
        <w:tc>
          <w:tcPr>
            <w:tcW w:w="114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6"/>
              </w:rPr>
              <w:t>Voting</w:t>
            </w:r>
          </w:p>
        </w:tc>
        <w:tc>
          <w:tcPr>
            <w:tcW w:w="118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Dispositive</w:t>
            </w:r>
          </w:p>
        </w:tc>
        <w:tc>
          <w:tcPr>
            <w:tcW w:w="120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Dispositive</w:t>
            </w:r>
          </w:p>
        </w:tc>
        <w:tc>
          <w:tcPr>
            <w:tcW w:w="122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Beneficial</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Reporting Persons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Directly</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60" w:type="dxa"/>
            <w:vAlign w:val="bottom"/>
            <w:gridSpan w:val="2"/>
          </w:tcPr>
          <w:p>
            <w:pPr>
              <w:jc w:val="right"/>
              <w:ind w:right="420"/>
              <w:spacing w:after="0" w:line="270" w:lineRule="exact"/>
              <w:rPr>
                <w:sz w:val="20"/>
                <w:szCs w:val="20"/>
                <w:color w:val="auto"/>
              </w:rPr>
            </w:pP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dievini Hopp BioTech holding</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9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GmbH &amp; Co. KG</w:t>
            </w:r>
            <w:r>
              <w:rPr>
                <w:rFonts w:ascii="Times New Roman" w:cs="Times New Roman" w:eastAsia="Times New Roman" w:hAnsi="Times New Roman"/>
                <w:sz w:val="29"/>
                <w:szCs w:val="29"/>
                <w:color w:val="auto"/>
                <w:vertAlign w:val="superscript"/>
              </w:rPr>
              <w:t>(2)</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7"/>
        </w:trPr>
        <w:tc>
          <w:tcPr>
            <w:tcW w:w="2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DH-Capital GmbH &amp; Co. KG</w:t>
            </w:r>
            <w:r>
              <w:rPr>
                <w:rFonts w:ascii="Times New Roman" w:cs="Times New Roman" w:eastAsia="Times New Roman" w:hAnsi="Times New Roman"/>
                <w:sz w:val="29"/>
                <w:szCs w:val="29"/>
                <w:color w:val="auto"/>
                <w:vertAlign w:val="superscript"/>
              </w:rPr>
              <w:t>(3)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7"/>
        </w:trPr>
        <w:tc>
          <w:tcPr>
            <w:tcW w:w="2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OH Beteiligungen GmbH &amp; Co. KG</w:t>
            </w:r>
            <w:r>
              <w:rPr>
                <w:rFonts w:ascii="Times New Roman" w:cs="Times New Roman" w:eastAsia="Times New Roman" w:hAnsi="Times New Roman"/>
                <w:sz w:val="29"/>
                <w:szCs w:val="29"/>
                <w:color w:val="auto"/>
                <w:vertAlign w:val="superscript"/>
              </w:rPr>
              <w:t>(3)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6"/>
        </w:trPr>
        <w:tc>
          <w:tcPr>
            <w:tcW w:w="2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Dietmar Hopp</w:t>
            </w:r>
            <w:r>
              <w:rPr>
                <w:rFonts w:ascii="Times New Roman" w:cs="Times New Roman" w:eastAsia="Times New Roman" w:hAnsi="Times New Roman"/>
                <w:sz w:val="29"/>
                <w:szCs w:val="29"/>
                <w:color w:val="auto"/>
                <w:vertAlign w:val="superscript"/>
              </w:rPr>
              <w:t>(3)(4)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7"/>
        </w:trPr>
        <w:tc>
          <w:tcPr>
            <w:tcW w:w="2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Oliver Hopp</w:t>
            </w:r>
            <w:r>
              <w:rPr>
                <w:rFonts w:ascii="Times New Roman" w:cs="Times New Roman" w:eastAsia="Times New Roman" w:hAnsi="Times New Roman"/>
                <w:sz w:val="29"/>
                <w:szCs w:val="29"/>
                <w:color w:val="auto"/>
                <w:vertAlign w:val="superscript"/>
              </w:rPr>
              <w:t>(3)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6"/>
        </w:trPr>
        <w:tc>
          <w:tcPr>
            <w:tcW w:w="2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Daniel Hopp</w:t>
            </w:r>
            <w:r>
              <w:rPr>
                <w:rFonts w:ascii="Times New Roman" w:cs="Times New Roman" w:eastAsia="Times New Roman" w:hAnsi="Times New Roman"/>
                <w:sz w:val="29"/>
                <w:szCs w:val="29"/>
                <w:color w:val="auto"/>
                <w:vertAlign w:val="superscript"/>
              </w:rPr>
              <w:t>(3)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1"/>
        </w:trPr>
        <w:tc>
          <w:tcPr>
            <w:tcW w:w="29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Prof. Dr. Friedrich von Bohlen und</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920" w:type="dxa"/>
            <w:vAlign w:val="bottom"/>
            <w:gridSpan w:val="2"/>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Halbach</w:t>
            </w:r>
            <w:r>
              <w:rPr>
                <w:rFonts w:ascii="Times New Roman" w:cs="Times New Roman" w:eastAsia="Times New Roman" w:hAnsi="Times New Roman"/>
                <w:sz w:val="29"/>
                <w:szCs w:val="29"/>
                <w:color w:val="auto"/>
                <w:vertAlign w:val="superscript"/>
              </w:rPr>
              <w:t>(3)(4)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7"/>
        </w:trPr>
        <w:tc>
          <w:tcPr>
            <w:tcW w:w="2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Prof. Dr. Christof Hettich</w:t>
            </w:r>
            <w:r>
              <w:rPr>
                <w:rFonts w:ascii="Times New Roman" w:cs="Times New Roman" w:eastAsia="Times New Roman" w:hAnsi="Times New Roman"/>
                <w:sz w:val="29"/>
                <w:szCs w:val="29"/>
                <w:color w:val="auto"/>
                <w:vertAlign w:val="superscript"/>
              </w:rPr>
              <w:t>(3)(4)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6"/>
        </w:trPr>
        <w:tc>
          <w:tcPr>
            <w:tcW w:w="2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Dr. Mathias Hothum</w:t>
            </w:r>
            <w:r>
              <w:rPr>
                <w:rFonts w:ascii="Times New Roman" w:cs="Times New Roman" w:eastAsia="Times New Roman" w:hAnsi="Times New Roman"/>
                <w:sz w:val="29"/>
                <w:szCs w:val="29"/>
                <w:color w:val="auto"/>
                <w:vertAlign w:val="superscript"/>
              </w:rPr>
              <w:t>(4)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16,476,073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16,476,073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62,908,617 shares of the Issuer’s ordinary shares reported to be issued by the Issuer in its Form F-1 Registration Statement filed with the Securities and Exchange Commission on July 31, 2020</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16,476,073 ordinary shares of the Issuer are held of record by dievini.</w:t>
      </w:r>
    </w:p>
    <w:p>
      <w:pPr>
        <w:spacing w:after="0" w:line="9"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DH-Capital, OH Beteiligungen, Dr. von Bohlen and Dr. Hettich are collectively the holders of 100% of the limited partner interest in dievini. DH-Capital and OH Beteiligungen each hold a 40% limited partner interest in dievini and therefore, control the voting and dispositive decisions of dievini together and may be deemed to beneficially own the shares held by dievini. Dietmar Hopp, Daniel Hopp and Oliver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1" w:lineRule="exact"/>
        <w:rPr>
          <w:rFonts w:ascii="Times New Roman" w:cs="Times New Roman" w:eastAsia="Times New Roman" w:hAnsi="Times New Roman"/>
          <w:sz w:val="18"/>
          <w:szCs w:val="18"/>
          <w:color w:val="auto"/>
        </w:rPr>
      </w:pPr>
    </w:p>
    <w:p>
      <w:pPr>
        <w:ind w:left="340" w:right="20" w:hanging="332"/>
        <w:spacing w:after="0" w:line="25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general partner of dievini with the authorization to represent is dievini Verwaltungs GmbH; however, 100% of the shares of dievini Verwaltungs GmbH are held by dievini so dievini Verwaltungs GmbH is not considered to have control over dievini. The managing directors of dievini Verwaltungs GmbH are Dietmar Hopp, Dr. von Bohlen, Dr. Hettich and Dr. Hothum. Voting and dispositive decisions made within dievini Verwaltungs GmbH regarding the securities held by dievini are made by at least two managing directors acting together; however, Dietmar Hopp is entitled to represent dievini Verwaltungs GmbH solely. Therefore, in their capacity as managing directors, Dietmar Hopp, Dr. von Bohlen, Dr. Hettich and Dr. Hothum share voting and dispositive power over the shares held by dievini, and may be deemed to beneficially own such shares held by dievini; however, each of Dietmar Hopp, Dr. von Bohlen, Dr. Hettich and Dr. Hothum disclaims beneficial ownership of the shares held by dievini except to the extent of their pecuniary interests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2" w:name="page13"/>
    <w:bookmarkEnd w:id="1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-128905</wp:posOffset>
            </wp:positionV>
            <wp:extent cx="300863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80" w:space="720"/>
            <w:col w:w="1920" w:space="720"/>
            <w:col w:w="2960"/>
          </w:cols>
          <w:pgMar w:left="320" w:top="1134" w:right="479" w:bottom="1440" w:gutter="0" w:footer="0" w:header="0"/>
        </w:sectPr>
      </w:pPr>
    </w:p>
    <w:p>
      <w:pPr>
        <w:spacing w:after="0" w:line="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80" w:right="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34" w:right="479" w:bottom="1440" w:gutter="0" w:footer="0" w:header="0"/>
          <w:type w:val="continuous"/>
        </w:sectPr>
      </w:pPr>
    </w:p>
    <w:bookmarkStart w:id="13" w:name="page14"/>
    <w:bookmarkEnd w:id="13"/>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723265</wp:posOffset>
            </wp:positionV>
            <wp:extent cx="30175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17520" cy="17145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CUSIP NO. N44445109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13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-128905</wp:posOffset>
            </wp:positionV>
            <wp:extent cx="300863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8630"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80" w:space="720"/>
            <w:col w:w="1920" w:space="720"/>
            <w:col w:w="3060"/>
          </w:cols>
          <w:pgMar w:left="320" w:top="1134" w:right="379" w:bottom="1440" w:gutter="0" w:footer="0" w:header="0"/>
        </w:sectPr>
      </w:pP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February 11, 2021</w:t>
      </w:r>
    </w:p>
    <w:p>
      <w:pPr>
        <w:spacing w:after="0" w:line="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b w:val="1"/>
          <w:bCs w:val="1"/>
          <w:color w:val="auto"/>
        </w:rPr>
        <w:t>DIEVINI HOPP BIOTECH HOLDING GMBH &amp; CO. KG</w:t>
      </w:r>
    </w:p>
    <w:p>
      <w:pPr>
        <w:spacing w:after="0" w:line="241"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dievini Verwaltungs GmbH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31440" cy="2603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jc w:val="center"/>
        <w:ind w:left="7040"/>
        <w:spacing w:after="0"/>
        <w:tabs>
          <w:tab w:leader="none" w:pos="18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DH-CAPITAL GMBH &amp; CO. KG</w:t>
      </w:r>
    </w:p>
    <w:p>
      <w:pPr>
        <w:spacing w:after="0" w:line="229"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DH Verwaltungs GmbH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31440" cy="25400"/>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ind w:left="7100"/>
        <w:spacing w:after="0"/>
        <w:tabs>
          <w:tab w:leader="none" w:pos="766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OH BETEILIGUNGEN GMBH &amp; CO. KG</w:t>
      </w:r>
    </w:p>
    <w:p>
      <w:pPr>
        <w:spacing w:after="0" w:line="229"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OH Verwaltungs GmbH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6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1440" cy="25400"/>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ind w:left="7100"/>
        <w:spacing w:after="0"/>
        <w:tabs>
          <w:tab w:leader="none" w:pos="766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DIETMAR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OLIVER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DANIEL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FRIEDRICH VON BOHLEN UND HALBACH</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CHRISTOF HETTICH</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MATHIAS HOTHUM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 </w:t>
      </w:r>
      <w:hyperlink w:anchor="page15">
        <w:r>
          <w:rPr>
            <w:rFonts w:ascii="Times New Roman" w:cs="Times New Roman" w:eastAsia="Times New Roman" w:hAnsi="Times New Roman"/>
            <w:sz w:val="18"/>
            <w:szCs w:val="18"/>
            <w:u w:val="single" w:color="auto"/>
            <w:color w:val="0000EE"/>
          </w:rPr>
          <w:t>Power of Attorney</w:t>
        </w:r>
      </w:hyperlink>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 </w:t>
      </w:r>
      <w:hyperlink w:anchor="page18">
        <w:r>
          <w:rPr>
            <w:rFonts w:ascii="Times New Roman" w:cs="Times New Roman" w:eastAsia="Times New Roman" w:hAnsi="Times New Roman"/>
            <w:sz w:val="18"/>
            <w:szCs w:val="18"/>
            <w:u w:val="single" w:color="auto"/>
            <w:color w:val="0000EE"/>
          </w:rPr>
          <w:t>Joint Filing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240"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KNOW ALL BY THESE PRESENTS </w:t>
      </w:r>
      <w:r>
        <w:rPr>
          <w:rFonts w:ascii="Times New Roman" w:cs="Times New Roman" w:eastAsia="Times New Roman" w:hAnsi="Times New Roman"/>
          <w:sz w:val="18"/>
          <w:szCs w:val="18"/>
          <w:color w:val="auto"/>
        </w:rPr>
        <w:t>that each of the undersigned hereby constitutes and appoints Dr. Marc Hauser, Dr. Christina Eschenfelder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Dr. Moritz Weber of RITTERSHAUS Rechtsanwälte Partnerschaftsgesellschaft mbB, Harrlachweg 4, 68163 Mannheim, signing individually, the undersigned’s true and lawful attorneys-in-fact and agents with respect to the undersigned’s holdings of and transactions in securities issued by AC Immune, CureVac N.V., and Immatics N.V.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w:t>
      </w:r>
    </w:p>
    <w:p>
      <w:pPr>
        <w:spacing w:after="0" w:line="180" w:lineRule="exact"/>
        <w:rPr>
          <w:sz w:val="20"/>
          <w:szCs w:val="20"/>
          <w:color w:val="auto"/>
        </w:rPr>
      </w:pPr>
    </w:p>
    <w:p>
      <w:pPr>
        <w:ind w:right="160" w:firstLine="656"/>
        <w:spacing w:after="0" w:line="266"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in the undersigned’s name and on the undersigned’s behalf, and submit to the Securities and submit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filings pursuant to Section 13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any and all rules and regulations thereunder;</w:t>
      </w:r>
    </w:p>
    <w:p>
      <w:pPr>
        <w:spacing w:after="0" w:line="175" w:lineRule="exact"/>
        <w:rPr>
          <w:rFonts w:ascii="Times New Roman" w:cs="Times New Roman" w:eastAsia="Times New Roman" w:hAnsi="Times New Roman"/>
          <w:sz w:val="18"/>
          <w:szCs w:val="18"/>
          <w:color w:val="auto"/>
        </w:rPr>
      </w:pPr>
    </w:p>
    <w:p>
      <w:pPr>
        <w:jc w:val="both"/>
        <w:ind w:right="520" w:firstLine="656"/>
        <w:spacing w:after="0" w:line="266"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prepare and execute any such Schedule 13D and Schedule 13G, as applicable (including any amendments, exhibits, joint filing agreements or other documents related thereto or in connection therewith) and file the same with the SEC and any stock exchange, self-regulatory or any other authority; and</w:t>
      </w:r>
    </w:p>
    <w:p>
      <w:pPr>
        <w:spacing w:after="0" w:line="175" w:lineRule="exact"/>
        <w:rPr>
          <w:rFonts w:ascii="Times New Roman" w:cs="Times New Roman" w:eastAsia="Times New Roman" w:hAnsi="Times New Roman"/>
          <w:sz w:val="18"/>
          <w:szCs w:val="18"/>
          <w:color w:val="auto"/>
        </w:rPr>
      </w:pPr>
    </w:p>
    <w:p>
      <w:pPr>
        <w:ind w:right="20" w:firstLine="656"/>
        <w:spacing w:after="0" w:line="261" w:lineRule="auto"/>
        <w:tabs>
          <w:tab w:leader="none" w:pos="9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0"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any of the undersigned’s responsibilities to comply with Section 13 of the Exchange Act and the rules and regulations thereunder.</w:t>
      </w:r>
    </w:p>
    <w:p>
      <w:pPr>
        <w:spacing w:after="0" w:line="18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earlier of (i) the undersigned is no longer required to file such forms with respect to the undersigned’s holdings of and transactions in securities issued by any Company or (ii) or until such time as the person or persons to whom power of attorney has been hereby granted cease(s) to perform the function in connection with which he/she was appointed attorney-in-fact or to be an employee of RITTERSHAUS Rechtsanwälte Partnerschaftsgesellschaft mbB or one of its affiliates, unless earlier revoked by the undersigned in a signed writing delivered to the foregoing attorneys-in fact.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caused this Power of Attorney to be executed as of this 11th day of February, 2021.</w:t>
      </w:r>
    </w:p>
    <w:p>
      <w:pPr>
        <w:spacing w:after="0" w:line="22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DIEVINI HOPP BIOTECH HOLDING GMBH &amp; CO.</w:t>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KG</w:t>
      </w:r>
    </w:p>
    <w:p>
      <w:pPr>
        <w:spacing w:after="0" w:line="207"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dievini Verwaltungs GmbH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26035</wp:posOffset>
            </wp:positionV>
            <wp:extent cx="25546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DH-CAPITAL GMBH &amp; CO. KG</w:t>
      </w:r>
    </w:p>
    <w:p>
      <w:pPr>
        <w:spacing w:after="0" w:line="229"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DH Verwaltungs GmbH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OH BETEILIGUNGEN GMBH &amp; CO. KG</w:t>
      </w:r>
    </w:p>
    <w:p>
      <w:pPr>
        <w:spacing w:after="0" w:line="229"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OH Verwaltungs GmbH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jc w:val="center"/>
        <w:ind w:left="494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Dr. Marc Hauser,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DIETMAR HOPP</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Dr. Marc Hauser,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OLIVER HOPP</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Dr. Marc Hauser,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DANIEL HOPP</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Dr. Marc Hauser,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FRIEDRICH VON BOHLEN UND HALBACH</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Dr. Marc Hauser,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CHRISTOF HETTICH</w:t>
      </w:r>
    </w:p>
    <w:p>
      <w:pPr>
        <w:spacing w:after="0" w:line="2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Dr. Marc Hauser,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17145</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MATHIAS HOTHUM</w:t>
      </w:r>
    </w:p>
    <w:p>
      <w:pPr>
        <w:spacing w:after="0" w:line="229"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dievini Verwaltungs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Dietmar Hopp</w:t>
      </w:r>
    </w:p>
    <w:p>
      <w:pPr>
        <w:spacing w:after="0" w:line="23"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left="6320"/>
        <w:spacing w:after="0"/>
        <w:tabs>
          <w:tab w:leader="none" w:pos="6760" w:val="left"/>
        </w:tabs>
        <w:rPr>
          <w:sz w:val="20"/>
          <w:szCs w:val="20"/>
          <w:color w:val="auto"/>
        </w:rPr>
      </w:pPr>
      <w:r>
        <w:rPr>
          <w:rFonts w:ascii="Times New Roman" w:cs="Times New Roman" w:eastAsia="Times New Roman" w:hAnsi="Times New Roman"/>
          <w:sz w:val="18"/>
          <w:szCs w:val="18"/>
          <w:color w:val="auto"/>
        </w:rPr>
        <w:t>By:</w:t>
        <w:tab/>
        <w:t>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17145</wp:posOffset>
            </wp:positionV>
            <wp:extent cx="255460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 Mathias Hothum</w:t>
      </w:r>
    </w:p>
    <w:p>
      <w:pPr>
        <w:spacing w:after="0" w:line="27" w:lineRule="exact"/>
        <w:rPr>
          <w:sz w:val="20"/>
          <w:szCs w:val="20"/>
          <w:color w:val="auto"/>
        </w:rPr>
      </w:pPr>
    </w:p>
    <w:p>
      <w:pPr>
        <w:ind w:left="6780"/>
        <w:spacing w:after="0"/>
        <w:tabs>
          <w:tab w:leader="none" w:pos="7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434340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760" w:top="900" w:right="579" w:bottom="1440" w:gutter="0" w:footer="0" w:header="0"/>
        </w:sectPr>
      </w:pPr>
    </w:p>
    <w:bookmarkStart w:id="16" w:name="page17"/>
    <w:bookmarkEnd w:id="16"/>
    <w:p>
      <w:pPr>
        <w:ind w:left="5640"/>
        <w:spacing w:after="0"/>
        <w:rPr>
          <w:sz w:val="20"/>
          <w:szCs w:val="20"/>
          <w:color w:val="auto"/>
        </w:rPr>
      </w:pPr>
      <w:r>
        <w:rPr>
          <w:rFonts w:ascii="Times New Roman" w:cs="Times New Roman" w:eastAsia="Times New Roman" w:hAnsi="Times New Roman"/>
          <w:sz w:val="18"/>
          <w:szCs w:val="18"/>
          <w:b w:val="1"/>
          <w:bCs w:val="1"/>
          <w:color w:val="auto"/>
        </w:rPr>
        <w:t>DH-CAPITAL GMBH &amp; CO. KG</w:t>
      </w:r>
    </w:p>
    <w:p>
      <w:pPr>
        <w:spacing w:after="0" w:line="229" w:lineRule="exact"/>
        <w:rPr>
          <w:sz w:val="20"/>
          <w:szCs w:val="20"/>
          <w:color w:val="auto"/>
        </w:rPr>
      </w:pPr>
    </w:p>
    <w:p>
      <w:pPr>
        <w:jc w:val="center"/>
        <w:ind w:left="4480"/>
        <w:spacing w:after="0"/>
        <w:tabs>
          <w:tab w:leader="none" w:pos="180" w:val="left"/>
        </w:tabs>
        <w:rPr>
          <w:sz w:val="20"/>
          <w:szCs w:val="20"/>
          <w:color w:val="auto"/>
        </w:rPr>
      </w:pPr>
      <w:r>
        <w:rPr>
          <w:rFonts w:ascii="Times New Roman" w:cs="Times New Roman" w:eastAsia="Times New Roman" w:hAnsi="Times New Roman"/>
          <w:sz w:val="18"/>
          <w:szCs w:val="18"/>
          <w:color w:val="auto"/>
        </w:rPr>
        <w:t>By:</w:t>
        <w:tab/>
        <w:t>BW Verwaltungs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Dietmar Hopp</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OH BETEILIGUNGEN GMBH &amp; CO. KG</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OH Verwaltungs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Oliver Hopp</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DH-LT-INVESTMENTS GMB</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Dr. Marc Hauser</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Attorney-in-Fact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DIETMAR HOPP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OLIVER HOPP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DANIEL HOPP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CHRISTOF HETTICH</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FRIEDRICH VON BOHLEN UND HALBACH</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MATHIAS HOTHUM</w:t>
      </w:r>
    </w:p>
    <w:p>
      <w:pPr>
        <w:spacing w:after="0" w:line="229" w:lineRule="exact"/>
        <w:rPr>
          <w:sz w:val="20"/>
          <w:szCs w:val="20"/>
          <w:color w:val="auto"/>
        </w:rPr>
      </w:pPr>
    </w:p>
    <w:p>
      <w:pPr>
        <w:ind w:left="5640" w:hanging="2"/>
        <w:spacing w:after="0" w:line="282" w:lineRule="auto"/>
        <w:tabs>
          <w:tab w:leader="none" w:pos="577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separate power of attorney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388620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40"/>
          </w:cols>
          <w:pgMar w:left="1440" w:top="927" w:right="9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each of the undersigned hereby agree to the joint filing on behalf of each of them of a statement on Schedule 13G (including amendments thereto) with respect to the common shares of Immatics N.V. and further agree that this Joint Filing Agreement be included as an exhibit to such joint filing.</w:t>
      </w:r>
    </w:p>
    <w:p>
      <w:pPr>
        <w:spacing w:after="0" w:line="176" w:lineRule="exact"/>
        <w:rPr>
          <w:sz w:val="20"/>
          <w:szCs w:val="20"/>
          <w:color w:val="auto"/>
        </w:rPr>
      </w:pPr>
    </w:p>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76"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Each party to this Joint Filing Agreement agrees that this Joint Filing Agreement may be signed in counterparts, all of which taken together shall constitute one and the same instrument.</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caused this Joint Filing Agreement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February, 2021.</w:t>
      </w:r>
    </w:p>
    <w:p>
      <w:pPr>
        <w:spacing w:after="0" w:line="1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DIEVINI HOPP BIOTECH HOLDING GMBH &amp; CO.</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KG</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dievini Verwaltungs GmbH</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Name:Dr. Marc Hauser</w:t>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DH-CAPITAL GMBH &amp; CO. KG</w:t>
      </w:r>
    </w:p>
    <w:p>
      <w:pPr>
        <w:spacing w:after="0" w:line="229" w:lineRule="exact"/>
        <w:rPr>
          <w:sz w:val="20"/>
          <w:szCs w:val="20"/>
          <w:color w:val="auto"/>
        </w:rPr>
      </w:pPr>
    </w:p>
    <w:p>
      <w:pPr>
        <w:jc w:val="center"/>
        <w:ind w:left="6700"/>
        <w:spacing w:after="0"/>
        <w:tabs>
          <w:tab w:leader="none" w:pos="160" w:val="left"/>
        </w:tabs>
        <w:rPr>
          <w:sz w:val="20"/>
          <w:szCs w:val="20"/>
          <w:color w:val="auto"/>
        </w:rPr>
      </w:pPr>
      <w:r>
        <w:rPr>
          <w:rFonts w:ascii="Times New Roman" w:cs="Times New Roman" w:eastAsia="Times New Roman" w:hAnsi="Times New Roman"/>
          <w:sz w:val="18"/>
          <w:szCs w:val="18"/>
          <w:color w:val="auto"/>
        </w:rPr>
        <w:t>By:</w:t>
        <w:tab/>
        <w:t>BW Verwaltungs GmbH</w:t>
      </w:r>
    </w:p>
    <w:p>
      <w:pPr>
        <w:spacing w:after="0" w:line="2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Name:Dr. Marc Hauser</w:t>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OH BETEILIGUNGEN GMBH &amp; CO. KG</w:t>
      </w:r>
    </w:p>
    <w:p>
      <w:pPr>
        <w:spacing w:after="0" w:line="229"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OH Verwaltungs GmbH</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17145</wp:posOffset>
            </wp:positionV>
            <wp:extent cx="258889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88895" cy="17145"/>
                    </a:xfrm>
                    <a:prstGeom prst="rect">
                      <a:avLst/>
                    </a:prstGeom>
                    <a:noFill/>
                  </pic:spPr>
                </pic:pic>
              </a:graphicData>
            </a:graphic>
          </wp:anchor>
        </w:drawing>
      </w:r>
    </w:p>
    <w:p>
      <w:pPr>
        <w:spacing w:after="0" w:line="2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Name:Dr. Marc Hauser</w:t>
      </w:r>
    </w:p>
    <w:p>
      <w:pPr>
        <w:spacing w:after="0" w:line="2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DIETMAR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OLIVER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DANIEL HOPP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FRIEDRICH VON BOHLEN UND HALBACH</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CHRISTOF HETTICH</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MATHIAS HOTHUM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2021-02-12T12:04:15Z</dcterms:created>
  <dcterms:modified xsi:type="dcterms:W3CDTF">2021-02-12T12:04:15Z</dcterms:modified>
</cp:coreProperties>
</file>