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9127d424b2.htm"/>
        <w:bookmarkStart w:id="1" w:name="ksd149127d424b2"/>
        <w:bookmarkEnd w:id="0"/>
        <w:bookmarkEnd w:id="1"/>
        <w:r>
          <w:rPr>
            <w:rStyle w:val="InternetLink"/>
            <w:b/>
            <w:sz w:val="20"/>
          </w:rPr>
          <w:t>Table of Contents</w:t>
        </w:r>
      </w:hyperlink>
    </w:p>
    <w:p>
      <w:pPr>
        <w:pStyle w:val="TextBody"/>
        <w:bidi w:val="0"/>
        <w:spacing w:before="0" w:after="0"/>
        <w:jc w:val="right"/>
        <w:rPr>
          <w:rFonts w:ascii="Arial" w:hAnsi="Arial"/>
          <w:sz w:val="20"/>
        </w:rPr>
      </w:pPr>
      <w:r>
        <w:rPr>
          <w:rFonts w:ascii="Arial" w:hAnsi="Arial"/>
          <w:sz w:val="20"/>
        </w:rPr>
        <w:t>Filed Pursuant to Rule 424(b)(2)</w:t>
        <w:br/>
        <w:t xml:space="preserve">Registration No. 333-286151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PROSPECTUS SUPPLEMENT </w:t>
      </w:r>
    </w:p>
    <w:p>
      <w:pPr>
        <w:pStyle w:val="TextBody"/>
        <w:bidi w:val="0"/>
        <w:spacing w:before="0" w:after="0"/>
        <w:jc w:val="left"/>
        <w:rPr>
          <w:rFonts w:ascii="Arial" w:hAnsi="Arial"/>
          <w:sz w:val="20"/>
        </w:rPr>
      </w:pPr>
      <w:r>
        <w:rPr>
          <w:rFonts w:ascii="Arial" w:hAnsi="Arial"/>
          <w:sz w:val="20"/>
        </w:rPr>
        <w:t xml:space="preserve">(TO PROSPECTUS DATED APRIL 3,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795" cy="8896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3795" cy="889635"/>
                    </a:xfrm>
                    <a:prstGeom prst="rect">
                      <a:avLst/>
                    </a:prstGeom>
                  </pic:spPr>
                </pic:pic>
              </a:graphicData>
            </a:graphic>
          </wp:inline>
        </w:drawing>
      </w:r>
      <w:r>
        <w:rPr/>
        <w:t xml:space="preserve"> </w:t>
      </w:r>
    </w:p>
    <w:p>
      <w:pPr>
        <w:pStyle w:val="TextBody"/>
        <w:bidi w:val="0"/>
        <w:spacing w:before="240" w:after="0"/>
        <w:jc w:val="center"/>
        <w:rPr>
          <w:rFonts w:ascii="Arial" w:hAnsi="Arial"/>
          <w:b/>
          <w:sz w:val="40"/>
        </w:rPr>
      </w:pPr>
      <w:r>
        <w:rPr>
          <w:rFonts w:ascii="Arial" w:hAnsi="Arial"/>
          <w:b/>
          <w:sz w:val="40"/>
        </w:rPr>
        <w:t xml:space="preserve">IMMATICS N.V. </w:t>
      </w:r>
    </w:p>
    <w:p>
      <w:pPr>
        <w:pStyle w:val="TextBody"/>
        <w:bidi w:val="0"/>
        <w:spacing w:before="240" w:after="0"/>
        <w:jc w:val="center"/>
        <w:rPr>
          <w:rFonts w:ascii="Arial" w:hAnsi="Arial"/>
          <w:b/>
          <w:sz w:val="32"/>
        </w:rPr>
      </w:pPr>
      <w:r>
        <w:rPr>
          <w:rFonts w:ascii="Arial" w:hAnsi="Arial"/>
          <w:b/>
          <w:sz w:val="32"/>
        </w:rPr>
        <w:t xml:space="preserve">12,945,916 Ordinary Shares </w:t>
      </w:r>
    </w:p>
    <w:p>
      <w:pPr>
        <w:pStyle w:val="TextBody"/>
        <w:bidi w:val="0"/>
        <w:spacing w:before="0" w:after="0"/>
        <w:jc w:val="center"/>
        <w:rPr>
          <w:rFonts w:ascii="Arial" w:hAnsi="Arial"/>
          <w:b/>
          <w:sz w:val="32"/>
        </w:rPr>
      </w:pPr>
      <w:r>
        <w:rPr>
          <w:rFonts w:ascii="Arial" w:hAnsi="Arial"/>
          <w:b/>
          <w:sz w:val="32"/>
        </w:rPr>
        <w:t xml:space="preserve">Pre-Funded Warrants to Purchase 4,315,304 Ordinary Shares </w:t>
      </w:r>
    </w:p>
    <w:p>
      <w:pPr>
        <w:pStyle w:val="TextBody"/>
        <w:bidi w:val="0"/>
        <w:spacing w:before="240" w:after="0"/>
        <w:jc w:val="left"/>
        <w:rPr>
          <w:rFonts w:ascii="Arial" w:hAnsi="Arial"/>
          <w:sz w:val="20"/>
        </w:rPr>
      </w:pPr>
      <w:r>
        <w:rPr>
          <w:rFonts w:ascii="Arial" w:hAnsi="Arial"/>
          <w:sz w:val="20"/>
        </w:rPr>
        <w:t xml:space="preserve">We are offering (i) 12,945,916 ordinary shares, nominal value </w:t>
      </w:r>
      <w:r>
        <w:rPr>
          <w:rFonts w:ascii="Times New Roman" w:hAnsi="Times New Roman"/>
          <w:sz w:val="20"/>
        </w:rPr>
        <w:t></w:t>
      </w:r>
      <w:r>
        <w:rPr>
          <w:rFonts w:ascii="Arial" w:hAnsi="Arial"/>
          <w:sz w:val="20"/>
        </w:rPr>
        <w:t xml:space="preserve">0.01 per share and (ii) pre-funded warrants to purchase 4,315,304 ordinary shares (collectively, the “securities”). The pre-funded warrants will be exercisable immediately, and each pre-funded warrant will be initially exercisable for one ordinary share at an exercise price of $0.001 per share. The public offering price for the ordinary shares is $8.69 per ordinary share. The public offering price for the pre-funded warrants is the public offering price for the ordinary shares, minus the exercise price. This prospectus supplement also relates to the offering of the ordinary shares issuable upon exercise of the pre-funded warrants. </w:t>
      </w:r>
    </w:p>
    <w:p>
      <w:pPr>
        <w:pStyle w:val="TextBody"/>
        <w:bidi w:val="0"/>
        <w:spacing w:before="240" w:after="0"/>
        <w:jc w:val="left"/>
        <w:rPr>
          <w:rFonts w:ascii="Arial" w:hAnsi="Arial"/>
          <w:sz w:val="20"/>
        </w:rPr>
      </w:pPr>
      <w:r>
        <w:rPr>
          <w:rFonts w:ascii="Arial" w:hAnsi="Arial"/>
          <w:sz w:val="20"/>
        </w:rPr>
        <w:t xml:space="preserve">Our ordinary shares are listed on The Nasdaq Stock Market LLC (“Nasdaq”) under the symbol “IMTX.” On August 24, 2026, the last reported sale price of our ordinary shares on Nasdaq was $8.69 per share. There is no established public trading market for the pre-funded warrants and we do not intend to apply to list the pre-funded warrants on Nasdaq, any other national securities exchange or any other nationally recognized trading system. </w:t>
      </w:r>
    </w:p>
    <w:p>
      <w:pPr>
        <w:pStyle w:val="TextBody"/>
        <w:bidi w:val="0"/>
        <w:spacing w:before="240" w:after="0"/>
        <w:jc w:val="left"/>
        <w:rPr/>
      </w:pPr>
      <w:r>
        <w:rPr>
          <w:rFonts w:ascii="Arial" w:hAnsi="Arial"/>
          <w:b/>
          <w:sz w:val="20"/>
        </w:rPr>
        <w:t>Investing in our securities involves a high degree of risk. See the “</w:t>
      </w:r>
      <w:hyperlink w:anchor="supptoc149127_4">
        <w:r>
          <w:rPr>
            <w:rStyle w:val="InternetLink"/>
            <w:rFonts w:ascii="Arial" w:hAnsi="Arial"/>
            <w:b/>
            <w:sz w:val="20"/>
          </w:rPr>
          <w:t>Risk Factors</w:t>
        </w:r>
      </w:hyperlink>
      <w:r>
        <w:rPr>
          <w:rFonts w:ascii="Arial" w:hAnsi="Arial"/>
          <w:b/>
          <w:sz w:val="20"/>
        </w:rPr>
        <w:t xml:space="preserve">” section beginning on page S-7 of this prospectus supplement and any risk factors in our Securities and Exchange Commission (“SEC”) filings that are incorporated by reference in this prospectus supplement.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74"/>
        <w:gridCol w:w="279"/>
        <w:gridCol w:w="241"/>
        <w:gridCol w:w="1228"/>
        <w:gridCol w:w="60"/>
        <w:gridCol w:w="279"/>
        <w:gridCol w:w="383"/>
        <w:gridCol w:w="1896"/>
        <w:gridCol w:w="60"/>
        <w:gridCol w:w="279"/>
        <w:gridCol w:w="140"/>
        <w:gridCol w:w="1588"/>
        <w:gridCol w:w="65"/>
      </w:tblGrid>
      <w:tr>
        <w:trPr/>
        <w:tc>
          <w:tcPr>
            <w:tcW w:w="2074"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07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27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 PRE-FUNDED</w:t>
              <w:br/>
              <w:t>WARRANT</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72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 xml:space="preserve">TOTAL </w:t>
            </w:r>
          </w:p>
        </w:tc>
        <w:tc>
          <w:tcPr>
            <w:tcW w:w="65" w:type="dxa"/>
            <w:tcBorders/>
            <w:vAlign w:val="bottom"/>
          </w:tcPr>
          <w:p>
            <w:pPr>
              <w:pStyle w:val="TableContents"/>
              <w:bidi w:val="0"/>
              <w:spacing w:before="0" w:after="283"/>
              <w:jc w:val="left"/>
              <w:rPr/>
            </w:pPr>
            <w:r>
              <w:rPr/>
              <w:t> </w:t>
            </w:r>
          </w:p>
        </w:tc>
      </w:tr>
      <w:tr>
        <w:trPr/>
        <w:tc>
          <w:tcPr>
            <w:tcW w:w="2074" w:type="dxa"/>
            <w:tcBorders/>
            <w:shd w:fill="CCEEFF" w:val="clear"/>
            <w:vAlign w:val="bottom"/>
          </w:tcPr>
          <w:p>
            <w:pPr>
              <w:pStyle w:val="TableContents"/>
              <w:bidi w:val="0"/>
              <w:spacing w:before="0" w:after="0"/>
              <w:jc w:val="left"/>
              <w:rPr>
                <w:rFonts w:ascii="Arial" w:hAnsi="Arial"/>
                <w:sz w:val="20"/>
              </w:rPr>
            </w:pPr>
            <w:r>
              <w:rPr>
                <w:rFonts w:ascii="Arial" w:hAnsi="Arial"/>
                <w:sz w:val="20"/>
              </w:rPr>
              <w:t>Public offering price</w:t>
            </w:r>
          </w:p>
        </w:tc>
        <w:tc>
          <w:tcPr>
            <w:tcW w:w="2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8.6900</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896" w:type="dxa"/>
            <w:tcBorders/>
            <w:shd w:fill="CCEEFF" w:val="clear"/>
            <w:vAlign w:val="bottom"/>
          </w:tcPr>
          <w:p>
            <w:pPr>
              <w:pStyle w:val="TableContents"/>
              <w:bidi w:val="0"/>
              <w:spacing w:before="0" w:after="283"/>
              <w:jc w:val="right"/>
              <w:rPr/>
            </w:pPr>
            <w:r>
              <w:rPr/>
              <w:t>8.6890</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88" w:type="dxa"/>
            <w:tcBorders/>
            <w:shd w:fill="CCEEFF" w:val="clear"/>
            <w:vAlign w:val="bottom"/>
          </w:tcPr>
          <w:p>
            <w:pPr>
              <w:pStyle w:val="TableContents"/>
              <w:bidi w:val="0"/>
              <w:spacing w:before="0" w:after="283"/>
              <w:jc w:val="right"/>
              <w:rPr/>
            </w:pPr>
            <w:r>
              <w:rPr/>
              <w:t>149,995,686.50</w:t>
            </w:r>
          </w:p>
        </w:tc>
        <w:tc>
          <w:tcPr>
            <w:tcW w:w="65" w:type="dxa"/>
            <w:tcBorders/>
            <w:shd w:fill="CCEEFF" w:val="clear"/>
            <w:vAlign w:val="bottom"/>
          </w:tcPr>
          <w:p>
            <w:pPr>
              <w:pStyle w:val="TableContents"/>
              <w:bidi w:val="0"/>
              <w:spacing w:before="0" w:after="283"/>
              <w:jc w:val="left"/>
              <w:rPr/>
            </w:pPr>
            <w:r>
              <w:rPr/>
              <w:t> </w:t>
            </w:r>
          </w:p>
        </w:tc>
      </w:tr>
      <w:tr>
        <w:trPr/>
        <w:tc>
          <w:tcPr>
            <w:tcW w:w="2074" w:type="dxa"/>
            <w:tcBorders/>
            <w:vAlign w:val="bottom"/>
          </w:tcPr>
          <w:p>
            <w:pPr>
              <w:pStyle w:val="TableContents"/>
              <w:bidi w:val="0"/>
              <w:spacing w:before="0" w:after="0"/>
              <w:jc w:val="left"/>
              <w:rPr>
                <w:rFonts w:ascii="Arial" w:hAnsi="Arial"/>
                <w:sz w:val="20"/>
              </w:rPr>
            </w:pPr>
            <w:r>
              <w:rPr>
                <w:rFonts w:ascii="Arial" w:hAnsi="Arial"/>
                <w:sz w:val="20"/>
              </w:rPr>
              <w:t>Underwriting discount (1)</w:t>
            </w:r>
          </w:p>
        </w:tc>
        <w:tc>
          <w:tcPr>
            <w:tcW w:w="27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0.5214</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w:t>
            </w:r>
          </w:p>
        </w:tc>
        <w:tc>
          <w:tcPr>
            <w:tcW w:w="1896" w:type="dxa"/>
            <w:tcBorders/>
            <w:vAlign w:val="bottom"/>
          </w:tcPr>
          <w:p>
            <w:pPr>
              <w:pStyle w:val="TableContents"/>
              <w:bidi w:val="0"/>
              <w:spacing w:before="0" w:after="283"/>
              <w:jc w:val="right"/>
              <w:rPr/>
            </w:pPr>
            <w:r>
              <w:rPr/>
              <w:t>0.5214</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88" w:type="dxa"/>
            <w:tcBorders/>
            <w:vAlign w:val="bottom"/>
          </w:tcPr>
          <w:p>
            <w:pPr>
              <w:pStyle w:val="TableContents"/>
              <w:bidi w:val="0"/>
              <w:spacing w:before="0" w:after="283"/>
              <w:jc w:val="right"/>
              <w:rPr/>
            </w:pPr>
            <w:r>
              <w:rPr/>
              <w:t>9,000,000.11</w:t>
            </w:r>
          </w:p>
        </w:tc>
        <w:tc>
          <w:tcPr>
            <w:tcW w:w="65" w:type="dxa"/>
            <w:tcBorders/>
            <w:vAlign w:val="bottom"/>
          </w:tcPr>
          <w:p>
            <w:pPr>
              <w:pStyle w:val="TableContents"/>
              <w:bidi w:val="0"/>
              <w:spacing w:before="0" w:after="283"/>
              <w:jc w:val="left"/>
              <w:rPr/>
            </w:pPr>
            <w:r>
              <w:rPr/>
              <w:t> </w:t>
            </w:r>
          </w:p>
        </w:tc>
      </w:tr>
      <w:tr>
        <w:trPr/>
        <w:tc>
          <w:tcPr>
            <w:tcW w:w="2074"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before expenses, to us</w:t>
            </w:r>
          </w:p>
        </w:tc>
        <w:tc>
          <w:tcPr>
            <w:tcW w:w="27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8.1686</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896" w:type="dxa"/>
            <w:tcBorders/>
            <w:shd w:fill="CCEEFF" w:val="clear"/>
            <w:vAlign w:val="bottom"/>
          </w:tcPr>
          <w:p>
            <w:pPr>
              <w:pStyle w:val="TableContents"/>
              <w:bidi w:val="0"/>
              <w:spacing w:before="0" w:after="283"/>
              <w:jc w:val="right"/>
              <w:rPr/>
            </w:pPr>
            <w:r>
              <w:rPr/>
              <w:t>8.1676</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88" w:type="dxa"/>
            <w:tcBorders/>
            <w:shd w:fill="CCEEFF" w:val="clear"/>
            <w:vAlign w:val="bottom"/>
          </w:tcPr>
          <w:p>
            <w:pPr>
              <w:pStyle w:val="TableContents"/>
              <w:bidi w:val="0"/>
              <w:spacing w:before="0" w:after="283"/>
              <w:jc w:val="right"/>
              <w:rPr/>
            </w:pPr>
            <w:r>
              <w:rPr/>
              <w:t>140,995,686.39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“Underwriting” for a description of the compensation payable to the underwriters. </w:t>
            </w:r>
          </w:p>
        </w:tc>
      </w:tr>
    </w:tbl>
    <w:p>
      <w:pPr>
        <w:pStyle w:val="TextBody"/>
        <w:bidi w:val="0"/>
        <w:spacing w:before="240" w:after="0"/>
        <w:jc w:val="left"/>
        <w:rPr>
          <w:rFonts w:ascii="Arial" w:hAnsi="Arial"/>
          <w:sz w:val="20"/>
        </w:rPr>
      </w:pPr>
      <w:r>
        <w:rPr>
          <w:rFonts w:ascii="Arial" w:hAnsi="Arial"/>
          <w:sz w:val="20"/>
        </w:rPr>
        <w:t xml:space="preserve">We have granted the underwriters a 30-day option to purchase up to 2,589,184 additional ordinary shares from us at the public offering price, less the underwriting discount. </w:t>
      </w:r>
    </w:p>
    <w:p>
      <w:pPr>
        <w:pStyle w:val="TextBody"/>
        <w:bidi w:val="0"/>
        <w:spacing w:before="24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Arial" w:hAnsi="Arial"/>
          <w:sz w:val="20"/>
        </w:rPr>
      </w:pPr>
      <w:r>
        <w:rPr>
          <w:rFonts w:ascii="Arial" w:hAnsi="Arial"/>
          <w:sz w:val="20"/>
        </w:rPr>
        <w:t xml:space="preserve">The securities are expected to be delivered to purchasers on or about August 26,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0"/>
        <w:gridCol w:w="102"/>
        <w:gridCol w:w="5206"/>
        <w:gridCol w:w="101"/>
        <w:gridCol w:w="2246"/>
      </w:tblGrid>
      <w:tr>
        <w:trPr/>
        <w:tc>
          <w:tcPr>
            <w:tcW w:w="255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right"/>
              <w:rPr>
                <w:b/>
              </w:rPr>
            </w:pPr>
            <w:r>
              <w:rPr>
                <w:b/>
              </w:rPr>
              <w:t>Cantor</w:t>
            </w:r>
          </w:p>
        </w:tc>
      </w:tr>
    </w:tbl>
    <w:p>
      <w:pPr>
        <w:pStyle w:val="TextBody"/>
        <w:bidi w:val="0"/>
        <w:spacing w:before="720" w:after="0"/>
        <w:jc w:val="center"/>
        <w:rPr>
          <w:rFonts w:ascii="Arial" w:hAnsi="Arial"/>
          <w:sz w:val="20"/>
        </w:rPr>
      </w:pPr>
      <w:r>
        <w:rPr>
          <w:rFonts w:ascii="Arial" w:hAnsi="Arial"/>
          <w:sz w:val="20"/>
        </w:rPr>
        <w:t xml:space="preserve">Prospectus supplement dated August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240" w:after="0"/>
        <w:jc w:val="left"/>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3"/>
        <w:gridCol w:w="140"/>
        <w:gridCol w:w="60"/>
        <w:gridCol w:w="470"/>
        <w:gridCol w:w="62"/>
      </w:tblGrid>
      <w:tr>
        <w:trPr/>
        <w:tc>
          <w:tcPr>
            <w:tcW w:w="947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1">
              <w:r>
                <w:rPr>
                  <w:rStyle w:val="InternetLink"/>
                  <w:rFonts w:ascii="Arial" w:hAnsi="Arial"/>
                  <w:sz w:val="19"/>
                </w:rPr>
                <w:t>ABOUT THIS PROSPECTUS SUPPLEMENT</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2">
              <w:r>
                <w:rPr>
                  <w:rStyle w:val="InternetLink"/>
                  <w:rFonts w:ascii="Arial" w:hAnsi="Arial"/>
                  <w:sz w:val="19"/>
                </w:rPr>
                <w:t>PROSPECTUS SUPPLEMENT SUMMARY</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3">
              <w:r>
                <w:rPr>
                  <w:rStyle w:val="InternetLink"/>
                  <w:rFonts w:ascii="Arial" w:hAnsi="Arial"/>
                  <w:sz w:val="19"/>
                </w:rPr>
                <w:t>THE OFFERING</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4">
              <w:r>
                <w:rPr>
                  <w:rStyle w:val="InternetLink"/>
                  <w:rFonts w:ascii="Arial" w:hAnsi="Arial"/>
                  <w:sz w:val="19"/>
                </w:rPr>
                <w:t>RISK FACTORS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5">
              <w:r>
                <w:rPr>
                  <w:rStyle w:val="InternetLink"/>
                  <w:rFonts w:ascii="Arial" w:hAnsi="Arial"/>
                  <w:sz w:val="19"/>
                </w:rPr>
                <w:t>CAUTIONARY STATEMENT REGARDING FORWARD-LOOKING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6">
              <w:r>
                <w:rPr>
                  <w:rStyle w:val="InternetLink"/>
                  <w:rFonts w:ascii="Arial" w:hAnsi="Arial"/>
                  <w:sz w:val="19"/>
                </w:rPr>
                <w:t>USE OF PROCEEDS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7">
              <w:r>
                <w:rPr>
                  <w:rStyle w:val="InternetLink"/>
                  <w:rFonts w:ascii="Arial" w:hAnsi="Arial"/>
                  <w:sz w:val="19"/>
                </w:rPr>
                <w:t>DILUTION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8">
              <w:r>
                <w:rPr>
                  <w:rStyle w:val="InternetLink"/>
                  <w:rFonts w:ascii="Arial" w:hAnsi="Arial"/>
                  <w:sz w:val="19"/>
                </w:rPr>
                <w:t>DESCRIPTION OF PRE-FUNDED WARRANTS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9">
              <w:r>
                <w:rPr>
                  <w:rStyle w:val="InternetLink"/>
                  <w:rFonts w:ascii="Arial" w:hAnsi="Arial"/>
                  <w:sz w:val="19"/>
                </w:rPr>
                <w:t>TAXATION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10">
              <w:r>
                <w:rPr>
                  <w:rStyle w:val="InternetLink"/>
                  <w:rFonts w:ascii="Arial" w:hAnsi="Arial"/>
                  <w:sz w:val="19"/>
                </w:rPr>
                <w:t>UNDERWRITING</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11">
              <w:r>
                <w:rPr>
                  <w:rStyle w:val="InternetLink"/>
                  <w:rFonts w:ascii="Arial" w:hAnsi="Arial"/>
                  <w:sz w:val="19"/>
                </w:rPr>
                <w:t>LEGAL MATTERS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12">
              <w:r>
                <w:rPr>
                  <w:rStyle w:val="InternetLink"/>
                  <w:rFonts w:ascii="Arial" w:hAnsi="Arial"/>
                  <w:sz w:val="19"/>
                </w:rPr>
                <w:t>EXPERTS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13">
              <w:r>
                <w:rPr>
                  <w:rStyle w:val="InternetLink"/>
                  <w:rFonts w:ascii="Arial" w:hAnsi="Arial"/>
                  <w:sz w:val="19"/>
                </w:rPr>
                <w:t>WHERE YOU CAN FIND MORE INFORMATION</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rHeight w:val="240" w:hRule="atLeast"/>
        </w:trPr>
        <w:tc>
          <w:tcPr>
            <w:tcW w:w="9473" w:type="dxa"/>
            <w:tcBorders/>
            <w:vAlign w:val="center"/>
          </w:tcPr>
          <w:p>
            <w:pPr>
              <w:pStyle w:val="TableContents"/>
              <w:bidi w:val="0"/>
              <w:spacing w:before="0" w:after="283"/>
              <w:jc w:val="left"/>
              <w:rPr>
                <w:sz w:val="4"/>
                <w:szCs w:val="4"/>
              </w:rPr>
            </w:pPr>
            <w:r>
              <w:rPr>
                <w:sz w:val="4"/>
                <w:szCs w:val="4"/>
              </w:rPr>
            </w:r>
          </w:p>
        </w:tc>
        <w:tc>
          <w:tcPr>
            <w:tcW w:w="732" w:type="dxa"/>
            <w:gridSpan w:val="4"/>
            <w:tcBorders/>
            <w:vAlign w:val="center"/>
          </w:tcPr>
          <w:p>
            <w:pPr>
              <w:pStyle w:val="TableContents"/>
              <w:bidi w:val="0"/>
              <w:spacing w:before="0" w:after="283"/>
              <w:jc w:val="left"/>
              <w:rPr>
                <w:sz w:val="4"/>
                <w:szCs w:val="4"/>
              </w:rPr>
            </w:pPr>
            <w:r>
              <w:rPr>
                <w:sz w:val="4"/>
                <w:szCs w:val="4"/>
              </w:rPr>
            </w:r>
          </w:p>
        </w:tc>
      </w:tr>
      <w:tr>
        <w:trPr/>
        <w:tc>
          <w:tcPr>
            <w:tcW w:w="9473" w:type="dxa"/>
            <w:tcBorders/>
            <w:vAlign w:val="bottom"/>
          </w:tcPr>
          <w:p>
            <w:pPr>
              <w:pStyle w:val="TableContents"/>
              <w:bidi w:val="0"/>
              <w:spacing w:before="0" w:after="0"/>
              <w:jc w:val="left"/>
              <w:rPr/>
            </w:pPr>
            <w:hyperlink w:anchor="supptoc149127_14">
              <w:r>
                <w:rPr>
                  <w:rStyle w:val="InternetLink"/>
                  <w:rFonts w:ascii="Arial" w:hAnsi="Arial"/>
                  <w:sz w:val="19"/>
                </w:rPr>
                <w:t>INFORMATION INCORPORATED BY REFERENCE</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PROSPECTUS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2"/>
        <w:gridCol w:w="167"/>
        <w:gridCol w:w="60"/>
        <w:gridCol w:w="263"/>
        <w:gridCol w:w="63"/>
      </w:tblGrid>
      <w:tr>
        <w:trPr/>
        <w:tc>
          <w:tcPr>
            <w:tcW w:w="965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
              <w:r>
                <w:rPr>
                  <w:rStyle w:val="InternetLink"/>
                  <w:rFonts w:ascii="Arial" w:hAnsi="Arial"/>
                  <w:sz w:val="19"/>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2">
              <w:r>
                <w:rPr>
                  <w:rStyle w:val="InternetLink"/>
                  <w:rFonts w:ascii="Arial" w:hAnsi="Arial"/>
                  <w:sz w:val="19"/>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3">
              <w:r>
                <w:rPr>
                  <w:rStyle w:val="InternetLink"/>
                  <w:rFonts w:ascii="Arial" w:hAnsi="Arial"/>
                  <w:sz w:val="19"/>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4">
              <w:r>
                <w:rPr>
                  <w:rStyle w:val="InternetLink"/>
                  <w:rFonts w:ascii="Arial" w:hAnsi="Arial"/>
                  <w:sz w:val="19"/>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5">
              <w:r>
                <w:rPr>
                  <w:rStyle w:val="InternetLink"/>
                  <w:rFonts w:ascii="Arial" w:hAnsi="Arial"/>
                  <w:sz w:val="19"/>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6">
              <w:r>
                <w:rPr>
                  <w:rStyle w:val="InternetLink"/>
                  <w:rFonts w:ascii="Arial" w:hAnsi="Arial"/>
                  <w:sz w:val="19"/>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7">
              <w:r>
                <w:rPr>
                  <w:rStyle w:val="InternetLink"/>
                  <w:rFonts w:ascii="Arial" w:hAnsi="Arial"/>
                  <w:sz w:val="19"/>
                </w:rPr>
                <w:t>DESCRIPTION OF SHARE CAPITAL AND ARTICLES OF ASSOCIATION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8">
              <w:r>
                <w:rPr>
                  <w:rStyle w:val="InternetLink"/>
                  <w:rFonts w:ascii="Arial" w:hAnsi="Arial"/>
                  <w:sz w:val="19"/>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9">
              <w:r>
                <w:rPr>
                  <w:rStyle w:val="InternetLink"/>
                  <w:rFonts w:ascii="Arial" w:hAnsi="Arial"/>
                  <w:sz w:val="19"/>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0">
              <w:r>
                <w:rPr>
                  <w:rStyle w:val="InternetLink"/>
                  <w:rFonts w:ascii="Arial" w:hAnsi="Arial"/>
                  <w:sz w:val="19"/>
                </w:rPr>
                <w:t>DESCRIPTION OF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1">
              <w:r>
                <w:rPr>
                  <w:rStyle w:val="InternetLink"/>
                  <w:rFonts w:ascii="Arial" w:hAnsi="Arial"/>
                  <w:sz w:val="19"/>
                </w:rPr>
                <w:t>DESCRIPTION OF PURCHASE CONTRACTS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2">
              <w:r>
                <w:rPr>
                  <w:rStyle w:val="InternetLink"/>
                  <w:rFonts w:ascii="Arial" w:hAnsi="Arial"/>
                  <w:sz w:val="19"/>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3">
              <w:r>
                <w:rPr>
                  <w:rStyle w:val="InternetLink"/>
                  <w:rFonts w:ascii="Arial" w:hAnsi="Arial"/>
                  <w:sz w:val="19"/>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4">
              <w:r>
                <w:rPr>
                  <w:rStyle w:val="InternetLink"/>
                  <w:rFonts w:ascii="Arial" w:hAnsi="Arial"/>
                  <w:sz w:val="19"/>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5">
              <w:r>
                <w:rPr>
                  <w:rStyle w:val="InternetLink"/>
                  <w:rFonts w:ascii="Arial" w:hAnsi="Arial"/>
                  <w:sz w:val="19"/>
                </w:rPr>
                <w:t>EXPENSES OF 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6">
              <w:r>
                <w:rPr>
                  <w:rStyle w:val="InternetLink"/>
                  <w:rFonts w:ascii="Arial" w:hAnsi="Arial"/>
                  <w:sz w:val="19"/>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7">
              <w:r>
                <w:rPr>
                  <w:rStyle w:val="InternetLink"/>
                  <w:rFonts w:ascii="Arial" w:hAnsi="Arial"/>
                  <w:sz w:val="19"/>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8">
              <w:r>
                <w:rPr>
                  <w:rStyle w:val="InternetLink"/>
                  <w:rFonts w:ascii="Arial" w:hAnsi="Arial"/>
                  <w:sz w:val="19"/>
                </w:rPr>
                <w:t>ENFORCEMENT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9">
              <w:r>
                <w:rPr>
                  <w:rStyle w:val="InternetLink"/>
                  <w:rFonts w:ascii="Arial" w:hAnsi="Arial"/>
                  <w:sz w:val="19"/>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20">
              <w:r>
                <w:rPr>
                  <w:rStyle w:val="InternetLink"/>
                  <w:rFonts w:ascii="Arial" w:hAnsi="Arial"/>
                  <w:sz w:val="19"/>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 w:name="supptoc149127_1"/>
      <w:bookmarkEnd w:id="3"/>
      <w:r>
        <w:rPr>
          <w:rFonts w:ascii="Arial" w:hAnsi="Arial"/>
          <w:b/>
          <w:sz w:val="20"/>
        </w:rPr>
        <w:t xml:space="preserve">ABOUT THIS PROSPECTUS SUPPLEMENT </w:t>
      </w:r>
    </w:p>
    <w:p>
      <w:pPr>
        <w:pStyle w:val="TextBody"/>
        <w:bidi w:val="0"/>
        <w:spacing w:before="360" w:after="0"/>
        <w:jc w:val="left"/>
        <w:rPr>
          <w:rFonts w:ascii="Arial" w:hAnsi="Arial"/>
          <w:sz w:val="19"/>
        </w:rPr>
      </w:pPr>
      <w:r>
        <w:rPr>
          <w:rFonts w:ascii="Arial" w:hAnsi="Arial"/>
          <w:sz w:val="19"/>
        </w:rPr>
        <w:t xml:space="preserve">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the general terms of the securities that may be offered pursuant to the accompanying prospectus and the general manner in which those securities will be offered, some of which may not apply to this offering. This prospectus supplement and the information incorporated by reference in this prospectus supplement supplements, updates and amends the information contained in the accompanying prospectus. </w:t>
      </w:r>
    </w:p>
    <w:p>
      <w:pPr>
        <w:pStyle w:val="TextBody"/>
        <w:bidi w:val="0"/>
        <w:spacing w:before="180" w:after="0"/>
        <w:jc w:val="left"/>
        <w:rPr>
          <w:rFonts w:ascii="Arial" w:hAnsi="Arial"/>
          <w:sz w:val="19"/>
        </w:rPr>
      </w:pPr>
      <w:r>
        <w:rPr>
          <w:rFonts w:ascii="Arial" w:hAnsi="Arial"/>
          <w:sz w:val="19"/>
        </w:rPr>
        <w:t xml:space="preserve">Before buying any of the securities offered by this prospectus supplement, you should carefully read both this prospectus supplement and the accompanying prospectus, together with all of the information incorporated by reference in this prospectus supplement,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 </w:t>
      </w:r>
    </w:p>
    <w:p>
      <w:pPr>
        <w:pStyle w:val="TextBody"/>
        <w:bidi w:val="0"/>
        <w:spacing w:before="180" w:after="0"/>
        <w:jc w:val="left"/>
        <w:rPr>
          <w:rFonts w:ascii="Arial" w:hAnsi="Arial"/>
          <w:sz w:val="19"/>
        </w:rPr>
      </w:pPr>
      <w:r>
        <w:rPr>
          <w:rFonts w:ascii="Arial" w:hAnsi="Arial"/>
          <w:sz w:val="19"/>
        </w:rPr>
        <w:t xml:space="preserve">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180" w:after="0"/>
        <w:jc w:val="left"/>
        <w:rPr>
          <w:rFonts w:ascii="Arial" w:hAnsi="Arial"/>
          <w:sz w:val="19"/>
        </w:rPr>
      </w:pPr>
      <w:r>
        <w:rPr>
          <w:rFonts w:ascii="Arial" w:hAnsi="Arial"/>
          <w:sz w:val="19"/>
        </w:rPr>
        <w:t xml:space="preserve">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in the accompanying prospectus or the sale of any securities. Our business, financial condition, results of operations and prospects may have changed materially since those dates. </w:t>
      </w:r>
    </w:p>
    <w:p>
      <w:pPr>
        <w:pStyle w:val="TextBody"/>
        <w:bidi w:val="0"/>
        <w:spacing w:before="180" w:after="0"/>
        <w:jc w:val="left"/>
        <w:rPr>
          <w:rFonts w:ascii="Arial" w:hAnsi="Arial"/>
          <w:sz w:val="19"/>
        </w:rPr>
      </w:pPr>
      <w:r>
        <w:rPr>
          <w:rFonts w:ascii="Arial" w:hAnsi="Arial"/>
          <w:sz w:val="19"/>
        </w:rPr>
        <w:t xml:space="preserve">Neither we nor the underwriters have authorized anyone to provide you with information that is different from that contained or incorporated by reference in this prospectus supplement, the accompanying prospectus, or any free writing prospectus we may authorize to be delivered or made available to you. Neither we nor the underwriters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w:t>
      </w:r>
    </w:p>
    <w:p>
      <w:pPr>
        <w:pStyle w:val="TextBody"/>
        <w:bidi w:val="0"/>
        <w:spacing w:before="180" w:after="0"/>
        <w:jc w:val="left"/>
        <w:rPr>
          <w:rFonts w:ascii="Arial" w:hAnsi="Arial"/>
          <w:sz w:val="19"/>
        </w:rPr>
      </w:pPr>
      <w:r>
        <w:rPr>
          <w:rFonts w:ascii="Arial" w:hAnsi="Arial"/>
          <w:sz w:val="19"/>
        </w:rPr>
        <w:t xml:space="preserve">For investors outside the United States: Neither we nor the underwriters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 </w:t>
      </w:r>
    </w:p>
    <w:p>
      <w:pPr>
        <w:pStyle w:val="TextBody"/>
        <w:bidi w:val="0"/>
        <w:spacing w:before="180" w:after="0"/>
        <w:jc w:val="left"/>
        <w:rPr>
          <w:rFonts w:ascii="Arial" w:hAnsi="Arial"/>
          <w:sz w:val="19"/>
        </w:rPr>
      </w:pPr>
      <w:r>
        <w:rPr>
          <w:rFonts w:ascii="Arial" w:hAnsi="Arial"/>
          <w:sz w:val="19"/>
        </w:rPr>
        <w:t>Unless otherwise indicated or the context otherwise requires, (i) all references to the “company,” “we,” “our” or “us” or similar terms refer to Immatics N.V., together with its subsidiaries, including Immatics Biotechnologies GmbH and Immatics US, Inc., and (ii) references to “Immatics” refer solely to Immatics N.V. Immatics N.V. is a Dutch public limited liability company (</w:t>
      </w:r>
      <w:r>
        <w:rPr>
          <w:rFonts w:ascii="Arial" w:hAnsi="Arial"/>
          <w:i/>
          <w:sz w:val="19"/>
        </w:rPr>
        <w:t>naamloze vennootschap</w:t>
      </w:r>
      <w:r>
        <w:rPr>
          <w:rFonts w:ascii="Arial" w:hAnsi="Arial"/>
          <w:sz w:val="19"/>
        </w:rPr>
        <w:t xml:space="preserve">) incorporated on March 10, 2020 and the holding company of Immatics Biotechnologies GmbH, a German biopharmaceutical company incorporated in 2000 focused on the development of T cell receptor-based immunotherapies for the treatment of cancer. Immatics Biotechnologies GmbH holds all material assets and conducts all business activities and operations of Immatics N.V.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Trademarks </w:t>
      </w:r>
    </w:p>
    <w:p>
      <w:pPr>
        <w:pStyle w:val="TextBody"/>
        <w:bidi w:val="0"/>
        <w:spacing w:before="80" w:after="0"/>
        <w:jc w:val="left"/>
        <w:rPr>
          <w:rFonts w:ascii="Arial" w:hAnsi="Arial"/>
          <w:sz w:val="19"/>
        </w:rPr>
      </w:pPr>
      <w:r>
        <w:rPr>
          <w:rFonts w:ascii="Arial" w:hAnsi="Arial"/>
          <w:sz w:val="19"/>
        </w:rPr>
        <w:t xml:space="preserve">We own various trademark registrations and applications, and unregistered trademarks, including Immatics®, XPRESIDENT®, ACTengine®, ACTallo®, ACTolog®, XCEPTOR®, TCER®, AbsQuant®, IMADetect® and our corporate logo. All other trade names, trademarks and service marks of other companies appearing in this prospectus supplement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 </w:t>
      </w:r>
    </w:p>
    <w:p>
      <w:pPr>
        <w:pStyle w:val="TextBody"/>
        <w:bidi w:val="0"/>
        <w:spacing w:before="240" w:after="0"/>
        <w:jc w:val="left"/>
        <w:rPr>
          <w:rFonts w:ascii="Arial" w:hAnsi="Arial"/>
          <w:b/>
          <w:sz w:val="20"/>
        </w:rPr>
      </w:pPr>
      <w:r>
        <w:rPr>
          <w:rFonts w:ascii="Arial" w:hAnsi="Arial"/>
          <w:b/>
          <w:sz w:val="20"/>
        </w:rPr>
        <w:t xml:space="preserve">Presentation of Financial Information </w:t>
      </w:r>
    </w:p>
    <w:p>
      <w:pPr>
        <w:pStyle w:val="TextBody"/>
        <w:bidi w:val="0"/>
        <w:spacing w:before="80" w:after="0"/>
        <w:jc w:val="left"/>
        <w:rPr>
          <w:rFonts w:ascii="Arial" w:hAnsi="Arial"/>
          <w:sz w:val="19"/>
        </w:rPr>
      </w:pPr>
      <w:r>
        <w:rPr>
          <w:rFonts w:ascii="Arial" w:hAnsi="Arial"/>
          <w:sz w:val="19"/>
        </w:rPr>
        <w:t>Our consolidated financial statements are presented in euros and have been prepared in accordance with International Financial Reporting Standards as issued by the International Accounting Standards Board (“IFRS”). None of the consolidated financial statements were prepared in accordance with generally accepted accounting principles in the United States (“U.S. GAAP”). The terms “dollar,” “USD” or “$” refer to the U.S. dollar and the term “euro,” “EUR” or “</w:t>
      </w:r>
      <w:r>
        <w:rPr>
          <w:rFonts w:ascii="Times New Roman" w:hAnsi="Times New Roman"/>
          <w:sz w:val="19"/>
        </w:rPr>
        <w:t></w:t>
      </w:r>
      <w:r>
        <w:rPr>
          <w:rFonts w:ascii="Arial" w:hAnsi="Arial"/>
          <w:sz w:val="19"/>
        </w:rPr>
        <w:t xml:space="preserve">” refer to the euro, unless otherwise indicated. The exchange rate used in this prospectus supplement for conversion between U.S. dollars and euros is based on the ECB euro reference exchange rate published by the European Central Bank, as of June 30, 2026, unless otherwise indicated. We have made rounding adjustments to some of the figures included in this prospectus supplement. Accordingly, any numerical discrepancies in any table between totals and sums of the amounts listed are due to rounding. </w:t>
      </w:r>
    </w:p>
    <w:p>
      <w:pPr>
        <w:pStyle w:val="TextBody"/>
        <w:bidi w:val="0"/>
        <w:spacing w:before="240" w:after="0"/>
        <w:jc w:val="left"/>
        <w:rPr>
          <w:rFonts w:ascii="Arial" w:hAnsi="Arial"/>
          <w:b/>
          <w:sz w:val="20"/>
        </w:rPr>
      </w:pPr>
      <w:r>
        <w:rPr>
          <w:rFonts w:ascii="Arial" w:hAnsi="Arial"/>
          <w:b/>
          <w:sz w:val="20"/>
        </w:rPr>
        <w:t xml:space="preserve">Market and Industry Data </w:t>
      </w:r>
    </w:p>
    <w:p>
      <w:pPr>
        <w:pStyle w:val="TextBody"/>
        <w:bidi w:val="0"/>
        <w:spacing w:before="80" w:after="0"/>
        <w:jc w:val="left"/>
        <w:rPr>
          <w:rFonts w:ascii="Arial" w:hAnsi="Arial"/>
          <w:sz w:val="19"/>
        </w:rPr>
      </w:pPr>
      <w:r>
        <w:rPr>
          <w:rFonts w:ascii="Arial" w:hAnsi="Arial"/>
          <w:sz w:val="19"/>
        </w:rPr>
        <w:t xml:space="preserve">This prospectus supplement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While we are not aware of any misstatements regarding such third-party publications, surveys and studies, industry, market and competitive position data involve risks and uncertainties and are subject to change based on various factors, including those identified in the “Risk Factors” section of this prospectus supplement and in the documents incorporated by reference in this prospectus supplement.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bookmarkStart w:id="4" w:name="supptoc149127_2"/>
      <w:bookmarkEnd w:id="4"/>
      <w:r>
        <w:rPr>
          <w:rFonts w:ascii="Arial" w:hAnsi="Arial"/>
          <w:b/>
          <w:sz w:val="20"/>
          <w:bdr w:val="single" w:sz="8" w:space="1" w:color="000000"/>
        </w:rPr>
        <w:t xml:space="preserve">PROSPECTUS SUPPLEMENT SUMMARY </w:t>
      </w:r>
    </w:p>
    <w:p>
      <w:pPr>
        <w:pStyle w:val="TextBody"/>
        <w:bidi w:val="0"/>
        <w:spacing w:before="360" w:after="0"/>
        <w:jc w:val="left"/>
        <w:rPr>
          <w:rFonts w:ascii="Arial" w:hAnsi="Arial"/>
          <w:i/>
          <w:sz w:val="19"/>
          <w:bdr w:val="single" w:sz="8" w:space="1" w:color="000000"/>
        </w:rPr>
      </w:pPr>
      <w:r>
        <w:rPr>
          <w:rFonts w:ascii="Arial" w:hAnsi="Arial"/>
          <w:i/>
          <w:sz w:val="19"/>
          <w:bdr w:val="single" w:sz="8" w:space="1" w:color="000000"/>
        </w:rPr>
        <w:t xml:space="preserve">This summary highlights information contained elsewhere in this prospectus supplement or incorporated by reference in this prospectus supplement. This summary may not contain all the information that may be important to you, and we urge you to read this entire prospectus supplement and the documents incorporated by reference in this prospectus supplement carefully before deciding to invest in our securities.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Company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 clinical-stage biotechnology company and the global leader in precision targeting of PRAME, a target expressed in more than 50 cancers. Our cutting-edge science and robust clinical pipeline form the broadest PRAME franchise with the most PRAME indications and modalities. Our mission is to make a meaningful impact on the lives of patients with cancer and high unmet medical needs by producing novel, PRAME-directed immunotherapies that provide tangible clinical benefits. We strive to become an industry-leading, fully integrated global biopharmaceutical company engaged in developing, manufacturing and commercializing PRAME immunotherapies for the benefit of cancer patients, our shareholders, our employees and our partners.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PRAME is an intracellular protein presented as a peptide on the surface of tumor cells by HLA molecules. The PRAME peptide can be targeted by T-cell receptors (“TCRs”) engineered by Immatics, thus overcoming the limitations of classical antibodies and CAR T-cell therapies not able to access intracellular targets. Our PRAME franchise includes multiple product candidates, therapeutic modalities, indications and combination approaches: anzu-cel (anzutresgene autoleucel; IMA203) and IMA203CD8, both PRAME-directed cell therapies, and IMA402, a PRAME-directed bispecific. Combination approaches include IMA402 with immune checkpoint inhibitors, IMA402 with the MAGEA4/8-directed bispecific IMA401, and anzu-cel in combination with Moderna’s PRAME mRNA therapy designed to enhance the cell therapy response. Each modality targeting PRAME, cell therapy and bispecific, is designed with distinct attributes and mechanisms of action to produce the desired therapeutic effect for the targeted cancer patient populations.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Company and Corporate Information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We were incorporated as a Dutch private limited liability company (</w:t>
      </w:r>
      <w:r>
        <w:rPr>
          <w:rFonts w:ascii="Arial" w:hAnsi="Arial"/>
          <w:i/>
          <w:sz w:val="19"/>
          <w:bdr w:val="single" w:sz="8" w:space="1" w:color="000000"/>
        </w:rPr>
        <w:t>besloten vennootschap met beperkte aansprakelijkheid</w:t>
      </w:r>
      <w:r>
        <w:rPr>
          <w:rFonts w:ascii="Arial" w:hAnsi="Arial"/>
          <w:sz w:val="19"/>
          <w:bdr w:val="single" w:sz="8" w:space="1" w:color="000000"/>
        </w:rPr>
        <w:t>) under the name Immatics B.V. on March 10, 2020 solely for the purpose of effectuating the business combination (the “Business Combination”) between us, ARYA Sciences Acquisition Corp., a Cayman Islands exempted company, Immatics Biotechnologies GmbH, a German limited liability company, Immatics Merger Sub 1, a Cayman Islands exempted company, and Immatics Merger Sub 2, a Cayman Islands exempted company. Upon the closing of the Business Combination on July 1, 2020, we converted into a Dutch public limited liability company (</w:t>
      </w:r>
      <w:r>
        <w:rPr>
          <w:rFonts w:ascii="Arial" w:hAnsi="Arial"/>
          <w:i/>
          <w:sz w:val="19"/>
          <w:bdr w:val="single" w:sz="8" w:space="1" w:color="000000"/>
        </w:rPr>
        <w:t>naamloze vennootschap</w:t>
      </w:r>
      <w:r>
        <w:rPr>
          <w:rFonts w:ascii="Arial" w:hAnsi="Arial"/>
          <w:sz w:val="19"/>
          <w:bdr w:val="single" w:sz="8" w:space="1" w:color="000000"/>
        </w:rPr>
        <w:t xml:space="preserve">) and changed our name to Immatics N.V.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We are registered in the Commercial Register of the Chamber of Commerce (</w:t>
      </w:r>
      <w:r>
        <w:rPr>
          <w:rFonts w:ascii="Arial" w:hAnsi="Arial"/>
          <w:i/>
          <w:sz w:val="19"/>
          <w:bdr w:val="single" w:sz="8" w:space="1" w:color="000000"/>
        </w:rPr>
        <w:t>Kamer van Koophandel</w:t>
      </w:r>
      <w:r>
        <w:rPr>
          <w:rFonts w:ascii="Arial" w:hAnsi="Arial"/>
          <w:sz w:val="19"/>
          <w:bdr w:val="single" w:sz="8" w:space="1" w:color="000000"/>
        </w:rPr>
        <w:t xml:space="preserve">) in the Netherlands under number 77595726. We have our corporate seat in Amsterdam, the Netherlands and our registered office is at Paul-Ehrlich-Straße 15, 72076 Tübingen, Federal Republic of Germany, and our telephone number is +49 (7071) 5397-0. Our executive office in the United States is located at Immatics US, Inc., 13203 Murphy Rd., Suite 100, Stafford, Texas 77477 and our telephone number is +1 (346) 204-5400. Our website is </w:t>
      </w:r>
      <w:r>
        <w:rPr>
          <w:rFonts w:ascii="Arial" w:hAnsi="Arial"/>
          <w:i/>
          <w:sz w:val="19"/>
          <w:bdr w:val="single" w:sz="8" w:space="1" w:color="000000"/>
        </w:rPr>
        <w:t>www.immatics.com</w:t>
      </w:r>
      <w:r>
        <w:rPr>
          <w:rFonts w:ascii="Arial" w:hAnsi="Arial"/>
          <w:sz w:val="19"/>
          <w:bdr w:val="single" w:sz="8" w:space="1" w:color="000000"/>
        </w:rPr>
        <w:t xml:space="preserve">. The reference to our website is an inactive textual reference only, and information contained therein or connected thereto is not incorporated into this prospectus supplement or the registration statement of which it forms a part.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Implications of Being a Foreign Private Issuer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 “foreign private issuer.” Accordingly, we report under the Exchange Act of 1934, as amended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sections of the Exchange Act imposing liability on insiders who profit from trades made in a short period of time;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this prospectus supplement and in the documents incorporated by reference in this prospectus supplement, we have taken advantage of certain of the reduced reporting requirements as a result of being a foreign private issuer. Accordingly, the information contained in this prospectus supplement and in the documents incorporated by reference in this prospectus supplement may be different than the information you receive from other public companies in which you hold equity securities.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bookmarkStart w:id="5" w:name="supptoc149127_3"/>
      <w:bookmarkEnd w:id="5"/>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Ordinary shares offered by us </w:t>
            </w:r>
          </w:p>
        </w:tc>
        <w:tc>
          <w:tcPr>
            <w:tcW w:w="6329" w:type="dxa"/>
            <w:tcBorders/>
          </w:tcPr>
          <w:p>
            <w:pPr>
              <w:pStyle w:val="TableContents"/>
              <w:bidi w:val="0"/>
              <w:spacing w:before="0" w:after="283"/>
              <w:jc w:val="left"/>
              <w:rPr/>
            </w:pPr>
            <w:r>
              <w:rPr/>
              <w:t xml:space="preserve">12,945,916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sz w:val="19"/>
              </w:rPr>
            </w:pPr>
            <w:r>
              <w:rPr>
                <w:rFonts w:ascii="Arial" w:hAnsi="Arial"/>
                <w:sz w:val="19"/>
              </w:rPr>
              <w:t xml:space="preserve">Pre-funded warrants offered by us </w:t>
            </w:r>
          </w:p>
        </w:tc>
        <w:tc>
          <w:tcPr>
            <w:tcW w:w="6328" w:type="dxa"/>
            <w:tcBorders/>
          </w:tcPr>
          <w:p>
            <w:pPr>
              <w:pStyle w:val="TableContents"/>
              <w:bidi w:val="0"/>
              <w:spacing w:before="0" w:after="283"/>
              <w:jc w:val="left"/>
              <w:rPr/>
            </w:pPr>
            <w:r>
              <w:rPr/>
              <w:t xml:space="preserve">Pre-funded warrants to purchase 4,315,304 ordinary shares. The purchase price of each pre-funded warrant will equal the price per share at which the ordinary shares are being sold to the public in this offering, minus $0.001, which is the exercise price of each pre-funded warrant. Each pre-funded warrant will be exercisable from the date of issuance until fully exercised, subject to an ownership limitation. See “Description of Pre-Funded Warrants” on page S-13 of this prospectus supplement. This prospectus supplement also relates to the offering of the ordinary shares issuable upon exercise of such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Option to purchase additional shares </w:t>
            </w:r>
          </w:p>
        </w:tc>
        <w:tc>
          <w:tcPr>
            <w:tcW w:w="6329" w:type="dxa"/>
            <w:tcBorders/>
          </w:tcPr>
          <w:p>
            <w:pPr>
              <w:pStyle w:val="TableContents"/>
              <w:bidi w:val="0"/>
              <w:spacing w:before="0" w:after="283"/>
              <w:jc w:val="left"/>
              <w:rPr/>
            </w:pPr>
            <w:r>
              <w:rPr/>
              <w:t xml:space="preserve">We have granted to the underwriters an option, exercisable for 30 days from the date of this prospectus supplement, to purchase up to an additional 2,589,184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Ordinary shares outstanding immediately after this offering </w:t>
            </w:r>
          </w:p>
        </w:tc>
        <w:tc>
          <w:tcPr>
            <w:tcW w:w="6329" w:type="dxa"/>
            <w:tcBorders/>
          </w:tcPr>
          <w:p>
            <w:pPr>
              <w:pStyle w:val="TableContents"/>
              <w:bidi w:val="0"/>
              <w:spacing w:before="0" w:after="283"/>
              <w:jc w:val="left"/>
              <w:rPr/>
            </w:pPr>
            <w:r>
              <w:rPr/>
              <w:t xml:space="preserve">149,635,893 ordinary shares (or 152,225,077 ordinary shares if the underwriters’ option to purchase additional shares is exercised in full), excluding ordinary shares issuable upon the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Use of proceeds </w:t>
            </w:r>
          </w:p>
        </w:tc>
        <w:tc>
          <w:tcPr>
            <w:tcW w:w="6329" w:type="dxa"/>
            <w:tcBorders/>
          </w:tcPr>
          <w:p>
            <w:pPr>
              <w:pStyle w:val="TableContents"/>
              <w:bidi w:val="0"/>
              <w:spacing w:before="0" w:after="283"/>
              <w:jc w:val="left"/>
              <w:rPr/>
            </w:pPr>
            <w:r>
              <w:rPr/>
              <w:t xml:space="preserve">We estimate that the net proceeds from this offering will be approximately $140.0 million (or $161.1 million if the underwriters’ option to purchase additional shares is exercised in full), after deducting the underwriting discount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from this offering to fund the continued research and development of our pipeline, the manufacturing, production and, if approved, commercialization of our product candidates and for working capital and other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Risk factors </w:t>
            </w:r>
          </w:p>
        </w:tc>
        <w:tc>
          <w:tcPr>
            <w:tcW w:w="6329" w:type="dxa"/>
            <w:tcBorders/>
          </w:tcPr>
          <w:p>
            <w:pPr>
              <w:pStyle w:val="TableContents"/>
              <w:bidi w:val="0"/>
              <w:spacing w:before="0" w:after="283"/>
              <w:jc w:val="left"/>
              <w:rPr/>
            </w:pPr>
            <w:r>
              <w:rPr/>
              <w:t xml:space="preserve">Investing in our securities involves a high degree of risk. See the “Risk Factors” section beginning on page S-7 of this prospectus supplement and in the documents incorporated by reference in this prospectus supplement and the accompanying prospectus for a discussion of factors you should consider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Nasdaq symbol </w:t>
            </w:r>
          </w:p>
        </w:tc>
        <w:tc>
          <w:tcPr>
            <w:tcW w:w="6329" w:type="dxa"/>
            <w:tcBorders/>
          </w:tcPr>
          <w:p>
            <w:pPr>
              <w:pStyle w:val="TableContents"/>
              <w:bidi w:val="0"/>
              <w:spacing w:before="0" w:after="283"/>
              <w:jc w:val="left"/>
              <w:rPr/>
            </w:pPr>
            <w:r>
              <w:rPr/>
              <w:t xml:space="preserve">Our ordinary shares are listed on Nasdaq under the symbol “IMTX.” There is no established public trading market for the pre-funded warrants and we do not intend to apply to list the pre-funded warrants on Nasdaq, any other national securities exchange or any other nationally recognized trading system.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In this prospectus supplement, unless otherwise indicated, the number of ordinary shares outstanding after this offering is based on 136,689,977 ordinary shares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20,710,715 ordinary shares issuable upon exercise of options outstanding as of June 30, 2026, at an average weighted exercise price of </w:t>
            </w:r>
            <w:r>
              <w:rPr>
                <w:rFonts w:ascii="Times New Roman" w:hAnsi="Times New Roman"/>
                <w:sz w:val="19"/>
              </w:rPr>
              <w:t></w:t>
            </w:r>
            <w:r>
              <w:rPr>
                <w:rFonts w:ascii="Arial" w:hAnsi="Arial"/>
                <w:sz w:val="19"/>
              </w:rPr>
              <w:t xml:space="preserve">8.25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1,233,080 ordinary shares issuable upon the vesting of restricted share units outstanding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8,433,017 additional ordinary shares reserved for future issuance under our share-based compensation plans as of June 30, 2026.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Unless otherwise indicated, all information in this prospectus supplement assumes (i) no exercise of outstanding options and no vesting of restricted stock units after June 30, 2026, (ii) no exercise of the pre-funded warrants that we are offering in this offering, and (iii) no exercise of the underwriters’ option to purchase up to 2,589,184 ordinary shares in this offering.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6" w:name="supptoc149127_4"/>
      <w:bookmarkEnd w:id="6"/>
      <w:r>
        <w:rPr>
          <w:rFonts w:ascii="Arial" w:hAnsi="Arial"/>
          <w:b/>
          <w:sz w:val="20"/>
        </w:rPr>
        <w:t xml:space="preserve">RISK FACTORS </w:t>
      </w:r>
    </w:p>
    <w:p>
      <w:pPr>
        <w:pStyle w:val="TextBody"/>
        <w:bidi w:val="0"/>
        <w:spacing w:before="360" w:after="0"/>
        <w:jc w:val="left"/>
        <w:rPr>
          <w:rFonts w:ascii="Arial" w:hAnsi="Arial"/>
          <w:i/>
          <w:sz w:val="19"/>
        </w:rPr>
      </w:pPr>
      <w:r>
        <w:rPr>
          <w:rFonts w:ascii="Arial" w:hAnsi="Arial"/>
          <w:i/>
          <w:sz w:val="19"/>
        </w:rPr>
        <w:t xml:space="preserve">Investing in our securities involves risk. Before making a decision to invest in our securities, you should carefully consider the following risks and those included in our Annual Report on Form 20-F for the year ended December 31, 2025,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w:t>
      </w:r>
    </w:p>
    <w:p>
      <w:pPr>
        <w:pStyle w:val="TextBody"/>
        <w:bidi w:val="0"/>
        <w:spacing w:before="240" w:after="0"/>
        <w:jc w:val="left"/>
        <w:rPr>
          <w:rFonts w:ascii="Arial" w:hAnsi="Arial"/>
          <w:b/>
          <w:sz w:val="20"/>
        </w:rPr>
      </w:pPr>
      <w:r>
        <w:rPr>
          <w:rFonts w:ascii="Arial" w:hAnsi="Arial"/>
          <w:b/>
          <w:sz w:val="20"/>
        </w:rPr>
        <w:t xml:space="preserve">Risks Related to this Offering </w:t>
      </w:r>
    </w:p>
    <w:p>
      <w:pPr>
        <w:pStyle w:val="TextBody"/>
        <w:bidi w:val="0"/>
        <w:spacing w:before="80" w:after="0"/>
        <w:jc w:val="left"/>
        <w:rPr>
          <w:rFonts w:ascii="Arial" w:hAnsi="Arial"/>
          <w:b/>
          <w:i/>
          <w:sz w:val="19"/>
        </w:rPr>
      </w:pPr>
      <w:r>
        <w:rPr>
          <w:rFonts w:ascii="Arial" w:hAnsi="Arial"/>
          <w:b/>
          <w:i/>
          <w:sz w:val="19"/>
        </w:rPr>
        <w:t xml:space="preserve">If you purchase ordinary shares or pre-funded warrants in this offering, you will suffer immediate dilution of your investment. </w:t>
      </w:r>
    </w:p>
    <w:p>
      <w:pPr>
        <w:pStyle w:val="TextBody"/>
        <w:bidi w:val="0"/>
        <w:spacing w:before="80" w:after="0"/>
        <w:jc w:val="left"/>
        <w:rPr>
          <w:rFonts w:ascii="Arial" w:hAnsi="Arial"/>
          <w:sz w:val="19"/>
        </w:rPr>
      </w:pPr>
      <w:r>
        <w:rPr>
          <w:rFonts w:ascii="Arial" w:hAnsi="Arial"/>
          <w:sz w:val="19"/>
        </w:rPr>
        <w:t xml:space="preserve">The public offering price per share may exceed our as adjusted net tangible book value per share. Therefore, if you purchase ordinary shares or pre-funded warrants in this offering, you may pay a price per share that substantially exceeds our as adjusted net tangible book value per share immediately after this offering. To the extent outstanding options or pre-funded warrants are exercised, you will incur further dilution. After giving effect to this offering and after deducting the underwriting discount and estimated offering expenses payable by us, you would experience immediate dilution in an amount equal to the difference between the public offering price and our as adjusted net tangible book value per share as of June 30, 2026, after giving effect to this offering. See “Dilution.” </w:t>
      </w:r>
    </w:p>
    <w:p>
      <w:pPr>
        <w:pStyle w:val="TextBody"/>
        <w:bidi w:val="0"/>
        <w:spacing w:before="80" w:after="0"/>
        <w:jc w:val="left"/>
        <w:rPr>
          <w:rFonts w:ascii="Arial" w:hAnsi="Arial"/>
          <w:b/>
          <w:i/>
          <w:sz w:val="19"/>
        </w:rPr>
      </w:pPr>
      <w:r>
        <w:rPr>
          <w:rFonts w:ascii="Arial" w:hAnsi="Arial"/>
          <w:b/>
          <w:i/>
          <w:sz w:val="19"/>
        </w:rPr>
        <w:t xml:space="preserve">Future sales, or the possibility of future sales, of a substantial number of our ordinary shares could adversely affect the price of our ordinary shares and dilute shareholders. </w:t>
      </w:r>
    </w:p>
    <w:p>
      <w:pPr>
        <w:pStyle w:val="TextBody"/>
        <w:bidi w:val="0"/>
        <w:spacing w:before="40" w:after="0"/>
        <w:jc w:val="left"/>
        <w:rPr>
          <w:rFonts w:ascii="Arial" w:hAnsi="Arial"/>
          <w:sz w:val="19"/>
        </w:rPr>
      </w:pPr>
      <w:r>
        <w:rPr>
          <w:rFonts w:ascii="Arial" w:hAnsi="Arial"/>
          <w:sz w:val="19"/>
        </w:rPr>
        <w:t xml:space="preserve">Future sales of a substantial number of our ordinary shares, or the perception that such sales will occur, could cause a decline in the market price of our ordinary shares.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 </w:t>
      </w:r>
    </w:p>
    <w:p>
      <w:pPr>
        <w:pStyle w:val="TextBody"/>
        <w:bidi w:val="0"/>
        <w:spacing w:before="180" w:after="0"/>
        <w:jc w:val="left"/>
        <w:rPr>
          <w:rFonts w:ascii="Arial" w:hAnsi="Arial"/>
          <w:sz w:val="19"/>
        </w:rPr>
      </w:pPr>
      <w:r>
        <w:rPr>
          <w:rFonts w:ascii="Arial" w:hAnsi="Arial"/>
          <w:sz w:val="19"/>
        </w:rPr>
        <w:t xml:space="preserve">Moreover, we have registered on registration statements on Form F-3 for the sale of shares held by certain of our shareholders and have registered on registration statements on Form S-8 all ordinary shares that we may issue under our equity incentive plan. As a result, these shares can be freely sold in the public market upon issuance, subject to restrictions applicable to affiliates. If these additional shares are sold, or if it is perceived that they will be sold, in the public market, the trading price of our ordinary shares could decline. </w:t>
      </w:r>
    </w:p>
    <w:p>
      <w:pPr>
        <w:pStyle w:val="TextBody"/>
        <w:bidi w:val="0"/>
        <w:spacing w:before="180" w:after="0"/>
        <w:jc w:val="left"/>
        <w:rPr>
          <w:rFonts w:ascii="Arial" w:hAnsi="Arial"/>
          <w:sz w:val="19"/>
        </w:rPr>
      </w:pPr>
      <w:r>
        <w:rPr>
          <w:rFonts w:ascii="Arial" w:hAnsi="Arial"/>
          <w:sz w:val="19"/>
        </w:rPr>
        <w:t xml:space="preserve">If we sell ordinary shares, convertible securities or other equity securities, existing shareholders may be diluted by such sales, and in certain cases new investors could gain rights superior to those of our existing shareholders. We are currently party to a sales agreement with Leerink Partners LLC, pursuant to which we may sell our ordinary shares from time to time through an “at-the-market” equity offering program. We have filed a prospectus supplement with the SEC registering the offer and sale of our ordinary shares having an aggregate offering price of $150 million under the program. Any sales of our ordinary shares, or the perception that such sales could occur, could have a negative impact on the trading price of our ordinary shares. </w:t>
      </w:r>
    </w:p>
    <w:p>
      <w:pPr>
        <w:pStyle w:val="TextBody"/>
        <w:bidi w:val="0"/>
        <w:spacing w:before="80" w:after="0"/>
        <w:jc w:val="left"/>
        <w:rPr>
          <w:rFonts w:ascii="Arial" w:hAnsi="Arial"/>
          <w:b/>
          <w:i/>
          <w:sz w:val="19"/>
        </w:rPr>
      </w:pPr>
      <w:r>
        <w:rPr>
          <w:rFonts w:ascii="Arial" w:hAnsi="Arial"/>
          <w:b/>
          <w:i/>
          <w:sz w:val="19"/>
        </w:rPr>
        <w:t xml:space="preserve">We have broad discretion in the use of the net proceeds from this offering, and we may not use them effectively. </w:t>
      </w:r>
    </w:p>
    <w:p>
      <w:pPr>
        <w:pStyle w:val="TextBody"/>
        <w:bidi w:val="0"/>
        <w:spacing w:before="40" w:after="0"/>
        <w:jc w:val="left"/>
        <w:rPr>
          <w:rFonts w:ascii="Arial" w:hAnsi="Arial"/>
          <w:sz w:val="19"/>
        </w:rPr>
      </w:pPr>
      <w:r>
        <w:rPr>
          <w:rFonts w:ascii="Arial" w:hAnsi="Arial"/>
          <w:sz w:val="19"/>
        </w:rPr>
        <w:t xml:space="preserve">We currently intend to use the net proceeds from this offering as described in “Use of Proceeds.” However, our board of directors and our management retain broad discretion in the application of the net proceeds from this offering and could spend the proceeds in ways that do not improve our results of operations or enhance the value of our ordinary shares. Our failure to apply these funds effectively could result in financial losses, which could have a material adverse effect on our business, results of operations, financial condition and prospects. </w:t>
      </w:r>
    </w:p>
    <w:p>
      <w:pPr>
        <w:pStyle w:val="TextBody"/>
        <w:bidi w:val="0"/>
        <w:spacing w:before="80" w:after="0"/>
        <w:jc w:val="left"/>
        <w:rPr>
          <w:rFonts w:ascii="Arial" w:hAnsi="Arial"/>
          <w:b/>
          <w:i/>
          <w:sz w:val="19"/>
        </w:rPr>
      </w:pPr>
      <w:r>
        <w:rPr>
          <w:rFonts w:ascii="Arial" w:hAnsi="Arial"/>
          <w:b/>
          <w:i/>
          <w:sz w:val="19"/>
        </w:rPr>
        <w:t xml:space="preserve">If a United States person is treated as owning at least 10% of our ordinary shares, such United States person may be subject to adverse U.S. federal income tax consequences. </w:t>
      </w:r>
    </w:p>
    <w:p>
      <w:pPr>
        <w:pStyle w:val="TextBody"/>
        <w:bidi w:val="0"/>
        <w:spacing w:before="40" w:after="0"/>
        <w:jc w:val="left"/>
        <w:rPr>
          <w:rFonts w:ascii="Arial" w:hAnsi="Arial"/>
          <w:sz w:val="19"/>
        </w:rPr>
      </w:pPr>
      <w:r>
        <w:rPr>
          <w:rFonts w:ascii="Arial" w:hAnsi="Arial"/>
          <w:sz w:val="19"/>
        </w:rPr>
        <w:t xml:space="preserve">For U.S. federal income tax purposes, if a United States person is treated as owning (directly, indirectly or constructively) 10% or more of our stock by vote or value, such U.S. holder will be treated as a “United States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shareholder” with respect to each “controlled foreign corporation” in our group (if any). Because our group includes at least one U.S. subsidiary, our non-U.S. subsidiaries and any non-U.S. subsidiaries we form or acquire in the future will generally be treated as controlled foreign corporations. </w:t>
      </w:r>
    </w:p>
    <w:p>
      <w:pPr>
        <w:pStyle w:val="TextBody"/>
        <w:bidi w:val="0"/>
        <w:spacing w:before="180" w:after="0"/>
        <w:jc w:val="left"/>
        <w:rPr>
          <w:rFonts w:ascii="Arial" w:hAnsi="Arial"/>
          <w:sz w:val="19"/>
        </w:rPr>
      </w:pPr>
      <w:r>
        <w:rPr>
          <w:rFonts w:ascii="Arial" w:hAnsi="Arial"/>
          <w:sz w:val="19"/>
        </w:rPr>
        <w:t xml:space="preserve">A United States shareholder of a controlled foreign corporation will be required to report annually and include in its U.S. federal taxable income its pro rata share of “subpart F income,” “global intangible low-taxed income” and investments in U.S. property by the controlled foreign corporation, regardless of whether it makes any distributions of that income. Special rules, however, apply to United States persons that are partnerships or other pass-through entities. Certain deductions and credits for foreign income taxes paid or accrued by the controlled foreign corporation may be allowed to a corporate United States shareholder, but will not be allowed to an individual United States shareholder. </w:t>
      </w:r>
    </w:p>
    <w:p>
      <w:pPr>
        <w:pStyle w:val="TextBody"/>
        <w:bidi w:val="0"/>
        <w:spacing w:before="180" w:after="0"/>
        <w:jc w:val="left"/>
        <w:rPr>
          <w:rFonts w:ascii="Arial" w:hAnsi="Arial"/>
          <w:sz w:val="19"/>
        </w:rPr>
      </w:pPr>
      <w:r>
        <w:rPr>
          <w:rFonts w:ascii="Arial" w:hAnsi="Arial"/>
          <w:sz w:val="19"/>
        </w:rPr>
        <w:t xml:space="preserve">There can be no assurance that we will furnish to any United States shareholder the information required to comply with the obligations applicable to a United States shareholder in respect of controlled foreign corporations. Failure to comply with these obligations may subject a United States shareholder of a controlled foreign corporation to significant monetary penalties and may prevent the statute of limitations for assessments with respect to its U.S. federal income tax return for the year for which reporting was due from starting. Beneficial owners of 10% or more of our ordinary shares that are United States persons should consult their tax advisors regarding the potential application of these rules to their investment in our ordinary shares. </w:t>
      </w:r>
    </w:p>
    <w:p>
      <w:pPr>
        <w:pStyle w:val="TextBody"/>
        <w:bidi w:val="0"/>
        <w:spacing w:before="80" w:after="0"/>
        <w:jc w:val="left"/>
        <w:rPr>
          <w:rFonts w:ascii="Arial" w:hAnsi="Arial"/>
          <w:b/>
          <w:i/>
          <w:sz w:val="19"/>
        </w:rPr>
      </w:pPr>
      <w:r>
        <w:rPr>
          <w:rFonts w:ascii="Arial" w:hAnsi="Arial"/>
          <w:b/>
          <w:i/>
          <w:sz w:val="19"/>
        </w:rPr>
        <w:t xml:space="preserve">There is a significant risk that we will be a passive foreign investment company, or PFIC, for our current or future taxable years, which could result in adverse U.S. federal income tax consequences for U.S. investors in our ordinary shares or pre-funded warrants. </w:t>
      </w:r>
    </w:p>
    <w:p>
      <w:pPr>
        <w:pStyle w:val="TextBody"/>
        <w:bidi w:val="0"/>
        <w:spacing w:before="40" w:after="0"/>
        <w:jc w:val="left"/>
        <w:rPr>
          <w:rFonts w:ascii="Arial" w:hAnsi="Arial"/>
          <w:sz w:val="19"/>
        </w:rPr>
      </w:pPr>
      <w:r>
        <w:rPr>
          <w:rFonts w:ascii="Arial" w:hAnsi="Arial"/>
          <w:sz w:val="19"/>
        </w:rPr>
        <w:t xml:space="preserve">In general, a non-U.S. corporation is a PFIC for any taxable year in which either (i) 75% or more of its gross income consists of “passive income” or (ii) 50% or more of the average quarterly value of its assets consist of assets that produce, or are held for the production of, “passive income.” For purposes of these calculations, a non-U.S. corporation is treated as if it holds a proportionate share of the assets of, and receives directly its proportionate share of the income of, any other corporation in which it directly or indirectly owns at least 25%, by value, of the shares of such other corporation. Passive income generally includes interest, dividends, certain non-active rents and royalties (other than certain rents and royalties derived in an active conduct of a trade or business), and capital gains. Cash is generally a passive asset for these purposes. In addition, goodwill (the value of which may be determined by reference to the excess of the sum of the corporation’s market capitalization and liabilities over the value of its assets) is generally characterized as an active asset to the extent it is attributable to activities that produce active income. </w:t>
      </w:r>
    </w:p>
    <w:p>
      <w:pPr>
        <w:pStyle w:val="TextBody"/>
        <w:bidi w:val="0"/>
        <w:spacing w:before="180" w:after="0"/>
        <w:jc w:val="left"/>
        <w:rPr>
          <w:rFonts w:ascii="Arial" w:hAnsi="Arial"/>
          <w:sz w:val="19"/>
        </w:rPr>
      </w:pPr>
      <w:r>
        <w:rPr>
          <w:rFonts w:ascii="Arial" w:hAnsi="Arial"/>
          <w:sz w:val="19"/>
        </w:rPr>
        <w:t xml:space="preserve">We hold a substantial amount of cash and other passive assets. In addition, our PFIC status for the current and any future taxable year may depend, in large part, on the market price of our ordinary shares from time to time. Our market capitalization has been volatile. Accordingly, to the extent that the value of our non-passive assets is determined by reference to our market capitalization, there is a significant risk that we may be a PFIC for our current taxable year and future taxable years. However, such determination can only be made after the end of the taxable year. </w:t>
      </w:r>
    </w:p>
    <w:p>
      <w:pPr>
        <w:pStyle w:val="TextBody"/>
        <w:bidi w:val="0"/>
        <w:spacing w:before="180" w:after="0"/>
        <w:jc w:val="left"/>
        <w:rPr>
          <w:rFonts w:ascii="Arial" w:hAnsi="Arial"/>
          <w:sz w:val="19"/>
        </w:rPr>
      </w:pPr>
      <w:r>
        <w:rPr>
          <w:rFonts w:ascii="Arial" w:hAnsi="Arial"/>
          <w:sz w:val="19"/>
        </w:rPr>
        <w:t xml:space="preserve">If we were a PFIC for any taxable year during which a U.S. holder owns our ordinary shares or pre-funded warrants, certain adverse U.S. federal income tax consequences could apply to such U.S. holder. See “Taxation—Material U.S. Federal Income Tax Considerations for U.S. Holders—Passive Foreign Investment Company Rules” below. </w:t>
      </w:r>
    </w:p>
    <w:p>
      <w:pPr>
        <w:pStyle w:val="TextBody"/>
        <w:bidi w:val="0"/>
        <w:spacing w:before="240" w:after="0"/>
        <w:jc w:val="left"/>
        <w:rPr>
          <w:rFonts w:ascii="Arial" w:hAnsi="Arial"/>
          <w:b/>
          <w:sz w:val="20"/>
        </w:rPr>
      </w:pPr>
      <w:r>
        <w:rPr>
          <w:rFonts w:ascii="Arial" w:hAnsi="Arial"/>
          <w:b/>
          <w:sz w:val="20"/>
        </w:rPr>
        <w:t xml:space="preserve">Risks Related to the Pre-Funded Warrants </w:t>
      </w:r>
    </w:p>
    <w:p>
      <w:pPr>
        <w:pStyle w:val="TextBody"/>
        <w:bidi w:val="0"/>
        <w:spacing w:before="80" w:after="0"/>
        <w:jc w:val="left"/>
        <w:rPr>
          <w:rFonts w:ascii="Arial" w:hAnsi="Arial"/>
          <w:b/>
          <w:i/>
          <w:sz w:val="19"/>
        </w:rPr>
      </w:pPr>
      <w:r>
        <w:rPr>
          <w:rFonts w:ascii="Arial" w:hAnsi="Arial"/>
          <w:b/>
          <w:i/>
          <w:sz w:val="19"/>
        </w:rPr>
        <w:t xml:space="preserve">There is no public market for the pre-funded warrants being offered in this offering. </w:t>
      </w:r>
    </w:p>
    <w:p>
      <w:pPr>
        <w:pStyle w:val="TextBody"/>
        <w:bidi w:val="0"/>
        <w:spacing w:before="80" w:after="0"/>
        <w:jc w:val="left"/>
        <w:rPr>
          <w:rFonts w:ascii="Arial" w:hAnsi="Arial"/>
          <w:sz w:val="19"/>
        </w:rPr>
      </w:pPr>
      <w:r>
        <w:rPr>
          <w:rFonts w:ascii="Arial" w:hAnsi="Arial"/>
          <w:sz w:val="19"/>
        </w:rPr>
        <w:t xml:space="preserve">There is no established public trading market for the pre-funded warrants being offered in this offering, and we do not expect a market to develop. In addition, we do not intend to list the pre-funded warrants on Nasdaq, any other national securities exchange or any other nationally recognized trading system. Without an active market, the liquidity of the pre-funded warrants will be limited.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Holders of pre-funded warrants purchased in this offering will have no rights as shareholders until such holders exercise their pre-funded warrants and acquire our ordinary shares. </w:t>
      </w:r>
    </w:p>
    <w:p>
      <w:pPr>
        <w:pStyle w:val="TextBody"/>
        <w:bidi w:val="0"/>
        <w:spacing w:before="40" w:after="0"/>
        <w:jc w:val="left"/>
        <w:rPr>
          <w:rFonts w:ascii="Arial" w:hAnsi="Arial"/>
          <w:sz w:val="19"/>
        </w:rPr>
      </w:pPr>
      <w:r>
        <w:rPr>
          <w:rFonts w:ascii="Arial" w:hAnsi="Arial"/>
          <w:sz w:val="19"/>
        </w:rPr>
        <w:t xml:space="preserve">Until holders of pre-funded warrants acquire our ordinary shares upon exercise of the pre-funded warrants, holders of pre-funded warrants will have no rights with respect to our ordinary shares underlying such pre-funded warrants. Upon exercise of the pre-funded warrants, the holders will be entitled to exercise the rights of a shareholder only as to matters for which the record date occurs after the exercise date. </w:t>
      </w:r>
    </w:p>
    <w:p>
      <w:pPr>
        <w:pStyle w:val="TextBody"/>
        <w:bidi w:val="0"/>
        <w:spacing w:before="80" w:after="0"/>
        <w:jc w:val="left"/>
        <w:rPr>
          <w:rFonts w:ascii="Arial" w:hAnsi="Arial"/>
          <w:b/>
          <w:i/>
          <w:sz w:val="19"/>
        </w:rPr>
      </w:pPr>
      <w:r>
        <w:rPr>
          <w:rFonts w:ascii="Arial" w:hAnsi="Arial"/>
          <w:b/>
          <w:i/>
          <w:sz w:val="19"/>
        </w:rPr>
        <w:t xml:space="preserve">Significant holders or beneficial owners of our ordinary shares may not be permitted to exercise the pre-funded warrants that they hold. </w:t>
      </w:r>
    </w:p>
    <w:p>
      <w:pPr>
        <w:pStyle w:val="TextBody"/>
        <w:bidi w:val="0"/>
        <w:spacing w:before="40" w:after="0"/>
        <w:jc w:val="left"/>
        <w:rPr>
          <w:rFonts w:ascii="Arial" w:hAnsi="Arial"/>
          <w:sz w:val="19"/>
        </w:rPr>
      </w:pPr>
      <w:r>
        <w:rPr>
          <w:rFonts w:ascii="Arial" w:hAnsi="Arial"/>
          <w:sz w:val="19"/>
        </w:rPr>
        <w:t xml:space="preserve">A holder of the pre-funded warrants will not be entitled to exercise any portion of any pre-funded warrant that, upon giving effect to such exercise, would cause the aggregate number of our ordinary shares beneficially owned by such holder (together with its affiliates) to exceed 9.99% (or, 61 days after a written notice from such holder, any other percentage not in excess of 19.99%) of the number of our ordinary shares immediately after giving effect to the exercise, as such percentage ownership is determined in accordance with the terms of the pre-funded warrants. Holders of pre-funded warrants may not be able to exercise their pre-funded warrants for our ordinary shares at a time when it would be financially beneficial for them to do so. In such a circumstance, holders could seek to sell their pre-funded warrants to realize value, but may be unable to do so in the absence of an established trading market and due to applicable transfer restrictions. </w:t>
      </w:r>
    </w:p>
    <w:p>
      <w:pPr>
        <w:pStyle w:val="TextBody"/>
        <w:bidi w:val="0"/>
        <w:spacing w:before="80" w:after="0"/>
        <w:jc w:val="left"/>
        <w:rPr>
          <w:rFonts w:ascii="Arial" w:hAnsi="Arial"/>
          <w:b/>
          <w:i/>
          <w:sz w:val="19"/>
        </w:rPr>
      </w:pPr>
      <w:r>
        <w:rPr>
          <w:rFonts w:ascii="Arial" w:hAnsi="Arial"/>
          <w:b/>
          <w:i/>
          <w:sz w:val="19"/>
        </w:rPr>
        <w:t xml:space="preserve">Holders will only be able to exercise pre-funded warrants on a “cashless basis.” </w:t>
      </w:r>
    </w:p>
    <w:p>
      <w:pPr>
        <w:pStyle w:val="TextBody"/>
        <w:bidi w:val="0"/>
        <w:spacing w:before="40" w:after="0"/>
        <w:jc w:val="left"/>
        <w:rPr>
          <w:rFonts w:ascii="Arial" w:hAnsi="Arial"/>
          <w:sz w:val="19"/>
        </w:rPr>
      </w:pPr>
      <w:r>
        <w:rPr>
          <w:rFonts w:ascii="Arial" w:hAnsi="Arial"/>
          <w:sz w:val="19"/>
        </w:rPr>
        <w:t xml:space="preserve">Holders will only be able to exercise their pre-funded warrants on a “cashless basis” provided that an exemption from registration is available. As a result, the number of ordinary shares that holders will receive upon exercise of the pre-funded warrants will be fewer than it would have been had such holder exercised the warrant for cash, and holders may be limited in their ability to immediately sell shares upon exercise subject to volume or other securities law limitations.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7" w:name="supptoc149127_5"/>
      <w:bookmarkEnd w:id="7"/>
      <w:r>
        <w:rPr>
          <w:rFonts w:ascii="Arial" w:hAnsi="Arial"/>
          <w:b/>
          <w:sz w:val="20"/>
        </w:rPr>
        <w:t xml:space="preserve">CAUTIONARY STATEMENT REGARDING FORWARD-LOOKING STATEMENTS </w:t>
      </w:r>
    </w:p>
    <w:p>
      <w:pPr>
        <w:pStyle w:val="TextBody"/>
        <w:bidi w:val="0"/>
        <w:spacing w:before="360" w:after="0"/>
        <w:jc w:val="left"/>
        <w:rPr>
          <w:rFonts w:ascii="Arial" w:hAnsi="Arial"/>
          <w:sz w:val="19"/>
        </w:rPr>
      </w:pPr>
      <w:r>
        <w:rPr>
          <w:rFonts w:ascii="Arial" w:hAnsi="Arial"/>
          <w:sz w:val="19"/>
        </w:rPr>
        <w:t xml:space="preserve">This prospectus supplement and the documents incorporated by reference in this prospectus supplement contain statements that constitute forward-looking statements within the meaning of Section 21E of the Exchange Act and Section 27A of the Securities Act of 1933, as amended (the “Securities Act”). All statements other than statements of historical facts, including statements regarding our future results of operations and financial position, business and commercial strategy, potential market opportunities, products and product candidates, research pipeline, ongoing and planned preclinical studies and clinical trials, regulatory submissions and approvals, the nature of clinical trials (including whether such clinical trials will be registration-enabling), research and development costs, timing and likelihood of success, as well as plans and objectives of management for future operations, are forward-looking statements. Many of the forward-looking statements contained in this prospectus supplement can be identified by the use of forward-looking words such as “anticipate,” “believe,” “could,” “expect,” “should,” “plan,” “intend,” “estimate,” “will” and “potential,” among others. </w:t>
      </w:r>
    </w:p>
    <w:p>
      <w:pPr>
        <w:pStyle w:val="TextBody"/>
        <w:bidi w:val="0"/>
        <w:spacing w:before="180" w:after="0"/>
        <w:jc w:val="left"/>
        <w:rPr>
          <w:rFonts w:ascii="Arial" w:hAnsi="Arial"/>
          <w:sz w:val="19"/>
        </w:rPr>
      </w:pPr>
      <w:r>
        <w:rPr>
          <w:rFonts w:ascii="Arial" w:hAnsi="Arial"/>
          <w:sz w:val="19"/>
        </w:rPr>
        <w:t xml:space="preserve">Forward-looking statements are based on our management’s beliefs and assumptions and on information available to our management at the time such statements are made. Such statements are subject to risks and uncertainties, and actual results may differ materially from those expressed or implied in the forward-looking statements due to various factors, including, but not limited to, those identified in the “Risk Factors” section of this prospectus supplement and in the documents incorporated by reference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 You should read this prospectus supplement,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w:t>
      </w:r>
    </w:p>
    <w:p>
      <w:pPr>
        <w:pStyle w:val="TextBody"/>
        <w:bidi w:val="0"/>
        <w:spacing w:before="180" w:after="0"/>
        <w:jc w:val="left"/>
        <w:rPr>
          <w:rFonts w:ascii="Arial" w:hAnsi="Arial"/>
          <w:sz w:val="19"/>
        </w:rPr>
      </w:pPr>
      <w:r>
        <w:rPr>
          <w:rFonts w:ascii="Arial" w:hAnsi="Arial"/>
          <w:sz w:val="19"/>
        </w:rPr>
        <w:t xml:space="preserve">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supptoc149127_6"/>
      <w:bookmarkEnd w:id="8"/>
      <w:r>
        <w:rPr>
          <w:rFonts w:ascii="Arial" w:hAnsi="Arial"/>
          <w:b/>
          <w:sz w:val="20"/>
        </w:rPr>
        <w:t xml:space="preserve">USE OF PROCEEDS </w:t>
      </w:r>
    </w:p>
    <w:p>
      <w:pPr>
        <w:pStyle w:val="TextBody"/>
        <w:bidi w:val="0"/>
        <w:spacing w:before="360" w:after="0"/>
        <w:jc w:val="left"/>
        <w:rPr>
          <w:rFonts w:ascii="Arial" w:hAnsi="Arial"/>
          <w:sz w:val="19"/>
        </w:rPr>
      </w:pPr>
      <w:r>
        <w:rPr>
          <w:rFonts w:ascii="Arial" w:hAnsi="Arial"/>
          <w:sz w:val="19"/>
        </w:rPr>
        <w:t xml:space="preserve">We estimate that the net proceeds from this offering will be approximately $140.0 million (or $161.1 million if the underwriters’ option to purchase additional shares is exercised in full), after deducting the underwriting discount and estimated offering expenses payable by us. We will not receive any additional proceeds upon the exercise of the pre-funded warrants. </w:t>
      </w:r>
    </w:p>
    <w:p>
      <w:pPr>
        <w:pStyle w:val="TextBody"/>
        <w:bidi w:val="0"/>
        <w:spacing w:before="180" w:after="0"/>
        <w:jc w:val="left"/>
        <w:rPr>
          <w:rFonts w:ascii="Arial" w:hAnsi="Arial"/>
          <w:sz w:val="19"/>
        </w:rPr>
      </w:pPr>
      <w:r>
        <w:rPr>
          <w:rFonts w:ascii="Arial" w:hAnsi="Arial"/>
          <w:sz w:val="19"/>
        </w:rPr>
        <w:t xml:space="preserve">We intend to use the net proceeds from this offering to fund the continued research and development of our pipeline, the manufacturing, production and, if approved, commercialization of our product candidates and for working capital and other general corporate purposes. </w:t>
      </w:r>
    </w:p>
    <w:p>
      <w:pPr>
        <w:pStyle w:val="TextBody"/>
        <w:bidi w:val="0"/>
        <w:spacing w:before="180" w:after="0"/>
        <w:jc w:val="left"/>
        <w:rPr>
          <w:rFonts w:ascii="Arial" w:hAnsi="Arial"/>
          <w:sz w:val="19"/>
        </w:rPr>
      </w:pPr>
      <w:r>
        <w:rPr>
          <w:rFonts w:ascii="Arial" w:hAnsi="Arial"/>
          <w:sz w:val="19"/>
        </w:rPr>
        <w:t xml:space="preserve">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of directors and our management retains broad discretion in the application of the net proceeds from this offering. </w:t>
      </w:r>
    </w:p>
    <w:p>
      <w:pPr>
        <w:pStyle w:val="TextBody"/>
        <w:bidi w:val="0"/>
        <w:spacing w:before="180" w:after="0"/>
        <w:jc w:val="left"/>
        <w:rPr>
          <w:rFonts w:ascii="Arial" w:hAnsi="Arial"/>
          <w:sz w:val="19"/>
        </w:rPr>
      </w:pPr>
      <w:r>
        <w:rPr>
          <w:rFonts w:ascii="Arial" w:hAnsi="Arial"/>
          <w:sz w:val="19"/>
        </w:rPr>
        <w:t xml:space="preserve">Pending the use of the proceeds from this offering, we intend to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supptoc149127_7"/>
      <w:bookmarkEnd w:id="9"/>
      <w:r>
        <w:rPr>
          <w:rFonts w:ascii="Arial" w:hAnsi="Arial"/>
          <w:b/>
          <w:sz w:val="20"/>
        </w:rPr>
        <w:t xml:space="preserve">DILUTION </w:t>
      </w:r>
    </w:p>
    <w:p>
      <w:pPr>
        <w:pStyle w:val="TextBody"/>
        <w:bidi w:val="0"/>
        <w:spacing w:before="360" w:after="0"/>
        <w:jc w:val="left"/>
        <w:rPr>
          <w:rFonts w:ascii="Arial" w:hAnsi="Arial"/>
          <w:sz w:val="19"/>
        </w:rPr>
      </w:pPr>
      <w:r>
        <w:rPr>
          <w:rFonts w:ascii="Arial" w:hAnsi="Arial"/>
          <w:sz w:val="19"/>
        </w:rPr>
        <w:t xml:space="preserve">Net tangible book value per ordinary share is determined by dividing our total assets, less intangible assets, less total liabilities (which includes the value of pre-funded warrant liability of </w:t>
      </w:r>
      <w:r>
        <w:rPr>
          <w:rFonts w:ascii="Times New Roman" w:hAnsi="Times New Roman"/>
          <w:sz w:val="19"/>
        </w:rPr>
        <w:t></w:t>
      </w:r>
      <w:r>
        <w:rPr>
          <w:rFonts w:ascii="Arial" w:hAnsi="Arial"/>
          <w:sz w:val="19"/>
        </w:rPr>
        <w:t xml:space="preserve">32.9 million (or $37.5 million)) by the number of our ordinary shares outstanding. </w:t>
      </w:r>
    </w:p>
    <w:p>
      <w:pPr>
        <w:pStyle w:val="TextBody"/>
        <w:bidi w:val="0"/>
        <w:spacing w:before="180" w:after="0"/>
        <w:jc w:val="left"/>
        <w:rPr>
          <w:rFonts w:ascii="Arial" w:hAnsi="Arial"/>
          <w:sz w:val="19"/>
        </w:rPr>
      </w:pPr>
      <w:r>
        <w:rPr>
          <w:rFonts w:ascii="Arial" w:hAnsi="Arial"/>
          <w:sz w:val="19"/>
        </w:rPr>
        <w:t xml:space="preserve">Our historical net tangible book value as of June 30, 2026 was </w:t>
      </w:r>
      <w:r>
        <w:rPr>
          <w:rFonts w:ascii="Times New Roman" w:hAnsi="Times New Roman"/>
          <w:sz w:val="19"/>
        </w:rPr>
        <w:t></w:t>
      </w:r>
      <w:r>
        <w:rPr>
          <w:rFonts w:ascii="Arial" w:hAnsi="Arial"/>
          <w:sz w:val="19"/>
        </w:rPr>
        <w:t xml:space="preserve">398.1 million (or $453.6 million), or </w:t>
      </w:r>
      <w:r>
        <w:rPr>
          <w:rFonts w:ascii="Times New Roman" w:hAnsi="Times New Roman"/>
          <w:sz w:val="19"/>
        </w:rPr>
        <w:t></w:t>
      </w:r>
      <w:r>
        <w:rPr>
          <w:rFonts w:ascii="Arial" w:hAnsi="Arial"/>
          <w:sz w:val="19"/>
        </w:rPr>
        <w:t xml:space="preserve">2.91 (or $3.32) per ordinary share. </w:t>
      </w:r>
    </w:p>
    <w:p>
      <w:pPr>
        <w:pStyle w:val="TextBody"/>
        <w:bidi w:val="0"/>
        <w:spacing w:before="180" w:after="0"/>
        <w:jc w:val="left"/>
        <w:rPr>
          <w:rFonts w:ascii="Arial" w:hAnsi="Arial"/>
          <w:sz w:val="19"/>
        </w:rPr>
      </w:pPr>
      <w:r>
        <w:rPr>
          <w:rFonts w:ascii="Arial" w:hAnsi="Arial"/>
          <w:sz w:val="19"/>
        </w:rPr>
        <w:t xml:space="preserve">After giving effect to this offering (assuming no exercise of the underwriters’ option to purchase additional shares and no exercise of the pre-funded warrants) and after deducting the underwriting discount and estimated offering expenses payable by us, our as adjusted net tangible book value as of June 30, 2026 would have been </w:t>
      </w:r>
      <w:r>
        <w:rPr>
          <w:rFonts w:ascii="Times New Roman" w:hAnsi="Times New Roman"/>
          <w:sz w:val="19"/>
        </w:rPr>
        <w:t></w:t>
      </w:r>
      <w:r>
        <w:rPr>
          <w:rFonts w:ascii="Arial" w:hAnsi="Arial"/>
          <w:sz w:val="19"/>
        </w:rPr>
        <w:t xml:space="preserve">488.0 million (or $556.1 million) and our as adjusted net tangible book value per ordinary share as of June 30, 2026 would have been </w:t>
      </w:r>
      <w:r>
        <w:rPr>
          <w:rFonts w:ascii="Times New Roman" w:hAnsi="Times New Roman"/>
          <w:sz w:val="19"/>
        </w:rPr>
        <w:t></w:t>
      </w:r>
      <w:r>
        <w:rPr>
          <w:rFonts w:ascii="Arial" w:hAnsi="Arial"/>
          <w:sz w:val="19"/>
        </w:rPr>
        <w:t xml:space="preserve">3.26 (or $3.72) per ordinary share, representing an immediate increase of </w:t>
      </w:r>
      <w:r>
        <w:rPr>
          <w:rFonts w:ascii="Times New Roman" w:hAnsi="Times New Roman"/>
          <w:sz w:val="19"/>
        </w:rPr>
        <w:t></w:t>
      </w:r>
      <w:r>
        <w:rPr>
          <w:rFonts w:ascii="Arial" w:hAnsi="Arial"/>
          <w:sz w:val="19"/>
        </w:rPr>
        <w:t xml:space="preserve">0.35 (or $0.40) per ordinary share. If you purchase ordinary shares in this offering, you will experience immediate dilution of </w:t>
      </w:r>
      <w:r>
        <w:rPr>
          <w:rFonts w:ascii="Times New Roman" w:hAnsi="Times New Roman"/>
          <w:sz w:val="19"/>
        </w:rPr>
        <w:t></w:t>
      </w:r>
      <w:r>
        <w:rPr>
          <w:rFonts w:ascii="Arial" w:hAnsi="Arial"/>
          <w:sz w:val="19"/>
        </w:rPr>
        <w:t xml:space="preserve">4.37 (or $4.97) per ordinary share, which is the difference between the public offering price and our as adjusted net tangible book value per ordinary share. </w:t>
      </w:r>
    </w:p>
    <w:p>
      <w:pPr>
        <w:pStyle w:val="TextBody"/>
        <w:bidi w:val="0"/>
        <w:spacing w:before="180" w:after="0"/>
        <w:jc w:val="left"/>
        <w:rPr>
          <w:rFonts w:ascii="Arial" w:hAnsi="Arial"/>
          <w:sz w:val="19"/>
        </w:rPr>
      </w:pPr>
      <w:r>
        <w:rPr>
          <w:rFonts w:ascii="Arial" w:hAnsi="Arial"/>
          <w:sz w:val="19"/>
        </w:rPr>
        <w:t xml:space="preserve">If the underwriters’ option to purchase additional shares is exercised in full, the as adjusted net tangible book value per ordinary share after this offering would increase to </w:t>
      </w:r>
      <w:r>
        <w:rPr>
          <w:rFonts w:ascii="Times New Roman" w:hAnsi="Times New Roman"/>
          <w:sz w:val="19"/>
        </w:rPr>
        <w:t></w:t>
      </w:r>
      <w:r>
        <w:rPr>
          <w:rFonts w:ascii="Arial" w:hAnsi="Arial"/>
          <w:sz w:val="19"/>
        </w:rPr>
        <w:t xml:space="preserve">3.33 (or $3.79) per ordinary share. This represents an immediate increase in net tangible book value of </w:t>
      </w:r>
      <w:r>
        <w:rPr>
          <w:rFonts w:ascii="Times New Roman" w:hAnsi="Times New Roman"/>
          <w:sz w:val="19"/>
        </w:rPr>
        <w:t></w:t>
      </w:r>
      <w:r>
        <w:rPr>
          <w:rFonts w:ascii="Arial" w:hAnsi="Arial"/>
          <w:sz w:val="19"/>
        </w:rPr>
        <w:t xml:space="preserve">0.42 (or $0.47) per ordinary share to existing shareholders and an immediate dilution of </w:t>
      </w:r>
      <w:r>
        <w:rPr>
          <w:rFonts w:ascii="Times New Roman" w:hAnsi="Times New Roman"/>
          <w:sz w:val="19"/>
        </w:rPr>
        <w:t></w:t>
      </w:r>
      <w:r>
        <w:rPr>
          <w:rFonts w:ascii="Arial" w:hAnsi="Arial"/>
          <w:sz w:val="19"/>
        </w:rPr>
        <w:t xml:space="preserve">4.30 (or $4.90) per ordinary share to investors in this offering. </w:t>
      </w:r>
    </w:p>
    <w:p>
      <w:pPr>
        <w:pStyle w:val="TextBody"/>
        <w:bidi w:val="0"/>
        <w:spacing w:before="180" w:after="0"/>
        <w:jc w:val="left"/>
        <w:rPr>
          <w:rFonts w:ascii="Arial" w:hAnsi="Arial"/>
          <w:sz w:val="19"/>
        </w:rPr>
      </w:pPr>
      <w:r>
        <w:rPr>
          <w:rFonts w:ascii="Arial" w:hAnsi="Arial"/>
          <w:sz w:val="19"/>
        </w:rPr>
        <w:t xml:space="preserve">Assuming the pre-funded warrants were immediately and fully exercised, this would result in an as adjusted net tangible book value per share, after giving effect to this offering and warrant exercise (but not the exercise of the underwriters’ option to purchase additional shares), of </w:t>
      </w:r>
      <w:r>
        <w:rPr>
          <w:rFonts w:ascii="Times New Roman" w:hAnsi="Times New Roman"/>
          <w:sz w:val="19"/>
        </w:rPr>
        <w:t></w:t>
      </w:r>
      <w:r>
        <w:rPr>
          <w:rFonts w:ascii="Arial" w:hAnsi="Arial"/>
          <w:sz w:val="19"/>
        </w:rPr>
        <w:t xml:space="preserve">3.38 ($3.86), which represents an increase in net tangible book value per share to existing shareholders of </w:t>
      </w:r>
      <w:r>
        <w:rPr>
          <w:rFonts w:ascii="Times New Roman" w:hAnsi="Times New Roman"/>
          <w:sz w:val="19"/>
        </w:rPr>
        <w:t></w:t>
      </w:r>
      <w:r>
        <w:rPr>
          <w:rFonts w:ascii="Arial" w:hAnsi="Arial"/>
          <w:sz w:val="19"/>
        </w:rPr>
        <w:t xml:space="preserve">0.47 ($0.54) and a dilution per share to new investors of </w:t>
      </w:r>
      <w:r>
        <w:rPr>
          <w:rFonts w:ascii="Times New Roman" w:hAnsi="Times New Roman"/>
          <w:sz w:val="19"/>
        </w:rPr>
        <w:t></w:t>
      </w:r>
      <w:r>
        <w:rPr>
          <w:rFonts w:ascii="Arial" w:hAnsi="Arial"/>
          <w:sz w:val="19"/>
        </w:rPr>
        <w:t xml:space="preserve">4.24 ($4.83). </w:t>
      </w:r>
    </w:p>
    <w:p>
      <w:pPr>
        <w:pStyle w:val="TextBody"/>
        <w:bidi w:val="0"/>
        <w:spacing w:before="180" w:after="0"/>
        <w:jc w:val="left"/>
        <w:rPr>
          <w:rFonts w:ascii="Arial" w:hAnsi="Arial"/>
          <w:sz w:val="19"/>
        </w:rPr>
      </w:pPr>
      <w:r>
        <w:rPr>
          <w:rFonts w:ascii="Arial" w:hAnsi="Arial"/>
          <w:sz w:val="19"/>
        </w:rPr>
        <w:t xml:space="preserve">To the extent that any outstanding options under our share-based compensation plans are exercised, new options are issued under our share-based compensation plans or we issue additional ordinary shares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0" w:name="supptoc149127_8"/>
      <w:bookmarkEnd w:id="10"/>
      <w:r>
        <w:rPr>
          <w:rFonts w:ascii="Arial" w:hAnsi="Arial"/>
          <w:b/>
          <w:sz w:val="20"/>
        </w:rPr>
        <w:t xml:space="preserve">DESCRIPTION OF PRE-FUNDED WARRANTS </w:t>
      </w:r>
    </w:p>
    <w:p>
      <w:pPr>
        <w:pStyle w:val="TextBody"/>
        <w:bidi w:val="0"/>
        <w:spacing w:before="360" w:after="0"/>
        <w:jc w:val="left"/>
        <w:rPr>
          <w:rFonts w:ascii="Arial" w:hAnsi="Arial"/>
          <w:i/>
          <w:sz w:val="19"/>
        </w:rPr>
      </w:pPr>
      <w:r>
        <w:rPr>
          <w:rFonts w:ascii="Arial" w:hAnsi="Arial"/>
          <w:i/>
          <w:sz w:val="19"/>
        </w:rPr>
        <w:t xml:space="preserve">The material terms and provisions of the pre-funded warrants being issued in this offering are summarized below. The following description is subject to, and qualified in its entirety by, the form of the pre-funded warrant which will be filed as an exhibit to a Report on Form 6-K to be filed with the SEC. You should review the form of the pre-funded warrant for a complete description of the terms and conditions applicable to the pre-funded warrants. </w:t>
      </w:r>
    </w:p>
    <w:p>
      <w:pPr>
        <w:pStyle w:val="TextBody"/>
        <w:bidi w:val="0"/>
        <w:spacing w:before="240" w:after="0"/>
        <w:jc w:val="left"/>
        <w:rPr>
          <w:rFonts w:ascii="Arial" w:hAnsi="Arial"/>
          <w:b/>
          <w:sz w:val="20"/>
        </w:rPr>
      </w:pPr>
      <w:r>
        <w:rPr>
          <w:rFonts w:ascii="Arial" w:hAnsi="Arial"/>
          <w:b/>
          <w:sz w:val="20"/>
        </w:rPr>
        <w:t xml:space="preserve">Form </w:t>
      </w:r>
    </w:p>
    <w:p>
      <w:pPr>
        <w:pStyle w:val="TextBody"/>
        <w:bidi w:val="0"/>
        <w:spacing w:before="80" w:after="0"/>
        <w:jc w:val="left"/>
        <w:rPr>
          <w:rFonts w:ascii="Arial" w:hAnsi="Arial"/>
          <w:sz w:val="19"/>
        </w:rPr>
      </w:pPr>
      <w:r>
        <w:rPr>
          <w:rFonts w:ascii="Arial" w:hAnsi="Arial"/>
          <w:sz w:val="19"/>
        </w:rPr>
        <w:t xml:space="preserve">The pre-funded warrants will be issued as individual warrants to investors that elect to purchase pre-funded warrants. The form of pre-funded warrant will be filed as an exhibit to our Report on Form 6-K that we expect to file with the SEC in connection with this offering. </w:t>
      </w:r>
    </w:p>
    <w:p>
      <w:pPr>
        <w:pStyle w:val="TextBody"/>
        <w:bidi w:val="0"/>
        <w:spacing w:before="240" w:after="0"/>
        <w:jc w:val="left"/>
        <w:rPr>
          <w:rFonts w:ascii="Arial" w:hAnsi="Arial"/>
          <w:b/>
          <w:sz w:val="20"/>
        </w:rPr>
      </w:pPr>
      <w:r>
        <w:rPr>
          <w:rFonts w:ascii="Arial" w:hAnsi="Arial"/>
          <w:b/>
          <w:sz w:val="20"/>
        </w:rPr>
        <w:t xml:space="preserve">Term </w:t>
      </w:r>
    </w:p>
    <w:p>
      <w:pPr>
        <w:pStyle w:val="TextBody"/>
        <w:bidi w:val="0"/>
        <w:spacing w:before="80" w:after="0"/>
        <w:jc w:val="left"/>
        <w:rPr>
          <w:rFonts w:ascii="Arial" w:hAnsi="Arial"/>
          <w:sz w:val="19"/>
        </w:rPr>
      </w:pPr>
      <w:r>
        <w:rPr>
          <w:rFonts w:ascii="Arial" w:hAnsi="Arial"/>
          <w:sz w:val="19"/>
        </w:rPr>
        <w:t xml:space="preserve">The pre-funded warrants will not expire. </w:t>
      </w:r>
    </w:p>
    <w:p>
      <w:pPr>
        <w:pStyle w:val="TextBody"/>
        <w:bidi w:val="0"/>
        <w:spacing w:before="240" w:after="0"/>
        <w:jc w:val="left"/>
        <w:rPr>
          <w:rFonts w:ascii="Arial" w:hAnsi="Arial"/>
          <w:b/>
          <w:sz w:val="20"/>
        </w:rPr>
      </w:pPr>
      <w:r>
        <w:rPr>
          <w:rFonts w:ascii="Arial" w:hAnsi="Arial"/>
          <w:b/>
          <w:sz w:val="20"/>
        </w:rPr>
        <w:t xml:space="preserve">Exercise Price </w:t>
      </w:r>
    </w:p>
    <w:p>
      <w:pPr>
        <w:pStyle w:val="TextBody"/>
        <w:bidi w:val="0"/>
        <w:spacing w:before="80" w:after="0"/>
        <w:jc w:val="left"/>
        <w:rPr>
          <w:rFonts w:ascii="Arial" w:hAnsi="Arial"/>
          <w:sz w:val="19"/>
        </w:rPr>
      </w:pPr>
      <w:r>
        <w:rPr>
          <w:rFonts w:ascii="Arial" w:hAnsi="Arial"/>
          <w:sz w:val="19"/>
        </w:rPr>
        <w:t xml:space="preserve">The exercise price per whole ordinary share purchasable upon the exercise of the pre-funded warrants is $0.001 per ordinary share. The exercise price of the pre-funded warrants and the number of ordinary shares issuable upon exercise of the pre-funded warrants is subject to appropriate adjustment in the event of certain share dividends and distributions, share splits, share combinations, reclassifications or similar events affecting our ordinary shares. </w:t>
      </w:r>
    </w:p>
    <w:p>
      <w:pPr>
        <w:pStyle w:val="TextBody"/>
        <w:bidi w:val="0"/>
        <w:spacing w:before="240" w:after="0"/>
        <w:jc w:val="left"/>
        <w:rPr>
          <w:rFonts w:ascii="Arial" w:hAnsi="Arial"/>
          <w:b/>
          <w:sz w:val="20"/>
        </w:rPr>
      </w:pPr>
      <w:r>
        <w:rPr>
          <w:rFonts w:ascii="Arial" w:hAnsi="Arial"/>
          <w:b/>
          <w:sz w:val="20"/>
        </w:rPr>
        <w:t xml:space="preserve">Exercisability; Exercise Limitations </w:t>
      </w:r>
    </w:p>
    <w:p>
      <w:pPr>
        <w:pStyle w:val="TextBody"/>
        <w:bidi w:val="0"/>
        <w:spacing w:before="80" w:after="0"/>
        <w:jc w:val="left"/>
        <w:rPr>
          <w:rFonts w:ascii="Arial" w:hAnsi="Arial"/>
          <w:sz w:val="19"/>
        </w:rPr>
      </w:pPr>
      <w:r>
        <w:rPr>
          <w:rFonts w:ascii="Arial" w:hAnsi="Arial"/>
          <w:sz w:val="19"/>
        </w:rPr>
        <w:t xml:space="preserve">The pre-funded warrants are exercisable at any time after their original issuance until fully exercised, subject to the ownership limitation described below. The pre-funded warrants will be exercisable, at the option of each holder, in whole or in part, by delivering to us a duly executed exercise notice solely by means of a cashless exercise, in which the holder would receive upon such exercise the net number of ordinary shares determined according to the formula set forth in the pre-funded warrant; provided that the holder shall not be entitled to exercise the pre-funded warrant for a number of warrant shares in excess of that number of warrant shares which, upon giving effect or immediately prior to such exercise, would cause the aggregate number of ordinary shares beneficially owned by the holder and its affiliates to exceed 9.99%, as such percentage ownership is determined in accordance with the terms of the pre-funded warrants. However, any holder of a pre-funded warrant may increase or decrease such percentage to any other percentage not in excess of 19.99% upon at least 61 days’ prior written notice from the holder to us. </w:t>
      </w:r>
    </w:p>
    <w:p>
      <w:pPr>
        <w:pStyle w:val="TextBody"/>
        <w:bidi w:val="0"/>
        <w:spacing w:before="180" w:after="0"/>
        <w:jc w:val="left"/>
        <w:rPr>
          <w:rFonts w:ascii="Arial" w:hAnsi="Arial"/>
          <w:sz w:val="19"/>
        </w:rPr>
      </w:pPr>
      <w:r>
        <w:rPr>
          <w:rFonts w:ascii="Arial" w:hAnsi="Arial"/>
          <w:sz w:val="19"/>
        </w:rPr>
        <w:t xml:space="preserve">No fractional ordinary shares will be issued in connection with the exercise of a pre-funded warrant. In lieu of fractional shares, we will pay the holder an amount in cash equal to the fractional amount multiplied by the last trade price of our ordinary shares on the exercise date. </w:t>
      </w:r>
    </w:p>
    <w:p>
      <w:pPr>
        <w:pStyle w:val="TextBody"/>
        <w:bidi w:val="0"/>
        <w:spacing w:before="240" w:after="0"/>
        <w:jc w:val="left"/>
        <w:rPr>
          <w:rFonts w:ascii="Arial" w:hAnsi="Arial"/>
          <w:b/>
          <w:sz w:val="20"/>
        </w:rPr>
      </w:pPr>
      <w:r>
        <w:rPr>
          <w:rFonts w:ascii="Arial" w:hAnsi="Arial"/>
          <w:b/>
          <w:sz w:val="20"/>
        </w:rPr>
        <w:t xml:space="preserve">Fundamental Transactions </w:t>
      </w:r>
    </w:p>
    <w:p>
      <w:pPr>
        <w:pStyle w:val="TextBody"/>
        <w:bidi w:val="0"/>
        <w:spacing w:before="80" w:after="0"/>
        <w:jc w:val="left"/>
        <w:rPr>
          <w:rFonts w:ascii="Arial" w:hAnsi="Arial"/>
          <w:sz w:val="19"/>
        </w:rPr>
      </w:pPr>
      <w:r>
        <w:rPr>
          <w:rFonts w:ascii="Arial" w:hAnsi="Arial"/>
          <w:sz w:val="19"/>
        </w:rPr>
        <w:t xml:space="preserve">Upon the consummation of a fundamental transaction (as described in the pre-funded warrants, and generally including any reorganization, recapitalization or reclassification of our ordinary shares, the sale, transfer or other disposition of all or substantially all of our assets, our consolidation or merger with or into another person in which we are not the surviving entity or in which our shareholders immediately prior to such merger or consolidation do not own, directly or indirectly, at least 50% of the voting power of the surviving entity immediately after such merger or consolidation, the acquisition of more than 50% of our outstanding ordinary shares, or any person or group becoming the beneficial owner of 50% of the voting power of our outstanding ordinary shares),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then each pre-funded warrant shall automatically be deemed to be exercised in full in a cashless exercise effective immediately prior to and contingent upon the consummation of such fundamental transaction.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Share Dividends and Splits </w:t>
      </w:r>
    </w:p>
    <w:p>
      <w:pPr>
        <w:pStyle w:val="TextBody"/>
        <w:bidi w:val="0"/>
        <w:spacing w:before="80" w:after="0"/>
        <w:jc w:val="left"/>
        <w:rPr>
          <w:rFonts w:ascii="Arial" w:hAnsi="Arial"/>
          <w:sz w:val="19"/>
        </w:rPr>
      </w:pPr>
      <w:r>
        <w:rPr>
          <w:rFonts w:ascii="Arial" w:hAnsi="Arial"/>
          <w:sz w:val="19"/>
        </w:rPr>
        <w:t xml:space="preserve">If we (i) pay a share dividend on our ordinary shares payable in ordinary shares, (ii) subdivide our outstanding ordinary shares into a larger number of ordinary shares, (iii) combine our outstanding ordinary shares into a smaller number of ordinary shares or (iv) create by reclassification of other classes of shares in our capital any additional ordinary shares, then in each case, the number of warrant shares issuable upon exercise will be multiplied by a fraction, the numerator of which is the number of ordinary shares outstanding immediately after such event and the denominator of which is the number of ordinary shares outstanding immediately before such event. Any such adjustment will become effective immediately after the record date for the determination of shareholders entitled to receive such dividend or distribution, but in the event the dividend is not fully paid by the record date, the number of warrant shares shall be recomputed and adjusted to the time of actual payment of the dividend. </w:t>
      </w:r>
    </w:p>
    <w:p>
      <w:pPr>
        <w:pStyle w:val="TextBody"/>
        <w:bidi w:val="0"/>
        <w:spacing w:before="240" w:after="0"/>
        <w:jc w:val="left"/>
        <w:rPr>
          <w:rFonts w:ascii="Arial" w:hAnsi="Arial"/>
          <w:b/>
          <w:sz w:val="20"/>
        </w:rPr>
      </w:pPr>
      <w:r>
        <w:rPr>
          <w:rFonts w:ascii="Arial" w:hAnsi="Arial"/>
          <w:b/>
          <w:sz w:val="20"/>
        </w:rPr>
        <w:t xml:space="preserve">Pro Rata Distribution </w:t>
      </w:r>
    </w:p>
    <w:p>
      <w:pPr>
        <w:pStyle w:val="TextBody"/>
        <w:bidi w:val="0"/>
        <w:spacing w:before="80" w:after="0"/>
        <w:jc w:val="left"/>
        <w:rPr>
          <w:rFonts w:ascii="Arial" w:hAnsi="Arial"/>
          <w:sz w:val="19"/>
        </w:rPr>
      </w:pPr>
      <w:r>
        <w:rPr>
          <w:rFonts w:ascii="Arial" w:hAnsi="Arial"/>
          <w:sz w:val="19"/>
        </w:rPr>
        <w:t xml:space="preserve">If we make a distribution (as defined in the pre-funded warrant, and generally including evidence of its indebtedness, security, rights or warrants to subscribe for or purchase any security, cash or any other asset) to all holders of ordinary shares for no consideration, other than in connection with a fundamental transaction, then in each such case, the holder of a pre-funded warrant will be entitled to participate in such distribution to the same extent that the holder would have participated therein if the holder had held the number of warrant shares acquirable upon complete exercise of the warrant immediately before the record date for such distribution (without regard to any limitations on exercise, including the ownership limitation). To the extent that a holder’s right to participate in any such distribution would result in the holder exceeding the ownership limitation, the holder will not be entitled to participate in such distribution to such extent and the portion of such distribution will be held in abeyance for the benefit of the holder until such time as delivery would not result in the holder exceeding the ownership limitation. </w:t>
      </w:r>
    </w:p>
    <w:p>
      <w:pPr>
        <w:pStyle w:val="TextBody"/>
        <w:bidi w:val="0"/>
        <w:spacing w:before="240" w:after="0"/>
        <w:jc w:val="left"/>
        <w:rPr>
          <w:rFonts w:ascii="Arial" w:hAnsi="Arial"/>
          <w:b/>
          <w:sz w:val="20"/>
        </w:rPr>
      </w:pPr>
      <w:r>
        <w:rPr>
          <w:rFonts w:ascii="Arial" w:hAnsi="Arial"/>
          <w:b/>
          <w:sz w:val="20"/>
        </w:rPr>
        <w:t xml:space="preserve">Transferability </w:t>
      </w:r>
    </w:p>
    <w:p>
      <w:pPr>
        <w:pStyle w:val="TextBody"/>
        <w:bidi w:val="0"/>
        <w:spacing w:before="80" w:after="0"/>
        <w:jc w:val="left"/>
        <w:rPr>
          <w:rFonts w:ascii="Arial" w:hAnsi="Arial"/>
          <w:sz w:val="19"/>
        </w:rPr>
      </w:pPr>
      <w:r>
        <w:rPr>
          <w:rFonts w:ascii="Arial" w:hAnsi="Arial"/>
          <w:sz w:val="19"/>
        </w:rPr>
        <w:t xml:space="preserve">Subject to applicable laws, the pre-funded warrants may be offered for sale, sold, transferred or assigned without our consent. </w:t>
      </w:r>
    </w:p>
    <w:p>
      <w:pPr>
        <w:pStyle w:val="TextBody"/>
        <w:bidi w:val="0"/>
        <w:spacing w:before="240" w:after="0"/>
        <w:jc w:val="left"/>
        <w:rPr>
          <w:rFonts w:ascii="Arial" w:hAnsi="Arial"/>
          <w:b/>
          <w:sz w:val="20"/>
        </w:rPr>
      </w:pPr>
      <w:r>
        <w:rPr>
          <w:rFonts w:ascii="Arial" w:hAnsi="Arial"/>
          <w:b/>
          <w:sz w:val="20"/>
        </w:rPr>
        <w:t xml:space="preserve">Listing </w:t>
      </w:r>
    </w:p>
    <w:p>
      <w:pPr>
        <w:pStyle w:val="TextBody"/>
        <w:bidi w:val="0"/>
        <w:spacing w:before="80" w:after="0"/>
        <w:jc w:val="left"/>
        <w:rPr>
          <w:rFonts w:ascii="Arial" w:hAnsi="Arial"/>
          <w:sz w:val="19"/>
        </w:rPr>
      </w:pPr>
      <w:r>
        <w:rPr>
          <w:rFonts w:ascii="Arial" w:hAnsi="Arial"/>
          <w:sz w:val="19"/>
        </w:rPr>
        <w:t xml:space="preserve">We do not intend to apply to list the pre-funded warrants on Nasdaq, any other national securities exchange or any other nationally recognized trading system. </w:t>
      </w:r>
    </w:p>
    <w:p>
      <w:pPr>
        <w:pStyle w:val="TextBody"/>
        <w:bidi w:val="0"/>
        <w:spacing w:before="240" w:after="0"/>
        <w:jc w:val="left"/>
        <w:rPr>
          <w:rFonts w:ascii="Arial" w:hAnsi="Arial"/>
          <w:b/>
          <w:sz w:val="20"/>
        </w:rPr>
      </w:pPr>
      <w:r>
        <w:rPr>
          <w:rFonts w:ascii="Arial" w:hAnsi="Arial"/>
          <w:b/>
          <w:sz w:val="20"/>
        </w:rPr>
        <w:t xml:space="preserve">Warrant Agent </w:t>
      </w:r>
    </w:p>
    <w:p>
      <w:pPr>
        <w:pStyle w:val="TextBody"/>
        <w:bidi w:val="0"/>
        <w:spacing w:before="80" w:after="0"/>
        <w:jc w:val="left"/>
        <w:rPr>
          <w:rFonts w:ascii="Arial" w:hAnsi="Arial"/>
          <w:sz w:val="19"/>
        </w:rPr>
      </w:pPr>
      <w:r>
        <w:rPr>
          <w:rFonts w:ascii="Arial" w:hAnsi="Arial"/>
          <w:sz w:val="19"/>
        </w:rPr>
        <w:t xml:space="preserve">We will initially serve as the warrant agent under the pre-funded warrants and we may appoint a third party to act as warrant agent. </w:t>
      </w:r>
    </w:p>
    <w:p>
      <w:pPr>
        <w:pStyle w:val="TextBody"/>
        <w:bidi w:val="0"/>
        <w:spacing w:before="240" w:after="0"/>
        <w:jc w:val="left"/>
        <w:rPr>
          <w:rFonts w:ascii="Arial" w:hAnsi="Arial"/>
          <w:b/>
          <w:sz w:val="20"/>
        </w:rPr>
      </w:pPr>
      <w:r>
        <w:rPr>
          <w:rFonts w:ascii="Arial" w:hAnsi="Arial"/>
          <w:b/>
          <w:sz w:val="20"/>
        </w:rPr>
        <w:t xml:space="preserve">No Rights as a Shareholder </w:t>
      </w:r>
    </w:p>
    <w:p>
      <w:pPr>
        <w:pStyle w:val="TextBody"/>
        <w:bidi w:val="0"/>
        <w:spacing w:before="80" w:after="0"/>
        <w:jc w:val="left"/>
        <w:rPr>
          <w:rFonts w:ascii="Arial" w:hAnsi="Arial"/>
          <w:sz w:val="19"/>
        </w:rPr>
      </w:pPr>
      <w:r>
        <w:rPr>
          <w:rFonts w:ascii="Arial" w:hAnsi="Arial"/>
          <w:sz w:val="19"/>
        </w:rPr>
        <w:t xml:space="preserve">Except by virtue of such holder’s ownership of our ordinary shares, the holder of a pre-funded warrant does not have the rights or privileges of a holder of our ordinary shares, including any voting rights, until the holder exercises the pre-funded warrant and receives the underlying ordinary shares.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1" w:name="supptoc149127_9"/>
      <w:bookmarkEnd w:id="11"/>
      <w:r>
        <w:rPr>
          <w:rFonts w:ascii="Arial" w:hAnsi="Arial"/>
          <w:b/>
          <w:sz w:val="20"/>
        </w:rPr>
        <w:t xml:space="preserve">TAXATION </w:t>
      </w:r>
    </w:p>
    <w:p>
      <w:pPr>
        <w:pStyle w:val="TextBody"/>
        <w:bidi w:val="0"/>
        <w:spacing w:before="360" w:after="0"/>
        <w:jc w:val="left"/>
        <w:rPr>
          <w:rFonts w:ascii="Arial" w:hAnsi="Arial"/>
          <w:b/>
          <w:sz w:val="20"/>
        </w:rPr>
      </w:pPr>
      <w:r>
        <w:rPr>
          <w:rFonts w:ascii="Arial" w:hAnsi="Arial"/>
          <w:b/>
          <w:sz w:val="20"/>
        </w:rPr>
        <w:t xml:space="preserve">Material U.S. Federal Income Tax Considerations for U.S. Holders </w:t>
      </w:r>
    </w:p>
    <w:p>
      <w:pPr>
        <w:pStyle w:val="TextBody"/>
        <w:bidi w:val="0"/>
        <w:spacing w:before="80" w:after="0"/>
        <w:jc w:val="left"/>
        <w:rPr>
          <w:rFonts w:ascii="Arial" w:hAnsi="Arial"/>
          <w:sz w:val="19"/>
        </w:rPr>
      </w:pPr>
      <w:r>
        <w:rPr>
          <w:rFonts w:ascii="Arial" w:hAnsi="Arial"/>
          <w:sz w:val="19"/>
        </w:rPr>
        <w:t xml:space="preserve">In the opinion of Davis Polk &amp; Wardwell LLP, the following is a description of the material U.S. federal income tax consequences to the U.S. Holders, as defined below, of owning and disposing of our ordinary shares and pre-funded warrants. It does not describe all tax considerations that may be relevant to a particular person’s decision to acquire ordinary shares or pre-funded warrants. </w:t>
      </w:r>
    </w:p>
    <w:p>
      <w:pPr>
        <w:pStyle w:val="TextBody"/>
        <w:bidi w:val="0"/>
        <w:spacing w:before="180" w:after="0"/>
        <w:jc w:val="left"/>
        <w:rPr>
          <w:rFonts w:ascii="Arial" w:hAnsi="Arial"/>
          <w:sz w:val="19"/>
        </w:rPr>
      </w:pPr>
      <w:r>
        <w:rPr>
          <w:rFonts w:ascii="Arial" w:hAnsi="Arial"/>
          <w:sz w:val="19"/>
        </w:rPr>
        <w:t xml:space="preserve">This discussion applies only to a U.S. Holder that acquires ordinary shares or pre-funded warrants registered for offer and sale pursuant to this prospectus supplement and holds ordinary shares or pre-funded warrants as capital assets for U.S. federal income tax purposes (generally, property held for investment). In addition, it does not describe any tax consequences other than U.S. federal income tax consequences, including state and local tax consequences and estate tax consequences, and does not describe all of the U.S. federal income tax consequences that may be relevant in light of the U.S. Holder’s particular circumstances, including any minimum tax consequences, the potential application of the provisions of the Internal Revenue Code of 1986, as amended (the “Code”) known as the Medicare contribution tax and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brokers, dealers or 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persons holding ordinary shares or pre-funded warrants as part of a straddle, wash sale, conversion transaction or other integrated transaction or persons entering into a constructive sale with respect to the ordinary shares or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entities or arrangements classified as partnerships or S corporations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tax-exempt entities, including an “individual retirement account” or “Roth IRAs” and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U.S. expatriates and certain former citizens or long 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persons that own or are deemed to own 10% or more of the voting power or value of our ordinary shares and pre-funded warrants;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persons holding ordinary shares or pre-funded warrants in connection with a trade or business conducted outside of the United States or in connection with a permanent establishment or other fixed place of business outside of the United States. </w:t>
            </w:r>
          </w:p>
        </w:tc>
      </w:tr>
    </w:tbl>
    <w:p>
      <w:pPr>
        <w:pStyle w:val="TextBody"/>
        <w:bidi w:val="0"/>
        <w:spacing w:before="180" w:after="0"/>
        <w:jc w:val="left"/>
        <w:rPr>
          <w:rFonts w:ascii="Arial" w:hAnsi="Arial"/>
          <w:sz w:val="19"/>
        </w:rPr>
      </w:pPr>
      <w:r>
        <w:rPr>
          <w:rFonts w:ascii="Arial" w:hAnsi="Arial"/>
          <w:sz w:val="19"/>
        </w:rPr>
        <w:t xml:space="preserve">If an entity or arrangement that is classified as a partnership for U.S. federal income tax purposes holds ordinary shares or pre-funded warrants, the U.S. federal income tax treatment of a partner will generally depend on the status of the partner and the activities of the partnership. Partnerships holding ordinary shares or pre-funded warrants and partners in such partnerships should consult their tax advisors as to the particular U.S. federal income tax consequences of owning and disposing of the ordinary shares or pre-funded warrants. </w:t>
      </w:r>
    </w:p>
    <w:p>
      <w:pPr>
        <w:pStyle w:val="TextBody"/>
        <w:bidi w:val="0"/>
        <w:spacing w:before="180" w:after="0"/>
        <w:jc w:val="left"/>
        <w:rPr>
          <w:rFonts w:ascii="Arial" w:hAnsi="Arial"/>
          <w:sz w:val="19"/>
        </w:rPr>
      </w:pPr>
      <w:r>
        <w:rPr>
          <w:rFonts w:ascii="Arial" w:hAnsi="Arial"/>
          <w:sz w:val="19"/>
        </w:rPr>
        <w:t xml:space="preserve">This discussion is based on the Code, administrative pronouncements, judicial decisions, final, temporary and proposed Treasury regulations, and the income tax treaty between Germany and the United States (the “Treaty”), all as of the date hereof, any of which is subject to change or differing interpretations, possibly with retroactive effect. </w:t>
      </w:r>
    </w:p>
    <w:p>
      <w:pPr>
        <w:pStyle w:val="TextBody"/>
        <w:bidi w:val="0"/>
        <w:spacing w:before="180" w:after="0"/>
        <w:jc w:val="left"/>
        <w:rPr>
          <w:rFonts w:ascii="Arial" w:hAnsi="Arial"/>
          <w:sz w:val="19"/>
        </w:rPr>
      </w:pPr>
      <w:r>
        <w:rPr>
          <w:rFonts w:ascii="Arial" w:hAnsi="Arial"/>
          <w:sz w:val="19"/>
        </w:rPr>
        <w:t xml:space="preserve">A “U.S. Holder” is a beneficial owner of our ordinary shares or pre-funded warrants who, for U.S. federal income tax purposes, is eligible for the benefits of the Treaty and who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U.S. citizen (other than a resident of the Netherlands or Germany)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corporation, or other entity taxable as a corporation, created or organized in or under the laws of the United States, any state therein or the District of Columbia;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estate or trust the income of which is subject to U.S. federal income taxation regardless of its source.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Certain Treasury regulations (the “Foreign Tax Credit Regulations”) may in some circumstances prohibit a U.S. person from claiming a foreign tax credit with respect to certain non-U.S. taxes that are not creditable under applicable income tax treaties. The U.S. Internal Revenue Service (the “IRS”) has released notices which indicate that the Treasury Department and the IRS are considering amendments to the Foreign Tax Credit Regulations and provide temporary relief from certain of their provisions until such time as the IRS issues a subsequent notice or other guidance withdrawing or modifying the temporary relief (or any later date specified in the relevant notice or guidance). The rules governing the calculation and timing of foreign tax credits and the deduction of foreign taxes are complex and depend upon a U.S. Holder’s particular circumstances. Accordingly, U.S. investors that are not eligible for Treaty benefits should consult their tax advisors regarding the creditability or deductibility of any non-U.S. taxes imposed on dividends on, or dispositions of, ordinary shares. This discussion does not apply to investors in this special situation. </w:t>
      </w:r>
    </w:p>
    <w:p>
      <w:pPr>
        <w:pStyle w:val="TextBody"/>
        <w:bidi w:val="0"/>
        <w:spacing w:before="180" w:after="0"/>
        <w:jc w:val="left"/>
        <w:rPr>
          <w:rFonts w:ascii="Arial" w:hAnsi="Arial"/>
          <w:sz w:val="19"/>
        </w:rPr>
      </w:pPr>
      <w:r>
        <w:rPr>
          <w:rFonts w:ascii="Arial" w:hAnsi="Arial"/>
          <w:sz w:val="19"/>
        </w:rPr>
        <w:t xml:space="preserve">U.S. Holders should consult their tax advisors concerning the U.S. federal, state, local and non-U.S. tax consequences of owning and disposing of the ordinary shares in their particular circumstances. </w:t>
      </w:r>
    </w:p>
    <w:p>
      <w:pPr>
        <w:pStyle w:val="TextBody"/>
        <w:bidi w:val="0"/>
        <w:spacing w:before="80" w:after="0"/>
        <w:jc w:val="left"/>
        <w:rPr>
          <w:rFonts w:ascii="Arial" w:hAnsi="Arial"/>
          <w:b/>
          <w:i/>
          <w:sz w:val="19"/>
        </w:rPr>
      </w:pPr>
      <w:r>
        <w:rPr>
          <w:rFonts w:ascii="Arial" w:hAnsi="Arial"/>
          <w:b/>
          <w:i/>
          <w:sz w:val="19"/>
        </w:rPr>
        <w:t xml:space="preserve">Treatment of Pre-Funded Warrants </w:t>
      </w:r>
    </w:p>
    <w:p>
      <w:pPr>
        <w:pStyle w:val="TextBody"/>
        <w:bidi w:val="0"/>
        <w:spacing w:before="40" w:after="0"/>
        <w:jc w:val="left"/>
        <w:rPr>
          <w:rFonts w:ascii="Arial" w:hAnsi="Arial"/>
          <w:sz w:val="19"/>
        </w:rPr>
      </w:pPr>
      <w:r>
        <w:rPr>
          <w:rFonts w:ascii="Arial" w:hAnsi="Arial"/>
          <w:sz w:val="19"/>
        </w:rPr>
        <w:t xml:space="preserve">Although not free from doubt, we expect to treat our pre-funded warrants as our ordinary shares for U.S. federal income tax purposes, and a holder of our pre-funded warrants should generally be taxed in the same manner as a holder of our ordinary shares. Accordingly, no gain or loss should be recognized upon the exercise of a pre-funded warrant except to the extent of cash received in lieu of a fractional share, which will be treated as received in a disposition subject to the rules described below under “—Sale or Other Disposition of Ordinary Shares or Pre-Funded Warrants” and, upon exercise, the holding period of a pre-funded warrant should carry over to the ordinary share received. Similarly, the tax basis of the pre-funded warrant should carry over to the ordinary share received upon exercise, increased by the exercise price. The discussion below assumes the characterization described above is respected for U.S. federal income tax purposes. </w:t>
      </w:r>
    </w:p>
    <w:p>
      <w:pPr>
        <w:pStyle w:val="TextBody"/>
        <w:bidi w:val="0"/>
        <w:spacing w:before="180" w:after="0"/>
        <w:jc w:val="left"/>
        <w:rPr>
          <w:rFonts w:ascii="Arial" w:hAnsi="Arial"/>
          <w:sz w:val="19"/>
        </w:rPr>
      </w:pPr>
      <w:r>
        <w:rPr>
          <w:rFonts w:ascii="Arial" w:hAnsi="Arial"/>
          <w:sz w:val="19"/>
        </w:rPr>
        <w:t xml:space="preserve">Our position with respect to the characterization of pre-funded warrants is not binding on the IRS, however, and the IRS may treat the pre-funded warrants as warrants to acquire our ordinary shares. If so, the amount and character of a U.S. Holder’s gain with respect to an investment in our pre-funded warrants, as well as such holder’s holding period in the ordinary shares received on the exercise of a pre-funded warrant could change. U.S. Holders should consult their tax advisors regarding the characterization of pre-funded warrants for U.S. federal income tax purposes, and the consequences of alternative characterizations of an investment in the pre-funded warrants based on each holder’s particular facts and circumstances. </w:t>
      </w:r>
    </w:p>
    <w:p>
      <w:pPr>
        <w:pStyle w:val="TextBody"/>
        <w:bidi w:val="0"/>
        <w:spacing w:before="80" w:after="0"/>
        <w:jc w:val="left"/>
        <w:rPr>
          <w:rFonts w:ascii="Arial" w:hAnsi="Arial"/>
          <w:b/>
          <w:i/>
          <w:sz w:val="19"/>
        </w:rPr>
      </w:pPr>
      <w:r>
        <w:rPr>
          <w:rFonts w:ascii="Arial" w:hAnsi="Arial"/>
          <w:b/>
          <w:i/>
          <w:sz w:val="19"/>
        </w:rPr>
        <w:t xml:space="preserve">Certain Adjustments to Pre-Funded Warrants </w:t>
      </w:r>
    </w:p>
    <w:p>
      <w:pPr>
        <w:pStyle w:val="TextBody"/>
        <w:bidi w:val="0"/>
        <w:spacing w:before="40" w:after="0"/>
        <w:jc w:val="left"/>
        <w:rPr>
          <w:rFonts w:ascii="Arial" w:hAnsi="Arial"/>
          <w:sz w:val="19"/>
        </w:rPr>
      </w:pPr>
      <w:r>
        <w:rPr>
          <w:rFonts w:ascii="Arial" w:hAnsi="Arial"/>
          <w:sz w:val="19"/>
        </w:rPr>
        <w:t xml:space="preserve">Under Section 305 of the Code, an adjustment to the number of ordinary shares that will be issued on the exercise of the pre-funded warrants, or an adjustment to the exercise price of the pre-funded warrants, may be treated as a constructive distribution to U.S. Holders of the pre-funded warrants if, and to the extent that, such adjustment has the effect of increasing the U.S. Holder’s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under “—Taxation of Distributions.” U.S. Holders should consult their tax advisors regarding the proper tax treatment of any such adjustment. </w:t>
      </w:r>
    </w:p>
    <w:p>
      <w:pPr>
        <w:pStyle w:val="TextBody"/>
        <w:bidi w:val="0"/>
        <w:spacing w:before="180" w:after="0"/>
        <w:jc w:val="left"/>
        <w:rPr>
          <w:rFonts w:ascii="Arial" w:hAnsi="Arial"/>
          <w:sz w:val="19"/>
        </w:rPr>
      </w:pPr>
      <w:r>
        <w:rPr>
          <w:rFonts w:ascii="Arial" w:hAnsi="Arial"/>
          <w:sz w:val="19"/>
        </w:rPr>
        <w:t xml:space="preserve">A U.S. Holder of a pre-funded warrant is not expected to receive any distributions paid with respect to common stock prior to the exercise of the pre-funded warrant. However, under the terms of the pre-funded warrants, a U.S. Holder of a pre-funded warrant is, upon exercise, entitled to receive distributions made with respect to common stock prior to exercise.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 can be considered a constructive distribution under Section 305 of the Code. A holder of a pre-funded warrant should consult its tax advisor regarding the tax treatment of any distribution or deemed distribution with respect to such pre-funded warrant or of any entitlement with respect to such pre-funded warrant arising from any distribution in respect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Taxation of Distributions </w:t>
      </w:r>
    </w:p>
    <w:p>
      <w:pPr>
        <w:pStyle w:val="TextBody"/>
        <w:bidi w:val="0"/>
        <w:spacing w:before="40" w:after="0"/>
        <w:jc w:val="left"/>
        <w:rPr>
          <w:rFonts w:ascii="Arial" w:hAnsi="Arial"/>
          <w:sz w:val="19"/>
        </w:rPr>
      </w:pPr>
      <w:r>
        <w:rPr>
          <w:rFonts w:ascii="Arial" w:hAnsi="Arial"/>
          <w:sz w:val="19"/>
        </w:rPr>
        <w:t xml:space="preserve">Subject to the discussion under “—Passive Foreign Investment Company Rules” below, distributions (if any) paid on ordinary shares or pre-funded warrants,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Dividends paid to certain non-corporate U.S. Holders may be eligible for taxation as “qualified dividend income” and therefore, subject to applicable limitations, may be taxable at long-term capital gain rates. Dividends may constitute qualified dividend income if (a) the ordinary shares with respect to which the dividends are paid are listed on Nasdaq or are otherwise considered “readily tradable” on an established securities market for U.S. federal income tax purposes or we are eligible for benefits under the Treaty and (b) we are not a PFIC in the year in which the dividend is paid or the prior taxable year. However, there can be no assurance that our ordinary shares will remain listed or otherwise be considered readily tradable on an established securities market in the future, nor (as discussed under “Passive Foreign Investment Company Rules” below) that we will not be a PFIC for any future taxable year. U.S. Holders should consult their tax advisors regarding the availability of the reduced tax rate on dividends in their particular circumstances. </w:t>
      </w:r>
    </w:p>
    <w:p>
      <w:pPr>
        <w:pStyle w:val="TextBody"/>
        <w:bidi w:val="0"/>
        <w:spacing w:before="180" w:after="0"/>
        <w:jc w:val="left"/>
        <w:rPr>
          <w:rFonts w:ascii="Arial" w:hAnsi="Arial"/>
          <w:sz w:val="19"/>
        </w:rPr>
      </w:pPr>
      <w:r>
        <w:rPr>
          <w:rFonts w:ascii="Arial" w:hAnsi="Arial"/>
          <w:sz w:val="19"/>
        </w:rPr>
        <w:t xml:space="preserve">As described below under “—Material Dutch Tax Considerations” and “—Material German Tax Considerations,” it is expected that any dividends we pay to a U.S. Holder will be subject to German withholding tax (and will not be subject to Dutch withholding tax). The amount of a dividend will include any amounts withheld in respect of German income taxes. The amount of the dividend will be treated as foreign-source dividend income to U.S. Holders and will not be eligible for a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w:t>
      </w:r>
    </w:p>
    <w:p>
      <w:pPr>
        <w:pStyle w:val="TextBody"/>
        <w:bidi w:val="0"/>
        <w:spacing w:before="180" w:after="0"/>
        <w:jc w:val="left"/>
        <w:rPr>
          <w:rFonts w:ascii="Arial" w:hAnsi="Arial"/>
          <w:sz w:val="19"/>
        </w:rPr>
      </w:pPr>
      <w:r>
        <w:rPr>
          <w:rFonts w:ascii="Arial" w:hAnsi="Arial"/>
          <w:sz w:val="19"/>
        </w:rPr>
        <w:t xml:space="preserve">Subject to applicable limitations, some of which vary depending upon the U.S. Holder’s particular circumstances, and the discussion below regarding the Foreign Tax Credit Regulations, German taxes withheld from dividends on ordinary shares or pre-funded warrants (at a rate not exceeding the rate provided by the Treaty, in the case of a U.S. Holder eligible for a reduced rate under the Treaty) will be creditable against the U.S. Holder’s U.S. federal income tax liability. As discussed under “—Material German Tax Considerations” below, Germany requires special procedures to be followed by U.S. Holders eligible for a reduced rate under the Treaty to obtain the benefit of such reduced rate. The rules governing foreign tax credits are complex. For example, the Foreign Tax Credit Regulations provide that, in the absence of an election to apply the benefits of an applicable income tax treaty, in order for foreign income taxes (including foreign withholding taxes treated as income taxes) to be creditable, the relevant foreign jurisdiction’s income tax rules must be consistent with certain U.S. federal income tax principles, and we have not determined whether the German income tax system meets these requirements. However, under the temporary relief in the notices described above, certain of the requirements for making this determination would not apply until such time as the IRS withdraws or modifies this temporary relief (or any later date specified in the relevant notice or guidance). Whether the IRS will withdraw this relief for 2026 or future years is inherently uncertain. U.S. Holders should consult their tax advisors regarding the creditability of any German taxes in their particular circumstances. In lieu of claiming a foreign tax credit, a U.S. Holder may be able to elect to deduct foreign taxes, such as the German withholding tax, in computing its taxable income, subject to generally applicable limitations under U.S. law. An election to deduct otherwise creditable non-U.S. taxes instead of claiming foreign tax credits applies to all creditable non-U.S. taxes paid or accrued in the taxable year. </w:t>
      </w:r>
    </w:p>
    <w:p>
      <w:pPr>
        <w:pStyle w:val="TextBody"/>
        <w:bidi w:val="0"/>
        <w:spacing w:before="80" w:after="0"/>
        <w:jc w:val="left"/>
        <w:rPr>
          <w:rFonts w:ascii="Arial" w:hAnsi="Arial"/>
          <w:b/>
          <w:i/>
          <w:sz w:val="19"/>
        </w:rPr>
      </w:pPr>
      <w:r>
        <w:rPr>
          <w:rFonts w:ascii="Arial" w:hAnsi="Arial"/>
          <w:b/>
          <w:i/>
          <w:sz w:val="19"/>
        </w:rPr>
        <w:t xml:space="preserve">Sale or Other Disposition of Ordinary Shares or Pre-Funded Warrants </w:t>
      </w:r>
    </w:p>
    <w:p>
      <w:pPr>
        <w:pStyle w:val="TextBody"/>
        <w:bidi w:val="0"/>
        <w:spacing w:before="40" w:after="0"/>
        <w:jc w:val="left"/>
        <w:rPr>
          <w:rFonts w:ascii="Arial" w:hAnsi="Arial"/>
          <w:sz w:val="19"/>
        </w:rPr>
      </w:pPr>
      <w:r>
        <w:rPr>
          <w:rFonts w:ascii="Arial" w:hAnsi="Arial"/>
          <w:sz w:val="19"/>
        </w:rPr>
        <w:t xml:space="preserve">Subject to the discussion under “—Passive Foreign Investment Company Rules” below, gain or loss realized by a U.S. Holder on the sale or other disposition of ordinary shares or pre-funded warrants will be capital gain or loss, and will be long-term capital gain or loss if the U.S. Holder’s holding period for such ordinary shares or pre-funded warrants was more than one year as of the date of the sale or other disposition. The amount of the gain or loss will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equal the difference between the U.S. Holder’s tax basis in the ordinary shares or pre-funded warrants disposed 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This gain or loss will generally be U.S.-source gain or loss for foreign tax credit purposes. The deductibility of capital losses is subject to various limitations. </w:t>
      </w:r>
    </w:p>
    <w:p>
      <w:pPr>
        <w:pStyle w:val="TextBody"/>
        <w:bidi w:val="0"/>
        <w:spacing w:before="80" w:after="0"/>
        <w:jc w:val="left"/>
        <w:rPr>
          <w:rFonts w:ascii="Arial" w:hAnsi="Arial"/>
          <w:b/>
          <w:i/>
          <w:sz w:val="19"/>
        </w:rPr>
      </w:pPr>
      <w:r>
        <w:rPr>
          <w:rFonts w:ascii="Arial" w:hAnsi="Arial"/>
          <w:b/>
          <w:i/>
          <w:sz w:val="19"/>
        </w:rPr>
        <w:t xml:space="preserve">Passive Foreign Investment Company Rules </w:t>
      </w:r>
    </w:p>
    <w:p>
      <w:pPr>
        <w:pStyle w:val="TextBody"/>
        <w:bidi w:val="0"/>
        <w:spacing w:before="40" w:after="0"/>
        <w:jc w:val="left"/>
        <w:rPr>
          <w:rFonts w:ascii="Arial" w:hAnsi="Arial"/>
          <w:sz w:val="19"/>
        </w:rPr>
      </w:pPr>
      <w:r>
        <w:rPr>
          <w:rFonts w:ascii="Arial" w:hAnsi="Arial"/>
          <w:sz w:val="19"/>
        </w:rPr>
        <w:t xml:space="preserve">Under the Code, we will be a PFIC for any taxable year in which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certain non-active rents and royalties (other than certain rents and royalties derived in an active conduct of a trade or business), and capital gains. Cash is generally a passive asset for these purposes. In addition, intangible assets, such as intellectual property and goodwill (the value of which may be determined by reference to the excess of the sum of a corporation’s market capitalization and liabilities over the value of its assets) are generally characterized as an active asset to the extent it is attributable to activities that produce active income. </w:t>
      </w:r>
    </w:p>
    <w:p>
      <w:pPr>
        <w:pStyle w:val="TextBody"/>
        <w:bidi w:val="0"/>
        <w:spacing w:before="180" w:after="0"/>
        <w:jc w:val="left"/>
        <w:rPr>
          <w:rFonts w:ascii="Arial" w:hAnsi="Arial"/>
          <w:sz w:val="19"/>
        </w:rPr>
      </w:pPr>
      <w:r>
        <w:rPr>
          <w:rFonts w:ascii="Arial" w:hAnsi="Arial"/>
          <w:sz w:val="19"/>
        </w:rPr>
        <w:t xml:space="preserve">Whether we will be a PFIC in the current or any future year is uncertain because, among other things, (i) we currently own, and likely will continue to own, a substantial amount of passive assets, including cash, (ii) the valuation of our assets that generate non-passive income for PFIC purposes, including our intangible assets, is uncertain and may be determined in substantial part by our market capitalization, which may vary substantially over time and (iii) the timing of our recognition of active income for U.S. federal income tax purposes, which may differ from the timing of the recognition of such income for financial accounting purposes, may result in our recognizing lesser amounts of active income for U.S. federal income tax purposes in certain taxable years. In particular, our market capitalization has been volatile. Accordingly, to the extent that the value of our non-passive assets is determined by reference to our market capitalization, there is a significant risk that we may be a PFIC for our current taxable year and possibly future taxable years. However, such determination can only be made after the end of the taxable year. </w:t>
      </w:r>
    </w:p>
    <w:p>
      <w:pPr>
        <w:pStyle w:val="TextBody"/>
        <w:bidi w:val="0"/>
        <w:spacing w:before="180" w:after="0"/>
        <w:jc w:val="left"/>
        <w:rPr>
          <w:rFonts w:ascii="Arial" w:hAnsi="Arial"/>
          <w:sz w:val="19"/>
        </w:rPr>
      </w:pPr>
      <w:r>
        <w:rPr>
          <w:rFonts w:ascii="Arial" w:hAnsi="Arial"/>
          <w:sz w:val="19"/>
        </w:rPr>
        <w:t xml:space="preserve">If we are a PFIC for any year during which a U.S. Holder holds ordinary shares or pre-funded warrants, we will continue to be treated as a PFIC with respect to that U.S. Holder for all succeeding years during which the U.S. Holder holds ordinary shares or pre-funded warrants, even if we cease to meet the threshold requirements for PFIC status, unless the U.S. Holder elects to recognize gain, if any, as if it sold its ordinary shares or pre-funded warrants as of the last day of the last tax year in which we are a PFIC (a “Purging Election”). In addition, we may, directly or indirectly, have held or hold equity interests in other PFICs (collectively, “Lower-tier PFICs”). Under attribution rules, if we are a PFIC, U.S. Holders will be deemed to own their proportionate shares of the stock of Lower-tier PFICs and will be subject to U.S. federal income tax according to the rules described in the following paragraphs on (i) certain distributions by a Lower-tier PFIC and (ii) a disposition of shares of a Lower-tier PFIC, in each case as if the U.S. Holder held those shares directly, even though it will not have received the proceeds of those distributions or dispositions directly. U.S. Holders should consult their tax advisors about the consequences to them if we own one or more Lower-tier PFICs. </w:t>
      </w:r>
    </w:p>
    <w:p>
      <w:pPr>
        <w:pStyle w:val="TextBody"/>
        <w:bidi w:val="0"/>
        <w:spacing w:before="180" w:after="0"/>
        <w:jc w:val="left"/>
        <w:rPr>
          <w:rFonts w:ascii="Arial" w:hAnsi="Arial"/>
          <w:sz w:val="19"/>
        </w:rPr>
      </w:pPr>
      <w:r>
        <w:rPr>
          <w:rFonts w:ascii="Arial" w:hAnsi="Arial"/>
          <w:sz w:val="19"/>
        </w:rPr>
        <w:t xml:space="preserve">If we are a PFIC for any taxable year during which a U.S. Holder holds ordinary shares or pre-funded warrants (assuming the U.S. Holder has not made one of certain elections, as described below), gain recognized by the U.S. Holder on the sale or other disposition (including certain pledges) of ordinary shares or pre-funded warrants (including any gain recognized as a consequence of a Purging Election) will be allocated ratably over the U.S. Holder’s holding period for the ordinary shares or pre-funded warrants. The amounts allocated to the taxable year of the sale or other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Further, to the extent that any distribution received by a U.S. Holder on its ordinary shares or pre-funded warrants exceeds 125% of the average of the annual distributions on the ordinary shares or pre-funded warrants received during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preceding three years or the U.S. Holder’s holding period, whichever is shorter, that distribution will be subject to taxation in the same manner as gain. </w:t>
      </w:r>
    </w:p>
    <w:p>
      <w:pPr>
        <w:pStyle w:val="TextBody"/>
        <w:bidi w:val="0"/>
        <w:spacing w:before="180" w:after="0"/>
        <w:jc w:val="left"/>
        <w:rPr>
          <w:rFonts w:ascii="Arial" w:hAnsi="Arial"/>
          <w:sz w:val="19"/>
        </w:rPr>
      </w:pPr>
      <w:r>
        <w:rPr>
          <w:rFonts w:ascii="Arial" w:hAnsi="Arial"/>
          <w:sz w:val="19"/>
        </w:rPr>
        <w:t xml:space="preserve">If we were a PFIC and a U.S. Holder made either (a) an election to treat our ordinary shares or pre-funded warrants as stock of a “qualified electing fund,” or “QEF,” or (b) a “mark-to-market” election with respect to our ordinary shares, that election would alleviate some of the adverse tax consequences of PFIC status and would result in an alternative treatment of the ordinary shares. If we determine that we are a PFIC for any taxable year, we intend to provide the information for U.S. Holders to make or maintain a QEF election, including information necessary to determine the appropriate income inclusion amounts for purposes of the QEF election. However, we cannot give any assurance that we will have timely knowledge of our status as a PFIC in the future or that we will provide the information necessary for U.S. Holders to make “QEF elections.” Furthermore, the availability of a “mark-to-market election” with respect to the ordinary shares is a factual determination that will depend on the manner and quantity of trading of our ordinary shares. A mark-to-market election cannot be made with respect to the stock of any of our subsidiaries. U.S. Holders should consult their tax advisors regarding whether any of these elections for alternative treatment would be available with respect to the ordinary shares and, if so, what the consequences of the alternative treatments would be in their particular circumstances. </w:t>
      </w:r>
    </w:p>
    <w:p>
      <w:pPr>
        <w:pStyle w:val="TextBody"/>
        <w:bidi w:val="0"/>
        <w:spacing w:before="180" w:after="0"/>
        <w:jc w:val="left"/>
        <w:rPr>
          <w:rFonts w:ascii="Arial" w:hAnsi="Arial"/>
          <w:sz w:val="19"/>
        </w:rPr>
      </w:pPr>
      <w:r>
        <w:rPr>
          <w:rFonts w:ascii="Arial" w:hAnsi="Arial"/>
          <w:sz w:val="19"/>
        </w:rPr>
        <w:t xml:space="preserve">If we are a PFIC (or, with respect to a particular U.S. Holder, are treated as a PFIC) for a taxable year in which we pay a dividend or for the prior taxable year, the preferential dividend rates discussed above with respect to dividends paid to certain non-corporate U.S. Holders will not apply. </w:t>
      </w:r>
    </w:p>
    <w:p>
      <w:pPr>
        <w:pStyle w:val="TextBody"/>
        <w:bidi w:val="0"/>
        <w:spacing w:before="180" w:after="0"/>
        <w:jc w:val="left"/>
        <w:rPr>
          <w:rFonts w:ascii="Arial" w:hAnsi="Arial"/>
          <w:sz w:val="19"/>
        </w:rPr>
      </w:pPr>
      <w:r>
        <w:rPr>
          <w:rFonts w:ascii="Arial" w:hAnsi="Arial"/>
          <w:sz w:val="19"/>
        </w:rPr>
        <w:t xml:space="preserve">If we are a PFIC for a taxable year during which a U.S. Holder holds ordinary shares or pre-funded warrants, the U.S. Holder will generally be required to file an annual report on IRS Form 8621 with its annual U.S. federal income tax returns, subject to certain exceptions. The failure to file IRS Form 8621 could result in the imposition of penalties and the extension of the statute of limitations with respect to U.S. federal income tax. </w:t>
      </w:r>
    </w:p>
    <w:p>
      <w:pPr>
        <w:pStyle w:val="TextBody"/>
        <w:bidi w:val="0"/>
        <w:spacing w:before="180" w:after="0"/>
        <w:jc w:val="left"/>
        <w:rPr>
          <w:rFonts w:ascii="Arial" w:hAnsi="Arial"/>
          <w:sz w:val="19"/>
        </w:rPr>
      </w:pPr>
      <w:r>
        <w:rPr>
          <w:rFonts w:ascii="Arial" w:hAnsi="Arial"/>
          <w:sz w:val="19"/>
        </w:rPr>
        <w:t xml:space="preserve">Prospective U.S. Holders should consult their tax advisors regarding the potential PFIC rules to an investment in ordinary shares or pre-funded warrants. </w:t>
      </w:r>
    </w:p>
    <w:p>
      <w:pPr>
        <w:pStyle w:val="TextBody"/>
        <w:bidi w:val="0"/>
        <w:spacing w:before="80" w:after="0"/>
        <w:jc w:val="left"/>
        <w:rPr>
          <w:rFonts w:ascii="Arial" w:hAnsi="Arial"/>
          <w:b/>
          <w:i/>
          <w:sz w:val="19"/>
        </w:rPr>
      </w:pPr>
      <w:r>
        <w:rPr>
          <w:rFonts w:ascii="Arial" w:hAnsi="Arial"/>
          <w:b/>
          <w:i/>
          <w:sz w:val="19"/>
        </w:rPr>
        <w:t xml:space="preserve">Information Reporting and Backup Withholding </w:t>
      </w:r>
    </w:p>
    <w:p>
      <w:pPr>
        <w:pStyle w:val="TextBody"/>
        <w:bidi w:val="0"/>
        <w:spacing w:before="40" w:after="0"/>
        <w:jc w:val="left"/>
        <w:rPr>
          <w:rFonts w:ascii="Arial" w:hAnsi="Arial"/>
          <w:sz w:val="19"/>
        </w:rPr>
      </w:pPr>
      <w:r>
        <w:rPr>
          <w:rFonts w:ascii="Arial" w:hAnsi="Arial"/>
          <w:sz w:val="19"/>
        </w:rPr>
        <w:t xml:space="preserve">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180" w:after="0"/>
        <w:jc w:val="left"/>
        <w:rPr>
          <w:rFonts w:ascii="Arial" w:hAnsi="Arial"/>
          <w:sz w:val="19"/>
        </w:rPr>
      </w:pPr>
      <w:r>
        <w:rPr>
          <w:rFonts w:ascii="Arial" w:hAnsi="Arial"/>
          <w:sz w:val="19"/>
        </w:rPr>
        <w:t xml:space="preserve">The amount of any backup withholding from a payment to a U.S. Holder will be allowed as a credit against the U.S. Holder’s U.S. federal income tax liability and may entitle it to a refund, provided that the required information is timely furnished to the IRS. </w:t>
      </w:r>
    </w:p>
    <w:p>
      <w:pPr>
        <w:pStyle w:val="TextBody"/>
        <w:bidi w:val="0"/>
        <w:spacing w:before="180" w:after="0"/>
        <w:jc w:val="left"/>
        <w:rPr>
          <w:rFonts w:ascii="Arial" w:hAnsi="Arial"/>
          <w:sz w:val="19"/>
        </w:rPr>
      </w:pPr>
      <w:r>
        <w:rPr>
          <w:rFonts w:ascii="Arial" w:hAnsi="Arial"/>
          <w:sz w:val="19"/>
        </w:rPr>
        <w:t xml:space="preserve">Certain U.S. Holders who are individuals (and, under regulations, certain entities) may be required to report information relating to the ordinary shares, subject to certain exceptions (including an exception for assets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the ordinary shares or pre-funded warrants. </w:t>
      </w:r>
    </w:p>
    <w:p>
      <w:pPr>
        <w:pStyle w:val="TextBody"/>
        <w:bidi w:val="0"/>
        <w:spacing w:before="240" w:after="0"/>
        <w:jc w:val="left"/>
        <w:rPr>
          <w:rFonts w:ascii="Arial" w:hAnsi="Arial"/>
          <w:b/>
          <w:sz w:val="20"/>
        </w:rPr>
      </w:pPr>
      <w:r>
        <w:rPr>
          <w:rFonts w:ascii="Arial" w:hAnsi="Arial"/>
          <w:b/>
          <w:sz w:val="20"/>
        </w:rPr>
        <w:t xml:space="preserve">Material Dutch Tax Considerations </w:t>
      </w:r>
    </w:p>
    <w:p>
      <w:pPr>
        <w:pStyle w:val="TextBody"/>
        <w:bidi w:val="0"/>
        <w:spacing w:before="80" w:after="0"/>
        <w:jc w:val="left"/>
        <w:rPr>
          <w:rFonts w:ascii="Arial" w:hAnsi="Arial"/>
          <w:b/>
          <w:i/>
          <w:sz w:val="19"/>
        </w:rPr>
      </w:pPr>
      <w:r>
        <w:rPr>
          <w:rFonts w:ascii="Arial" w:hAnsi="Arial"/>
          <w:b/>
          <w:i/>
          <w:sz w:val="19"/>
        </w:rPr>
        <w:t xml:space="preserve">Scope of Discussion </w:t>
      </w:r>
    </w:p>
    <w:p>
      <w:pPr>
        <w:pStyle w:val="TextBody"/>
        <w:bidi w:val="0"/>
        <w:spacing w:before="80" w:after="0"/>
        <w:jc w:val="left"/>
        <w:rPr>
          <w:rFonts w:ascii="Arial" w:hAnsi="Arial"/>
          <w:sz w:val="19"/>
        </w:rPr>
      </w:pPr>
      <w:r>
        <w:rPr>
          <w:rFonts w:ascii="Arial" w:hAnsi="Arial"/>
          <w:sz w:val="19"/>
        </w:rPr>
        <w:t xml:space="preserve">This section only outlines certain material Dutch tax consequences of the acquisition, holding and disposal of the ordinary shares and the acquisition, holding, exercise and disposal of the pre-funded warrants. This section does not purport to describe all possible tax considerations or consequences that may be relevant to a holder or prospective holder of ordinary shares or pre-funded warrants and does not purport to deal with the tax consequences applicable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all categories of investors, some of which (such as trusts or similar arrangements) may be subject to special rules. In view of its general nature, this section should be treated with corresponding caution. </w:t>
      </w:r>
    </w:p>
    <w:p>
      <w:pPr>
        <w:pStyle w:val="TextBody"/>
        <w:bidi w:val="0"/>
        <w:spacing w:before="180" w:after="0"/>
        <w:jc w:val="left"/>
        <w:rPr>
          <w:rFonts w:ascii="Arial" w:hAnsi="Arial"/>
          <w:sz w:val="19"/>
        </w:rPr>
      </w:pPr>
      <w:r>
        <w:rPr>
          <w:rFonts w:ascii="Arial" w:hAnsi="Arial"/>
          <w:sz w:val="19"/>
        </w:rPr>
        <w:t xml:space="preserve">For the purposes of this discussion, it is assumed that we are a tax resident of Germany under German national tax laws since we intended to have, from our incorporation and on a continuous basis, our place of effective management in Germany. </w:t>
      </w:r>
    </w:p>
    <w:p>
      <w:pPr>
        <w:pStyle w:val="TextBody"/>
        <w:bidi w:val="0"/>
        <w:spacing w:before="180" w:after="0"/>
        <w:jc w:val="left"/>
        <w:rPr>
          <w:rFonts w:ascii="Arial" w:hAnsi="Arial"/>
          <w:sz w:val="19"/>
        </w:rPr>
      </w:pPr>
      <w:r>
        <w:rPr>
          <w:rFonts w:ascii="Arial" w:hAnsi="Arial"/>
          <w:sz w:val="19"/>
        </w:rPr>
        <w:t xml:space="preserve">Except as otherwise indicated, this section is based on and only addresses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 </w:t>
      </w:r>
    </w:p>
    <w:p>
      <w:pPr>
        <w:pStyle w:val="TextBody"/>
        <w:bidi w:val="0"/>
        <w:spacing w:before="180" w:after="0"/>
        <w:jc w:val="left"/>
        <w:rPr>
          <w:rFonts w:ascii="Arial" w:hAnsi="Arial"/>
          <w:sz w:val="19"/>
        </w:rPr>
      </w:pPr>
      <w:r>
        <w:rPr>
          <w:rFonts w:ascii="Arial" w:hAnsi="Arial"/>
          <w:sz w:val="19"/>
        </w:rPr>
        <w:t xml:space="preserve">This section is intended as general information only and is not Dutch tax advice or a complete description of all Dutch tax consequences relating to the acquisition, holding and disposal of the ordinary shares or the acquisition, holding, exercise or disposal of the pre-funded warrants. Holders or prospective holders of ordinary shares or pre-funded warrants should consult their own tax advisor regarding the Dutch tax consequences relating to the acquisition, holding and disposal of the ordinary shares and the acquisition, holding, exercise and disposal of pre-funded warrants in light of their particular circumstances. </w:t>
      </w:r>
    </w:p>
    <w:p>
      <w:pPr>
        <w:pStyle w:val="TextBody"/>
        <w:bidi w:val="0"/>
        <w:spacing w:before="180" w:after="0"/>
        <w:jc w:val="left"/>
        <w:rPr>
          <w:rFonts w:ascii="Arial" w:hAnsi="Arial"/>
          <w:sz w:val="19"/>
        </w:rPr>
      </w:pPr>
      <w:r>
        <w:rPr>
          <w:rFonts w:ascii="Arial" w:hAnsi="Arial"/>
          <w:sz w:val="19"/>
        </w:rPr>
        <w:t>This section does not describe any Dutch tax considerations or consequences arising from the Dutch Minimum Tax Act 2024 (</w:t>
      </w:r>
      <w:r>
        <w:rPr>
          <w:rFonts w:ascii="Arial" w:hAnsi="Arial"/>
          <w:i/>
          <w:sz w:val="19"/>
        </w:rPr>
        <w:t>Wet minimumbelasting 2024</w:t>
      </w:r>
      <w:r>
        <w:rPr>
          <w:rFonts w:ascii="Arial" w:hAnsi="Arial"/>
          <w:sz w:val="19"/>
        </w:rPr>
        <w:t xml:space="preserve">; the Dutch implementation of Directive (EU) 2022/2523 of 14 December 2022 on ensuring a global minimum level of taxation for multinational enterprise groups and large-scale domestic groups in the European Union) which may be relevant for a particular holder. </w:t>
      </w:r>
    </w:p>
    <w:p>
      <w:pPr>
        <w:pStyle w:val="TextBody"/>
        <w:bidi w:val="0"/>
        <w:spacing w:before="180" w:after="0"/>
        <w:jc w:val="left"/>
        <w:rPr>
          <w:rFonts w:ascii="Arial" w:hAnsi="Arial"/>
          <w:sz w:val="19"/>
        </w:rPr>
      </w:pPr>
      <w:r>
        <w:rPr>
          <w:rFonts w:ascii="Arial" w:hAnsi="Arial"/>
          <w:sz w:val="19"/>
        </w:rPr>
        <w:t xml:space="preserve">Please note that this section does not describe the Dutch tax consequences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a holder of ordinary shares or pre-funded warrants if such holder has a substantial interest (</w:t>
            </w:r>
            <w:r>
              <w:rPr>
                <w:rFonts w:ascii="Arial" w:hAnsi="Arial"/>
                <w:i/>
                <w:sz w:val="19"/>
              </w:rPr>
              <w:t>aanmerkelijk belang</w:t>
            </w:r>
            <w:r>
              <w:rPr>
                <w:rFonts w:ascii="Arial" w:hAnsi="Arial"/>
                <w:sz w:val="19"/>
              </w:rPr>
              <w:t>) or deemed substantial interest (</w:t>
            </w:r>
            <w:r>
              <w:rPr>
                <w:rFonts w:ascii="Arial" w:hAnsi="Arial"/>
                <w:i/>
                <w:sz w:val="19"/>
              </w:rPr>
              <w:t>fictief aanmerkelijk belang</w:t>
            </w:r>
            <w:r>
              <w:rPr>
                <w:rFonts w:ascii="Arial" w:hAnsi="Arial"/>
                <w:sz w:val="19"/>
              </w:rPr>
              <w:t>) in us under the Dutch Income Tax Act 2001 (</w:t>
            </w:r>
            <w:r>
              <w:rPr>
                <w:rFonts w:ascii="Arial" w:hAnsi="Arial"/>
                <w:i/>
                <w:sz w:val="19"/>
              </w:rPr>
              <w:t>Wet inkomstenbelasting 2001</w:t>
            </w:r>
            <w:r>
              <w:rPr>
                <w:rFonts w:ascii="Arial" w:hAnsi="Arial"/>
                <w:sz w:val="19"/>
              </w:rPr>
              <w:t xml:space="preserve">). Generally, a holder is considered to hold a substantial interest in us, if such holder alone or, in the case of an individual, together with such holder’s partner for Dutch income tax purposes, or any relatives by blood or marriage in the direct line (including foster children), directly or indirectly, holds (i) an interest of 5% or more of our total issued and outstanding capital or of 5% or more of the issued and outstanding capital of a certain class of shares; or (ii) rights, including the pre-funded warrants, to acquire, directly or indirectly, such interest; or (iii) certain profit sharing rights that relate to 5% or more of our annual profits or to 5% or more of our liquidation proceeds. A deemed substantial interest may arise if a substantial interest (or part thereof) in us has been disposed of, or is deemed to have been disposed of, on a non-recognition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a holder of ordinary shares or pre-funded warrants if the ordinary shares and/or pre-funded warrants held by such holder qualify or qualified as a participation (</w:t>
            </w:r>
            <w:r>
              <w:rPr>
                <w:rFonts w:ascii="Arial" w:hAnsi="Arial"/>
                <w:i/>
                <w:sz w:val="19"/>
              </w:rPr>
              <w:t>deelneming</w:t>
            </w:r>
            <w:r>
              <w:rPr>
                <w:rFonts w:ascii="Arial" w:hAnsi="Arial"/>
                <w:sz w:val="19"/>
              </w:rPr>
              <w:t>) for purposes of the Dutch Corporate Income Tax Act 1969 (</w:t>
            </w:r>
            <w:r>
              <w:rPr>
                <w:rFonts w:ascii="Arial" w:hAnsi="Arial"/>
                <w:i/>
                <w:sz w:val="19"/>
              </w:rPr>
              <w:t>Wet op de vennootschapsbelasting 1969</w:t>
            </w:r>
            <w:r>
              <w:rPr>
                <w:rFonts w:ascii="Arial" w:hAnsi="Arial"/>
                <w:sz w:val="19"/>
              </w:rPr>
              <w:t xml:space="preserve">). Generally, a holder’s shareholding, or right to acquire, of 5% or more in our nominal paid-up share capital qualifies as a participation. A holder may also have a participation if (a) such holder does not have a shareholding of 5% or more but a related entity (statutorily defined term) has a participation or (b) we are a related entity (statutorily defined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a holder of ordinary shares which is or who is entitled to the dividend withholding tax exemption (</w:t>
            </w:r>
            <w:r>
              <w:rPr>
                <w:rFonts w:ascii="Arial" w:hAnsi="Arial"/>
                <w:i/>
                <w:sz w:val="19"/>
              </w:rPr>
              <w:t>inhoudingsvrijstelling</w:t>
            </w:r>
            <w:r>
              <w:rPr>
                <w:rFonts w:ascii="Arial" w:hAnsi="Arial"/>
                <w:sz w:val="19"/>
              </w:rPr>
              <w:t>) with respect to any income (</w:t>
            </w:r>
            <w:r>
              <w:rPr>
                <w:rFonts w:ascii="Arial" w:hAnsi="Arial"/>
                <w:i/>
                <w:sz w:val="19"/>
              </w:rPr>
              <w:t>opbrengst</w:t>
            </w:r>
            <w:r>
              <w:rPr>
                <w:rFonts w:ascii="Arial" w:hAnsi="Arial"/>
                <w:sz w:val="19"/>
              </w:rPr>
              <w:t>) derived from the ordinary shares (as defined in Article 4 of the Dutch Dividend Withholding Tax Act 1965 (</w:t>
            </w:r>
            <w:r>
              <w:rPr>
                <w:rFonts w:ascii="Arial" w:hAnsi="Arial"/>
                <w:i/>
                <w:sz w:val="19"/>
              </w:rPr>
              <w:t>Wet op de dividendbelasting</w:t>
            </w:r>
            <w:r>
              <w:rPr>
                <w:rFonts w:ascii="Arial" w:hAnsi="Arial"/>
                <w:sz w:val="19"/>
              </w:rPr>
              <w:t xml:space="preserve">)). Generally, a holder of ordinary shares may be entitled or required to apply, subject to certain other requirements, the dividend withholding tax exemption if it is an entity and holds an interest of 5% or more in our nominal paid-up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pension funds, investment institutions (</w:t>
            </w:r>
            <w:r>
              <w:rPr>
                <w:rFonts w:ascii="Arial" w:hAnsi="Arial"/>
                <w:i/>
                <w:sz w:val="19"/>
              </w:rPr>
              <w:t>fiscale beleggingsinstellingen</w:t>
            </w:r>
            <w:r>
              <w:rPr>
                <w:rFonts w:ascii="Arial" w:hAnsi="Arial"/>
                <w:sz w:val="19"/>
              </w:rPr>
              <w:t>) and tax exempt investment institutions (</w:t>
            </w:r>
            <w:r>
              <w:rPr>
                <w:rFonts w:ascii="Arial" w:hAnsi="Arial"/>
                <w:i/>
                <w:sz w:val="19"/>
              </w:rPr>
              <w:t>vrijgestelde beleggingsinstellingen</w:t>
            </w:r>
            <w:r>
              <w:rPr>
                <w:rFonts w:ascii="Arial" w:hAnsi="Arial"/>
                <w:sz w:val="19"/>
              </w:rPr>
              <w:t xml:space="preserve">) (each as defined in the Dutch Corporate Income Tax Act 1969) and other entities that are, in whole or in part, not subject to or exempt from Dutch corporate income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tax, entities that have a function comparable to an investment institution or a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holder of ordinary shares or pre-funded warrants if such holder is an individual for whom the ordinary shares or pre-funded warrants or any benefit derived from the ordinary shares or pre-funded warrants are a remuneration or deemed to be a remuneration for (employment) activities performed by such holder or certain individuals related to such holder (as defined in the Dutch Income Tax Act 2001);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holder of outstanding options, restricted share units or any other awards granted under our share-based compensation plan(s). </w:t>
            </w:r>
          </w:p>
        </w:tc>
      </w:tr>
    </w:tbl>
    <w:p>
      <w:pPr>
        <w:pStyle w:val="TextBody"/>
        <w:bidi w:val="0"/>
        <w:spacing w:before="80" w:after="0"/>
        <w:jc w:val="left"/>
        <w:rPr>
          <w:rFonts w:ascii="Arial" w:hAnsi="Arial"/>
          <w:b/>
          <w:i/>
          <w:sz w:val="19"/>
        </w:rPr>
      </w:pPr>
      <w:r>
        <w:rPr>
          <w:rFonts w:ascii="Arial" w:hAnsi="Arial"/>
          <w:b/>
          <w:i/>
          <w:sz w:val="19"/>
        </w:rPr>
        <w:t xml:space="preserve">Withholding Tax on Dividends </w:t>
      </w:r>
    </w:p>
    <w:p>
      <w:pPr>
        <w:pStyle w:val="TextBody"/>
        <w:bidi w:val="0"/>
        <w:spacing w:before="40" w:after="0"/>
        <w:jc w:val="left"/>
        <w:rPr>
          <w:rFonts w:ascii="Arial" w:hAnsi="Arial"/>
          <w:i/>
          <w:sz w:val="19"/>
        </w:rPr>
      </w:pPr>
      <w:r>
        <w:rPr>
          <w:rFonts w:ascii="Arial" w:hAnsi="Arial"/>
          <w:i/>
          <w:sz w:val="19"/>
        </w:rPr>
        <w:t xml:space="preserve">Regular Dutch Dividend Withholding Tax </w:t>
      </w:r>
    </w:p>
    <w:p>
      <w:pPr>
        <w:pStyle w:val="TextBody"/>
        <w:bidi w:val="0"/>
        <w:spacing w:before="40" w:after="0"/>
        <w:jc w:val="left"/>
        <w:rPr>
          <w:rFonts w:ascii="Arial" w:hAnsi="Arial"/>
          <w:sz w:val="19"/>
        </w:rPr>
      </w:pPr>
      <w:r>
        <w:rPr>
          <w:rFonts w:ascii="Arial" w:hAnsi="Arial"/>
          <w:sz w:val="19"/>
        </w:rPr>
        <w:t>We are incorporated under the laws of the Netherlands, and therefore a Dutch tax resident for Dutch domestic tax law purposes, including the Dutch Dividend Withholding Tax Act 1969 and the Dutch Conditional Withholding Tax Act 2021 (</w:t>
      </w:r>
      <w:r>
        <w:rPr>
          <w:rFonts w:ascii="Arial" w:hAnsi="Arial"/>
          <w:i/>
          <w:sz w:val="19"/>
        </w:rPr>
        <w:t>Wet bronbelasting 2021</w:t>
      </w:r>
      <w:r>
        <w:rPr>
          <w:rFonts w:ascii="Arial" w:hAnsi="Arial"/>
          <w:sz w:val="19"/>
        </w:rPr>
        <w:t xml:space="preserve">). As such, we are required to withhold Dutch dividend withholding tax at a rate of 15% from dividends distributed by us (which withholding tax will not be borne by us but will be withheld by us from the gross dividends paid on the shares). We are however also treated as a German tax resident for German domestic tax law purposes, since our place of effective management is located in Germany. Based on the so-called tie-breaker provision (the “Tie-Breaker Provision”) included in Section 4(3) of the 2012 Convention between the Federal Republic of Germany and the Kingdom of the Netherlands for the avoidance of double taxation with respect to taxes on income (the “double tax treaty between Germany and the Netherlands”) as in effect on the date hereof, our tax residence in either the Netherlands or Germany for the purposes of the double tax treaty between Germany and the Netherlands should be determined based on our place of effective management. As long as we have our place of effective management continuously in Germany, and the Tie-Breaker Provision is not changed (for instance, by change in the reservations and choices made by Germany with respect to the application of the Multilateral Convention to Implement Tax Treaty Related Measures to Prevent Base Erosion and Profit Shifting), we will be considered to be exclusively tax resident in Germany for purposes of the double tax treaty between Germany and the Netherlands. As a consequence, the Netherlands will be restricted to impose Dutch dividend withholding tax on dividends distributed by us pursuant to Section 10(5) of the double tax treaty between Germany and the Netherlands (and we will not be required to withhold Dutch dividend withholding tax). This restriction does not apply to dividends distributed by us to a holder of our ordinary shares who is resident or deemed to be resident in the Netherlands for Dutch personal income tax purposes or Dutch corporate income tax purposes (“Dutch Resident Individual” and “Dutch Resident Entity”, respectively) or to a holder of our ordinary shares that is neither resident nor deemed to be resident of the Netherlands (“Non-Resident Holder”) if the ordinary shares are attributable to a Dutch permanent establishment of such Non-Resident Holder, in which event the following applies. </w:t>
      </w:r>
    </w:p>
    <w:p>
      <w:pPr>
        <w:pStyle w:val="TextBody"/>
        <w:bidi w:val="0"/>
        <w:spacing w:before="180" w:after="0"/>
        <w:jc w:val="left"/>
        <w:rPr>
          <w:rFonts w:ascii="Arial" w:hAnsi="Arial"/>
          <w:sz w:val="19"/>
        </w:rPr>
      </w:pPr>
      <w:r>
        <w:rPr>
          <w:rFonts w:ascii="Arial" w:hAnsi="Arial"/>
          <w:sz w:val="19"/>
        </w:rPr>
        <w:t xml:space="preserve">Dividends distributed by us are generally subject to Dutch dividend withholding tax at a rate of 15%. Generally, we are responsible for the withholding of such dividend withholding tax at source; the Dutch dividend withholding tax is for the account of the holder of ordinary shares. </w:t>
      </w:r>
    </w:p>
    <w:p>
      <w:pPr>
        <w:pStyle w:val="TextBody"/>
        <w:bidi w:val="0"/>
        <w:spacing w:before="180" w:after="0"/>
        <w:jc w:val="left"/>
        <w:rPr>
          <w:rFonts w:ascii="Arial" w:hAnsi="Arial"/>
          <w:sz w:val="19"/>
        </w:rPr>
      </w:pPr>
      <w:r>
        <w:rPr>
          <w:rFonts w:ascii="Arial" w:hAnsi="Arial"/>
          <w:sz w:val="19"/>
        </w:rPr>
        <w:t xml:space="preserve">The expression “dividends distributed” includes, but is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distributions in cash or in kind, deemed and constructive distributions and repayments of paid-in capital not recognized for Dutch dividend withholding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liquidation proceeds, proceeds from the redemption of ordinary shares, or proceeds from the repurchase of ordinary shares (other than as temporary portfolio investment; </w:t>
            </w:r>
            <w:r>
              <w:rPr>
                <w:rFonts w:ascii="Arial" w:hAnsi="Arial"/>
                <w:i/>
                <w:sz w:val="19"/>
              </w:rPr>
              <w:t>tijdelijke belegging</w:t>
            </w:r>
            <w:r>
              <w:rPr>
                <w:rFonts w:ascii="Arial" w:hAnsi="Arial"/>
                <w:sz w:val="19"/>
              </w:rPr>
              <w:t xml:space="preserve">) by us or one of our subsidiaries or other affiliated entities, in each case to the extent such proceeds exceed the average paid-in capital of those ordinary shares as recognized for Dutch dividend withholding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 amount equal to the nominal value of the ordinary shares issued or an increase of the nominal value of the ordinary shares, to the extent that no related contribution, recognized for Dutch dividend withholding tax purposes, has been made or will be made; and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partial repayment of the paid-in capital recognized for Dutch dividend withholding tax purposes, if and to the extent that we have “net profits” (</w:t>
            </w:r>
            <w:r>
              <w:rPr>
                <w:rFonts w:ascii="Arial" w:hAnsi="Arial"/>
                <w:i/>
                <w:sz w:val="19"/>
              </w:rPr>
              <w:t>zuivere winst</w:t>
            </w:r>
            <w:r>
              <w:rPr>
                <w:rFonts w:ascii="Arial" w:hAnsi="Arial"/>
                <w:sz w:val="19"/>
              </w:rPr>
              <w:t xml:space="preserve">), unless (i) the general meeting of shareholders has resolved in advance to make such repayment and (ii) the nominal value of the ordinary shares concerned has been reduced by an equal amount by way of an amendment to the articles of association. The term “net profits” includes anticipated profits that have yet to be realized. </w:t>
            </w:r>
          </w:p>
        </w:tc>
      </w:tr>
    </w:tbl>
    <w:p>
      <w:pPr>
        <w:pStyle w:val="TextBody"/>
        <w:bidi w:val="0"/>
        <w:spacing w:before="180" w:after="0"/>
        <w:jc w:val="left"/>
        <w:rPr>
          <w:rFonts w:ascii="Arial" w:hAnsi="Arial"/>
          <w:sz w:val="19"/>
        </w:rPr>
      </w:pPr>
      <w:r>
        <w:rPr>
          <w:rFonts w:ascii="Arial" w:hAnsi="Arial"/>
          <w:sz w:val="19"/>
        </w:rPr>
        <w:t xml:space="preserve">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Dutch Resident Individuals generally are entitled to a credit for any Dutch dividend withholding tax against their Dutch personal income tax liability and to a refund of any residual Dutch dividend withholding tax. The above generally also applies to Non-Resident Holders if the ordinary shares are attributable to a Dutch permanent establishment of such Non-Resident Holder. </w:t>
      </w:r>
    </w:p>
    <w:p>
      <w:pPr>
        <w:pStyle w:val="TextBody"/>
        <w:bidi w:val="0"/>
        <w:spacing w:before="180" w:after="0"/>
        <w:jc w:val="left"/>
        <w:rPr>
          <w:rFonts w:ascii="Arial" w:hAnsi="Arial"/>
          <w:sz w:val="19"/>
        </w:rPr>
      </w:pPr>
      <w:r>
        <w:rPr>
          <w:rFonts w:ascii="Arial" w:hAnsi="Arial"/>
          <w:sz w:val="19"/>
        </w:rPr>
        <w:t xml:space="preserve">A Non-Resident Holder may, depending on such holder’s specific circumstances, be entitled to exemptions from, reduction of, or full or partial refund of, Dutch dividend withholding tax under Dutch domestic law, EU law, or treaties for the avoidance of double taxation in effect between the Netherlands and such other country. </w:t>
      </w:r>
    </w:p>
    <w:p>
      <w:pPr>
        <w:pStyle w:val="TextBody"/>
        <w:bidi w:val="0"/>
        <w:spacing w:before="80" w:after="0"/>
        <w:jc w:val="left"/>
        <w:rPr>
          <w:rFonts w:ascii="Arial" w:hAnsi="Arial"/>
          <w:i/>
          <w:sz w:val="19"/>
        </w:rPr>
      </w:pPr>
      <w:r>
        <w:rPr>
          <w:rFonts w:ascii="Arial" w:hAnsi="Arial"/>
          <w:i/>
          <w:sz w:val="19"/>
        </w:rPr>
        <w:t xml:space="preserve">Dividend Stripping </w:t>
      </w:r>
    </w:p>
    <w:p>
      <w:pPr>
        <w:pStyle w:val="TextBody"/>
        <w:bidi w:val="0"/>
        <w:spacing w:before="40" w:after="0"/>
        <w:jc w:val="left"/>
        <w:rPr>
          <w:rFonts w:ascii="Arial" w:hAnsi="Arial"/>
          <w:sz w:val="19"/>
        </w:rPr>
      </w:pPr>
      <w:r>
        <w:rPr>
          <w:rFonts w:ascii="Arial" w:hAnsi="Arial"/>
          <w:sz w:val="19"/>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hAnsi="Arial"/>
          <w:i/>
          <w:sz w:val="19"/>
        </w:rPr>
        <w:t>uiteindelijk gerechtigde</w:t>
      </w:r>
      <w:r>
        <w:rPr>
          <w:rFonts w:ascii="Arial" w:hAnsi="Arial"/>
          <w:sz w:val="19"/>
        </w:rPr>
        <w:t xml:space="preserve">;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w:t>
      </w:r>
    </w:p>
    <w:p>
      <w:pPr>
        <w:pStyle w:val="TextBody"/>
        <w:bidi w:val="0"/>
        <w:spacing w:before="180" w:after="0"/>
        <w:jc w:val="left"/>
        <w:rPr>
          <w:rFonts w:ascii="Arial" w:hAnsi="Arial"/>
          <w:sz w:val="19"/>
        </w:rPr>
      </w:pPr>
      <w:r>
        <w:rPr>
          <w:rFonts w:ascii="Arial" w:hAnsi="Arial"/>
          <w:sz w:val="19"/>
        </w:rPr>
        <w:t xml:space="preserve">The burden of proof with respect to beneficial ownership of dividends distributed by us rests on the Dutch tax authorities. If, however, a shareholder would receive dividends, including dividends on the ordinary shares, in a calendar year in respect of which an aggregate amount of EUR 1,000 in Dutch dividend withholding tax would otherwise be due 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 </w:t>
      </w:r>
    </w:p>
    <w:p>
      <w:pPr>
        <w:pStyle w:val="TextBody"/>
        <w:bidi w:val="0"/>
        <w:spacing w:before="80" w:after="0"/>
        <w:jc w:val="left"/>
        <w:rPr>
          <w:rFonts w:ascii="Arial" w:hAnsi="Arial"/>
          <w:i/>
          <w:sz w:val="19"/>
        </w:rPr>
      </w:pPr>
      <w:r>
        <w:rPr>
          <w:rFonts w:ascii="Arial" w:hAnsi="Arial"/>
          <w:i/>
          <w:sz w:val="19"/>
        </w:rPr>
        <w:t xml:space="preserve">Pre-Funded Warrants </w:t>
      </w:r>
    </w:p>
    <w:p>
      <w:pPr>
        <w:pStyle w:val="TextBody"/>
        <w:bidi w:val="0"/>
        <w:spacing w:before="40" w:after="0"/>
        <w:jc w:val="left"/>
        <w:rPr>
          <w:rFonts w:ascii="Arial" w:hAnsi="Arial"/>
          <w:sz w:val="19"/>
        </w:rPr>
      </w:pPr>
      <w:r>
        <w:rPr>
          <w:rFonts w:ascii="Arial" w:hAnsi="Arial"/>
          <w:sz w:val="19"/>
        </w:rPr>
        <w:t xml:space="preserve">The exercise of a pre-funded warrant does in our view not give rise to Dutch dividend withholding tax (or Dutch conditional dividend withholding tax as described below), except to the extent (i) the aggregate purchase price for the pre-funded warrant (consisting of the pre-funded purchase price and the exercise price of the pre-funded warrant) is below the nominal value of an ordinary share (currently, the nominal value per ordinary share is </w:t>
      </w:r>
      <w:r>
        <w:rPr>
          <w:rFonts w:ascii="Times New Roman" w:hAnsi="Times New Roman"/>
          <w:sz w:val="19"/>
        </w:rPr>
        <w:t></w:t>
      </w:r>
      <w:r>
        <w:rPr>
          <w:rFonts w:ascii="Arial" w:hAnsi="Arial"/>
          <w:sz w:val="19"/>
        </w:rPr>
        <w:t xml:space="preserve">0.01, the pre-funded purchase price of the pre-funded warrant is equal to the public offering price per ordinary share in this offering minus the exercise price of the pre-funded warrant and the exercise price of the pre-funded warrant is $0.001) and (ii) the difference between the aggregate purchase price for the pre-funded warrant and the nominal value of an ordinary share, if any, is not charged against our share premium reserve recognized for Dutch (conditional) dividend withholding tax purposes. If any Dutch (conditional) dividend withholding tax due is not effectively withheld for the account of the relevant holder of a pre-funded warrant, Dutch (conditional) dividend withholding tax shall be due by us on a grossed-up basis. In addition, it cannot be excluded that payments made in consideration for a repurchase or redemption of a pre-funded warrant or a full or partial cash settlement of the pre-funded warrant, if any, are in part subject to Dutch (conditional) dividend withholding tax. To date, no authoritative case law of the Dutch courts has been made publicly available in this respect. Exceptions and relief from Dutch (conditional) dividend withholding tax may apply as set forth in the preceding paragraphs.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Conditional Withholding Tax on Dividends </w:t>
      </w:r>
    </w:p>
    <w:p>
      <w:pPr>
        <w:pStyle w:val="TextBody"/>
        <w:bidi w:val="0"/>
        <w:spacing w:before="40" w:after="0"/>
        <w:jc w:val="left"/>
        <w:rPr>
          <w:rFonts w:ascii="Arial" w:hAnsi="Arial"/>
          <w:sz w:val="19"/>
        </w:rPr>
      </w:pPr>
      <w:r>
        <w:rPr>
          <w:rFonts w:ascii="Arial" w:hAnsi="Arial"/>
          <w:sz w:val="19"/>
        </w:rPr>
        <w:t xml:space="preserve">In addition to the regular Dutch dividend withholding tax as described above, a Dutch conditional withholding tax will be imposed on dividends distributed by us to a Related Entity (as defined below), if such Related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is considered to be resident (</w:t>
            </w:r>
            <w:r>
              <w:rPr>
                <w:rFonts w:ascii="Arial" w:hAnsi="Arial"/>
                <w:i/>
                <w:sz w:val="19"/>
              </w:rPr>
              <w:t>gevestigd</w:t>
            </w:r>
            <w:r>
              <w:rPr>
                <w:rFonts w:ascii="Arial" w:hAnsi="Arial"/>
                <w:sz w:val="19"/>
              </w:rPr>
              <w:t>) in a jurisdiction that is listed in the yearly updated Dutch Regulation on low-taxing states and non-cooperative jurisdictions for tax purposes (</w:t>
            </w:r>
            <w:r>
              <w:rPr>
                <w:rFonts w:ascii="Arial" w:hAnsi="Arial"/>
                <w:i/>
                <w:sz w:val="19"/>
              </w:rPr>
              <w:t>Regeling laagbelastende staten en niet-coöperatieve rechtsgebieden voor belastingdoeleinden</w:t>
            </w:r>
            <w:r>
              <w:rPr>
                <w:rFonts w:ascii="Arial" w:hAnsi="Arial"/>
                <w:sz w:val="19"/>
              </w:rPr>
              <w:t xml:space="preserve">) (a “Listed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has a permanent establishment located in a Listed Jurisdiction to which the ordinary shares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holds the ordinary shares with the main purpose or one of the main purposes of avoiding taxation for another person or entity and there is an artificial arrangement or transaction or a series of artificial arrangements or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is not considered to be the beneficial owner of the ordinary shares in its jurisdiction of residence because such jurisdiction treats another entity as the beneficial owner of the ordinary shares (a hybrid mismatch);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is not resident in any jurisdiction (also a hybrid mismatch);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is a reverse hybrid (within the meaning of Article 2(11) of the Dutch Corporate Income Tax Act 1969),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w:t>
            </w:r>
          </w:p>
        </w:tc>
      </w:tr>
    </w:tbl>
    <w:p>
      <w:pPr>
        <w:pStyle w:val="TextBody"/>
        <w:bidi w:val="0"/>
        <w:spacing w:before="180" w:after="0"/>
        <w:jc w:val="left"/>
        <w:rPr>
          <w:rFonts w:ascii="Arial" w:hAnsi="Arial"/>
          <w:sz w:val="19"/>
        </w:rPr>
      </w:pPr>
      <w:r>
        <w:rPr>
          <w:rFonts w:ascii="Arial" w:hAnsi="Arial"/>
          <w:sz w:val="19"/>
        </w:rPr>
        <w:t>all within the meaning of the Dutch Withholding Tax Act 2021 (</w:t>
      </w:r>
      <w:r>
        <w:rPr>
          <w:rFonts w:ascii="Arial" w:hAnsi="Arial"/>
          <w:i/>
          <w:sz w:val="19"/>
        </w:rPr>
        <w:t xml:space="preserve">Wet bronbelasting </w:t>
      </w:r>
      <w:r>
        <w:rPr>
          <w:rFonts w:ascii="Arial" w:hAnsi="Arial"/>
          <w:sz w:val="19"/>
        </w:rPr>
        <w:t xml:space="preserve">2021). </w:t>
      </w:r>
    </w:p>
    <w:p>
      <w:pPr>
        <w:pStyle w:val="TextBody"/>
        <w:bidi w:val="0"/>
        <w:spacing w:before="180" w:after="0"/>
        <w:jc w:val="left"/>
        <w:rPr>
          <w:rFonts w:ascii="Arial" w:hAnsi="Arial"/>
          <w:sz w:val="19"/>
        </w:rPr>
      </w:pPr>
      <w:r>
        <w:rPr>
          <w:rFonts w:ascii="Arial" w:hAnsi="Arial"/>
          <w:sz w:val="19"/>
        </w:rPr>
        <w:t xml:space="preserve">For purposes of this section: </w:t>
      </w:r>
    </w:p>
    <w:p>
      <w:pPr>
        <w:pStyle w:val="TextBody"/>
        <w:bidi w:val="0"/>
        <w:spacing w:before="180" w:after="0"/>
        <w:jc w:val="left"/>
        <w:rPr/>
      </w:pPr>
      <w:r>
        <w:rPr/>
        <w:t>“</w:t>
      </w:r>
      <w:r>
        <w:rPr>
          <w:rFonts w:ascii="Arial" w:hAnsi="Arial"/>
          <w:sz w:val="19"/>
        </w:rPr>
        <w:t xml:space="preserve">Related Entity” means an entity (i) that has a Qualifying Interest in us or (ii) in which a third party has a Qualifying Interest if such third party also has a Qualifying Interest in us. </w:t>
      </w:r>
    </w:p>
    <w:p>
      <w:pPr>
        <w:pStyle w:val="TextBody"/>
        <w:bidi w:val="0"/>
        <w:spacing w:before="180" w:after="0"/>
        <w:jc w:val="left"/>
        <w:rPr/>
      </w:pPr>
      <w:r>
        <w:rPr/>
        <w:t>“</w:t>
      </w:r>
      <w:r>
        <w:rPr>
          <w:rFonts w:ascii="Arial" w:hAnsi="Arial"/>
          <w:sz w:val="19"/>
        </w:rPr>
        <w:t>Qualifying Interest” means a direct or indirectly held interest – either by an entity individually or, if an entity is part of a Qualifying Unity, jointly – 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Arial" w:hAnsi="Arial"/>
          <w:i/>
          <w:sz w:val="19"/>
        </w:rPr>
        <w:t>vrijheid van vestiging</w:t>
      </w:r>
      <w:r>
        <w:rPr>
          <w:rFonts w:ascii="Arial" w:hAnsi="Arial"/>
          <w:sz w:val="19"/>
        </w:rPr>
        <w:t xml:space="preserve">)). </w:t>
      </w:r>
    </w:p>
    <w:p>
      <w:pPr>
        <w:pStyle w:val="TextBody"/>
        <w:bidi w:val="0"/>
        <w:spacing w:before="180" w:after="0"/>
        <w:jc w:val="left"/>
        <w:rPr/>
      </w:pPr>
      <w:r>
        <w:rPr/>
        <w:t>“</w:t>
      </w:r>
      <w:r>
        <w:rPr>
          <w:rFonts w:ascii="Arial" w:hAnsi="Arial"/>
          <w:sz w:val="19"/>
        </w:rPr>
        <w:t>Qualifying Unity” means entities acting together with the main purpose or one of the main purposes of avoiding Dutch conditional withholding tax at the level of any of those entities (</w:t>
      </w:r>
      <w:r>
        <w:rPr>
          <w:rFonts w:ascii="Arial" w:hAnsi="Arial"/>
          <w:i/>
          <w:sz w:val="19"/>
        </w:rPr>
        <w:t>kwalificerende eenheid</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The Dutch conditional withholding tax on dividends will be imposed at the highest Dutch corporate income tax rate in effect at the time of the distribution (2026: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(2026: 25.8%). </w:t>
      </w:r>
    </w:p>
    <w:p>
      <w:pPr>
        <w:pStyle w:val="TextBody"/>
        <w:bidi w:val="0"/>
        <w:spacing w:before="80" w:after="0"/>
        <w:jc w:val="left"/>
        <w:rPr>
          <w:rFonts w:ascii="Arial" w:hAnsi="Arial"/>
          <w:b/>
          <w:i/>
          <w:sz w:val="19"/>
        </w:rPr>
      </w:pPr>
      <w:r>
        <w:rPr>
          <w:rFonts w:ascii="Arial" w:hAnsi="Arial"/>
          <w:b/>
          <w:i/>
          <w:sz w:val="19"/>
        </w:rPr>
        <w:t xml:space="preserve">Taxes on Income and Capital Gains </w:t>
      </w:r>
    </w:p>
    <w:p>
      <w:pPr>
        <w:pStyle w:val="TextBody"/>
        <w:bidi w:val="0"/>
        <w:spacing w:before="40" w:after="0"/>
        <w:jc w:val="left"/>
        <w:rPr>
          <w:rFonts w:ascii="Arial" w:hAnsi="Arial"/>
          <w:i/>
          <w:sz w:val="19"/>
        </w:rPr>
      </w:pPr>
      <w:r>
        <w:rPr>
          <w:rFonts w:ascii="Arial" w:hAnsi="Arial"/>
          <w:i/>
          <w:sz w:val="19"/>
        </w:rPr>
        <w:t xml:space="preserve">Dutch Resident Entities </w:t>
      </w:r>
    </w:p>
    <w:p>
      <w:pPr>
        <w:pStyle w:val="TextBody"/>
        <w:bidi w:val="0"/>
        <w:spacing w:before="40" w:after="0"/>
        <w:jc w:val="left"/>
        <w:rPr>
          <w:rFonts w:ascii="Arial" w:hAnsi="Arial"/>
          <w:sz w:val="19"/>
        </w:rPr>
      </w:pPr>
      <w:r>
        <w:rPr>
          <w:rFonts w:ascii="Arial" w:hAnsi="Arial"/>
          <w:sz w:val="19"/>
        </w:rPr>
        <w:t xml:space="preserve">Generally, if the holder of ordinary shares or pre-funded warrants is a Dutch Resident Entity, any income derived or deemed to be derived from the ordinary shares or pre-funded warrants or any capital gains realized on the disposal or deemed disposal of the ordinary shares or pre-funded warrants is subject to Dutch corporate income tax at a rate of 19% with respect to taxable profits up to </w:t>
      </w:r>
      <w:r>
        <w:rPr>
          <w:rFonts w:ascii="Times New Roman" w:hAnsi="Times New Roman"/>
          <w:sz w:val="19"/>
        </w:rPr>
        <w:t></w:t>
      </w:r>
      <w:r>
        <w:rPr>
          <w:rFonts w:ascii="Arial" w:hAnsi="Arial"/>
          <w:sz w:val="19"/>
        </w:rPr>
        <w:t xml:space="preserve">200,000 and 25.8% with respect to taxable profits in excess of that amount (rates and brackets for 2026). </w:t>
      </w:r>
    </w:p>
    <w:p>
      <w:pPr>
        <w:pStyle w:val="TextBody"/>
        <w:bidi w:val="0"/>
        <w:spacing w:before="80" w:after="0"/>
        <w:jc w:val="left"/>
        <w:rPr>
          <w:rFonts w:ascii="Arial" w:hAnsi="Arial"/>
          <w:i/>
          <w:sz w:val="19"/>
        </w:rPr>
      </w:pPr>
      <w:r>
        <w:rPr>
          <w:rFonts w:ascii="Arial" w:hAnsi="Arial"/>
          <w:i/>
          <w:sz w:val="19"/>
        </w:rPr>
        <w:t xml:space="preserve">Dutch Resident Individuals </w:t>
      </w:r>
    </w:p>
    <w:p>
      <w:pPr>
        <w:pStyle w:val="TextBody"/>
        <w:bidi w:val="0"/>
        <w:spacing w:before="40" w:after="0"/>
        <w:jc w:val="left"/>
        <w:rPr>
          <w:rFonts w:ascii="Arial" w:hAnsi="Arial"/>
          <w:sz w:val="19"/>
        </w:rPr>
      </w:pPr>
      <w:r>
        <w:rPr>
          <w:rFonts w:ascii="Arial" w:hAnsi="Arial"/>
          <w:sz w:val="19"/>
        </w:rPr>
        <w:t xml:space="preserve">If the holder of ordinary shares or pre-funded warrants is a Dutch Resident Individual, any income derived or deemed to be derived from the ordinary shares or pre-funded warrants or any capital gains realized on the disposal or deemed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disposal of the ordinary shares or pre-funded warrants is subject to Dutch personal income tax at the progressive rates (with a maximum of 49.5% in 2026),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the ordinary shares or pre-funded warrants are attributable to an enterprise from which the holder of ordinary shares or pre-funded warrants derives a share of the profit, whether as an entrepreneur (</w:t>
            </w:r>
            <w:r>
              <w:rPr>
                <w:rFonts w:ascii="Arial" w:hAnsi="Arial"/>
                <w:i/>
                <w:sz w:val="19"/>
              </w:rPr>
              <w:t>ondernemer</w:t>
            </w:r>
            <w:r>
              <w:rPr>
                <w:rFonts w:ascii="Arial" w:hAnsi="Arial"/>
                <w:sz w:val="19"/>
              </w:rPr>
              <w:t>) or as a person who has a co-entitlement to the net worth (</w:t>
            </w:r>
            <w:r>
              <w:rPr>
                <w:rFonts w:ascii="Arial" w:hAnsi="Arial"/>
                <w:i/>
                <w:sz w:val="19"/>
              </w:rPr>
              <w:t>medegerechtigd tot het vermogen</w:t>
            </w:r>
            <w:r>
              <w:rPr>
                <w:rFonts w:ascii="Arial" w:hAnsi="Arial"/>
                <w:sz w:val="19"/>
              </w:rPr>
              <w:t xml:space="preserve">) of such enterprise without being a shareholder (as defined in the Dutch Income Tax Act 2001);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the holder of ordinary shares or pre-funded warrants is considered to perform activities with respect to the ordinary shares or pre-funded warrants that go beyond ordinary asset management (</w:t>
            </w:r>
            <w:r>
              <w:rPr>
                <w:rFonts w:ascii="Arial" w:hAnsi="Arial"/>
                <w:i/>
                <w:sz w:val="19"/>
              </w:rPr>
              <w:t>normaal, actief vermogensbeheer</w:t>
            </w:r>
            <w:r>
              <w:rPr>
                <w:rFonts w:ascii="Arial" w:hAnsi="Arial"/>
                <w:sz w:val="19"/>
              </w:rPr>
              <w:t>) or otherwise derives benefits from the ordinary shares or pre-funded warrants that are taxable as benefits from miscellaneous activities (</w:t>
            </w:r>
            <w:r>
              <w:rPr>
                <w:rFonts w:ascii="Arial" w:hAnsi="Arial"/>
                <w:i/>
                <w:sz w:val="19"/>
              </w:rPr>
              <w:t>resultaat uit overige werkzaamheden</w:t>
            </w:r>
            <w:r>
              <w:rPr>
                <w:rFonts w:ascii="Arial" w:hAnsi="Arial"/>
                <w:sz w:val="19"/>
              </w:rPr>
              <w:t xml:space="preserve">). </w:t>
            </w:r>
          </w:p>
        </w:tc>
      </w:tr>
    </w:tbl>
    <w:p>
      <w:pPr>
        <w:pStyle w:val="TextBody"/>
        <w:bidi w:val="0"/>
        <w:spacing w:before="80" w:after="0"/>
        <w:jc w:val="left"/>
        <w:rPr>
          <w:rFonts w:ascii="Arial" w:hAnsi="Arial"/>
          <w:i/>
          <w:sz w:val="19"/>
        </w:rPr>
      </w:pPr>
      <w:r>
        <w:rPr>
          <w:rFonts w:ascii="Arial" w:hAnsi="Arial"/>
          <w:i/>
          <w:sz w:val="19"/>
        </w:rPr>
        <w:t xml:space="preserve">Taxation of Savings and Investments </w:t>
      </w:r>
    </w:p>
    <w:p>
      <w:pPr>
        <w:pStyle w:val="TextBody"/>
        <w:bidi w:val="0"/>
        <w:spacing w:before="40" w:after="0"/>
        <w:jc w:val="left"/>
        <w:rPr>
          <w:rFonts w:ascii="Arial" w:hAnsi="Arial"/>
          <w:sz w:val="19"/>
        </w:rPr>
      </w:pPr>
      <w:r>
        <w:rPr>
          <w:rFonts w:ascii="Arial" w:hAnsi="Arial"/>
          <w:sz w:val="19"/>
        </w:rPr>
        <w:t>If the above-mentioned conditions do not apply to the Dutch Resident Individual, the ordinary shares or pre-funded warrants will be subject to an annual Dutch income tax under the regime for savings and investments (</w:t>
      </w:r>
      <w:r>
        <w:rPr>
          <w:rFonts w:ascii="Arial" w:hAnsi="Arial"/>
          <w:i/>
          <w:sz w:val="19"/>
        </w:rPr>
        <w:t>inkomen uit sparen en beleggen</w:t>
      </w:r>
      <w:r>
        <w:rPr>
          <w:rFonts w:ascii="Arial" w:hAnsi="Arial"/>
          <w:sz w:val="19"/>
        </w:rPr>
        <w:t>). Taxation only occurs insofar the Dutch Resident Individual’s net investment assets for the year exceed a statutory threshold (</w:t>
      </w:r>
      <w:r>
        <w:rPr>
          <w:rFonts w:ascii="Arial" w:hAnsi="Arial"/>
          <w:i/>
          <w:sz w:val="19"/>
        </w:rPr>
        <w:t>heffingvrij vermogen</w:t>
      </w:r>
      <w:r>
        <w:rPr>
          <w:rFonts w:ascii="Arial" w:hAnsi="Arial"/>
          <w:sz w:val="19"/>
        </w:rPr>
        <w:t xml:space="preserve">). The net investment assets for the year are the fair market value of the investment assets less the fair market value of the liabilities on January 1 of the relevant calendar year (reference date; </w:t>
      </w:r>
      <w:r>
        <w:rPr>
          <w:rFonts w:ascii="Arial" w:hAnsi="Arial"/>
          <w:i/>
          <w:sz w:val="19"/>
        </w:rPr>
        <w:t>peildatum</w:t>
      </w:r>
      <w:r>
        <w:rPr>
          <w:rFonts w:ascii="Arial" w:hAnsi="Arial"/>
          <w:sz w:val="19"/>
        </w:rPr>
        <w:t xml:space="preserve">). Actual income or capital gains realized in respect of the ordinary shares or pre-funded warrants are in principle not subject to Dutch income tax. </w:t>
      </w:r>
    </w:p>
    <w:p>
      <w:pPr>
        <w:pStyle w:val="TextBody"/>
        <w:bidi w:val="0"/>
        <w:spacing w:before="180" w:after="0"/>
        <w:jc w:val="left"/>
        <w:rPr>
          <w:rFonts w:ascii="Arial" w:hAnsi="Arial"/>
          <w:sz w:val="19"/>
        </w:rPr>
      </w:pPr>
      <w:r>
        <w:rPr>
          <w:rFonts w:ascii="Arial" w:hAnsi="Arial"/>
          <w:sz w:val="19"/>
        </w:rPr>
        <w:t>The Dutch Resident Individual’s assets and liabilities taxed under this regime, including the ordinary shares and pre-funded warrants, are allocated over the following three categories: (a) bank savings (</w:t>
      </w:r>
      <w:r>
        <w:rPr>
          <w:rFonts w:ascii="Arial" w:hAnsi="Arial"/>
          <w:i/>
          <w:sz w:val="19"/>
        </w:rPr>
        <w:t>banktegoeden</w:t>
      </w:r>
      <w:r>
        <w:rPr>
          <w:rFonts w:ascii="Arial" w:hAnsi="Arial"/>
          <w:sz w:val="19"/>
        </w:rPr>
        <w:t>), (b) other investments (</w:t>
      </w:r>
      <w:r>
        <w:rPr>
          <w:rFonts w:ascii="Arial" w:hAnsi="Arial"/>
          <w:i/>
          <w:sz w:val="19"/>
        </w:rPr>
        <w:t>overige bezittingen</w:t>
      </w:r>
      <w:r>
        <w:rPr>
          <w:rFonts w:ascii="Arial" w:hAnsi="Arial"/>
          <w:sz w:val="19"/>
        </w:rPr>
        <w:t>), including the ordinary shares and pre-funded warrants, and (c) liabilities (</w:t>
      </w:r>
      <w:r>
        <w:rPr>
          <w:rFonts w:ascii="Arial" w:hAnsi="Arial"/>
          <w:i/>
          <w:sz w:val="19"/>
        </w:rPr>
        <w:t>schulden</w:t>
      </w:r>
      <w:r>
        <w:rPr>
          <w:rFonts w:ascii="Arial" w:hAnsi="Arial"/>
          <w:sz w:val="19"/>
        </w:rPr>
        <w:t>). The taxable benefit for the year (</w:t>
      </w:r>
      <w:r>
        <w:rPr>
          <w:rFonts w:ascii="Arial" w:hAnsi="Arial"/>
          <w:i/>
          <w:sz w:val="19"/>
        </w:rPr>
        <w:t>voordeel uit sparen en beleggen</w:t>
      </w:r>
      <w:r>
        <w:rPr>
          <w:rFonts w:ascii="Arial" w:hAnsi="Arial"/>
          <w:sz w:val="19"/>
        </w:rPr>
        <w:t xml:space="preserve">) is equal to the product of (i) the total deemed return divided by the sum of bank savings, other investments and liabilities and (ii) the sum of bank savings, other investments and liabilities minus the statutory threshold, and is taxed at a flat rate of 36% (rate for 2026). </w:t>
      </w:r>
    </w:p>
    <w:p>
      <w:pPr>
        <w:pStyle w:val="TextBody"/>
        <w:bidi w:val="0"/>
        <w:spacing w:before="180" w:after="0"/>
        <w:jc w:val="left"/>
        <w:rPr>
          <w:rFonts w:ascii="Arial" w:hAnsi="Arial"/>
          <w:sz w:val="19"/>
        </w:rPr>
      </w:pPr>
      <w:r>
        <w:rPr>
          <w:rFonts w:ascii="Arial" w:hAnsi="Arial"/>
          <w:sz w:val="19"/>
        </w:rPr>
        <w:t xml:space="preserve">The deemed return applicable to other investments, including the ordinary shares or pre-funded warrants, is set at 6.00% for the calendar year 2026.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or pre-funded warrants cannot sufficiently demonstrate that such transactions are implemented for other than tax reasons. </w:t>
      </w:r>
    </w:p>
    <w:p>
      <w:pPr>
        <w:pStyle w:val="TextBody"/>
        <w:bidi w:val="0"/>
        <w:spacing w:before="180" w:after="0"/>
        <w:jc w:val="left"/>
        <w:rPr>
          <w:rFonts w:ascii="Arial" w:hAnsi="Arial"/>
          <w:sz w:val="19"/>
        </w:rPr>
      </w:pPr>
      <w:r>
        <w:rPr>
          <w:rFonts w:ascii="Arial" w:hAnsi="Arial"/>
          <w:sz w:val="19"/>
        </w:rPr>
        <w:t>On June 6 and 14, 2024, the Dutch Supreme Court (</w:t>
      </w:r>
      <w:r>
        <w:rPr>
          <w:rFonts w:ascii="Arial" w:hAnsi="Arial"/>
          <w:i/>
          <w:sz w:val="19"/>
        </w:rPr>
        <w:t>Hoge Raad</w:t>
      </w:r>
      <w:r>
        <w:rPr>
          <w:rFonts w:ascii="Arial" w:hAnsi="Arial"/>
          <w:sz w:val="19"/>
        </w:rPr>
        <w:t>) ruled that the current Dutch income tax regime for savings and investments as described above (the “Box 3 Regime”) in certain specific circumstances contravenes with Section 1 of the First Protocol to the European Convention on Human Rights in combination with Section 14 of the European Convention on Human Rights (the “Rulings”). In the Rulings, the Dutch Supreme Court introduced a rebuttal provision (</w:t>
      </w:r>
      <w:r>
        <w:rPr>
          <w:rFonts w:ascii="Arial" w:hAnsi="Arial"/>
          <w:i/>
          <w:sz w:val="19"/>
        </w:rPr>
        <w:t>tegenbewijsregeling</w:t>
      </w:r>
      <w:r>
        <w:rPr>
          <w:rFonts w:ascii="Arial" w:hAnsi="Arial"/>
          <w:sz w:val="19"/>
        </w:rPr>
        <w:t>) pursuant to which taxpayers have the possibility to demonstrate that the actual return realized by the taxpayer in respect of their investment assets (as calculated in line with the rules as set out in the Rulings), is less than the deemed return realized by the taxpayer in respect of those assets (as calculated in accordance with the rules of the Box 3 Regime). The rebuttal provision introduced by the Dutch Supreme Court as well as the rules set out in the Rulings have been implemented in Dutch tax law pursuant to the Dutch Box 3 Rebuttal Scheme Act (</w:t>
      </w:r>
      <w:r>
        <w:rPr>
          <w:rFonts w:ascii="Arial" w:hAnsi="Arial"/>
          <w:i/>
          <w:sz w:val="19"/>
        </w:rPr>
        <w:t>Wet tegenbewijsregeling box 3</w:t>
      </w:r>
      <w:r>
        <w:rPr>
          <w:rFonts w:ascii="Arial" w:hAnsi="Arial"/>
          <w:sz w:val="19"/>
        </w:rPr>
        <w:t xml:space="preserve">). If the taxpayer successfully demonstrates that the actual return is less than the deemed return, the taxpayer will be taxed on the actual return instead of the deemed return. The Dutch Box 3 Rebuttal Scheme Act offers a temporary solution until a new Box 3 regime is introduced, which is expected as of January 1, 2028 at the earliest. </w:t>
      </w:r>
    </w:p>
    <w:p>
      <w:pPr>
        <w:pStyle w:val="TextBody"/>
        <w:bidi w:val="0"/>
        <w:spacing w:before="180" w:after="0"/>
        <w:jc w:val="left"/>
        <w:rPr>
          <w:rFonts w:ascii="Arial" w:hAnsi="Arial"/>
          <w:sz w:val="19"/>
        </w:rPr>
      </w:pPr>
      <w:r>
        <w:rPr>
          <w:rFonts w:ascii="Arial" w:hAnsi="Arial"/>
          <w:sz w:val="19"/>
        </w:rPr>
        <w:t xml:space="preserve">Holders of ordinary shares or pre-funded warrants are advised to consult their own tax advisor to ensure that the tax in respect of the ordinary shares or pre-funded warrants is levied in accordance with the applicable Dutch tax rules at the relevant time. </w:t>
      </w:r>
    </w:p>
    <w:p>
      <w:pPr>
        <w:pStyle w:val="TextBody"/>
        <w:bidi w:val="0"/>
        <w:spacing w:before="80" w:after="0"/>
        <w:jc w:val="left"/>
        <w:rPr>
          <w:rFonts w:ascii="Arial" w:hAnsi="Arial"/>
          <w:i/>
          <w:sz w:val="19"/>
        </w:rPr>
      </w:pPr>
      <w:r>
        <w:rPr>
          <w:rFonts w:ascii="Arial" w:hAnsi="Arial"/>
          <w:i/>
          <w:sz w:val="19"/>
        </w:rPr>
        <w:t xml:space="preserve">Non-Residents of the Netherlands </w:t>
      </w:r>
    </w:p>
    <w:p>
      <w:pPr>
        <w:pStyle w:val="TextBody"/>
        <w:bidi w:val="0"/>
        <w:spacing w:before="40" w:after="0"/>
        <w:jc w:val="left"/>
        <w:rPr>
          <w:rFonts w:ascii="Arial" w:hAnsi="Arial"/>
          <w:sz w:val="19"/>
        </w:rPr>
      </w:pPr>
      <w:r>
        <w:rPr>
          <w:rFonts w:ascii="Arial" w:hAnsi="Arial"/>
          <w:sz w:val="19"/>
        </w:rPr>
        <w:t xml:space="preserve">A holder of ordinary shares or pre-funded warrants that is neither a Dutch Resident Entity nor a Dutch Resident Individual will not be subject to Dutch income tax in respect of income derived or deemed to be derived from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ordinary shares or pre-funded warrants or in respect of capital gains realized on the disposal or deemed disposal of the ordinary shares or pre-funded warrants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such holder does not have an interest in an enterprise or deemed enterprise (as defined in the Dutch Income Tax Act 2001 and the Dutch Corporate Income Tax Act 1969, as applicable) which, in whole or in part, is either effectively managed in the Netherlands or carried on through a permanent establishment, a deemed permanent establishment or a permanent representative in the Netherlands and to which enterprise or part of an enterprise the ordinary shares or pre-funded warrants are attributable;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 the event the holder is an individual, such holder does not carry out any activities in the Netherlands with respect to the ordinary shares or pre-funded warrants that go beyond ordinary asset management and does not otherwise derive benefits from the ordinary shares or pre-funded warrants that are taxable as benefits from miscellaneous activities in the Netherlands. </w:t>
            </w:r>
          </w:p>
        </w:tc>
      </w:tr>
    </w:tbl>
    <w:p>
      <w:pPr>
        <w:pStyle w:val="TextBody"/>
        <w:bidi w:val="0"/>
        <w:spacing w:before="80" w:after="0"/>
        <w:jc w:val="left"/>
        <w:rPr>
          <w:rFonts w:ascii="Arial" w:hAnsi="Arial"/>
          <w:b/>
          <w:i/>
          <w:sz w:val="19"/>
        </w:rPr>
      </w:pPr>
      <w:r>
        <w:rPr>
          <w:rFonts w:ascii="Arial" w:hAnsi="Arial"/>
          <w:b/>
          <w:i/>
          <w:sz w:val="19"/>
        </w:rPr>
        <w:t xml:space="preserve">Gift and Inheritance Taxes </w:t>
      </w:r>
    </w:p>
    <w:p>
      <w:pPr>
        <w:pStyle w:val="TextBody"/>
        <w:bidi w:val="0"/>
        <w:spacing w:before="40" w:after="0"/>
        <w:jc w:val="left"/>
        <w:rPr>
          <w:rFonts w:ascii="Arial" w:hAnsi="Arial"/>
          <w:i/>
          <w:sz w:val="19"/>
        </w:rPr>
      </w:pPr>
      <w:r>
        <w:rPr>
          <w:rFonts w:ascii="Arial" w:hAnsi="Arial"/>
          <w:i/>
          <w:sz w:val="19"/>
        </w:rPr>
        <w:t xml:space="preserve">Residents of the Netherlands </w:t>
      </w:r>
    </w:p>
    <w:p>
      <w:pPr>
        <w:pStyle w:val="TextBody"/>
        <w:bidi w:val="0"/>
        <w:spacing w:before="40" w:after="0"/>
        <w:jc w:val="left"/>
        <w:rPr>
          <w:rFonts w:ascii="Arial" w:hAnsi="Arial"/>
          <w:sz w:val="19"/>
        </w:rPr>
      </w:pPr>
      <w:r>
        <w:rPr>
          <w:rFonts w:ascii="Arial" w:hAnsi="Arial"/>
          <w:sz w:val="19"/>
        </w:rPr>
        <w:t xml:space="preserve">Gift or inheritance taxes will arise in the Netherlands with respect to a transfer of ordinary shares or pre-funded warrants by way of a gift by, or on the death of, a holder of such ordinary shares or pre-funded warrants who is resident or deemed resident of the Netherlands at the time of the gift or such holder’s death. </w:t>
      </w:r>
    </w:p>
    <w:p>
      <w:pPr>
        <w:pStyle w:val="TextBody"/>
        <w:bidi w:val="0"/>
        <w:spacing w:before="80" w:after="0"/>
        <w:jc w:val="left"/>
        <w:rPr>
          <w:rFonts w:ascii="Arial" w:hAnsi="Arial"/>
          <w:i/>
          <w:sz w:val="19"/>
        </w:rPr>
      </w:pPr>
      <w:r>
        <w:rPr>
          <w:rFonts w:ascii="Arial" w:hAnsi="Arial"/>
          <w:i/>
          <w:sz w:val="19"/>
        </w:rPr>
        <w:t xml:space="preserve">Non-Residents of the Netherlands </w:t>
      </w:r>
    </w:p>
    <w:p>
      <w:pPr>
        <w:pStyle w:val="TextBody"/>
        <w:bidi w:val="0"/>
        <w:spacing w:before="40" w:after="0"/>
        <w:jc w:val="left"/>
        <w:rPr>
          <w:rFonts w:ascii="Arial" w:hAnsi="Arial"/>
          <w:sz w:val="19"/>
        </w:rPr>
      </w:pPr>
      <w:r>
        <w:rPr>
          <w:rFonts w:ascii="Arial" w:hAnsi="Arial"/>
          <w:sz w:val="19"/>
        </w:rPr>
        <w:t xml:space="preserve">No gift or inheritance taxes will arise in the Netherlands with respect to a transfer of ordinary shares or pre-funded warrants by way of a gift by, or on the death of, a holder of such ordinary shares or pre-funded warrants who is neither resident nor deemed to be resident of the Netherlands,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 the case of a gift of ordinary shares or pre-funded warrants by an individual who at the date of the gift was neither resident nor deemed to be resident of the Netherlands, such individual dies within 180 days after the date of the gift, while being resident or deemed to be resident of the Netherlands;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 the case of a gift of ordinary shares or pre-funded warrants made under a condition precedent, the holder of such ordinary shares or pre-funded warrants is resident or is deemed to be resident of the Netherlands at the time the condition is fulfilled;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transfer is otherwise construed as a gift or inheritance made by, or on behalf of, a person who, at the time of the gift or death, is or is deemed to be resident of the Netherlands. </w:t>
            </w:r>
          </w:p>
        </w:tc>
      </w:tr>
    </w:tbl>
    <w:p>
      <w:pPr>
        <w:pStyle w:val="TextBody"/>
        <w:bidi w:val="0"/>
        <w:spacing w:before="180" w:after="0"/>
        <w:jc w:val="left"/>
        <w:rPr>
          <w:rFonts w:ascii="Arial" w:hAnsi="Arial"/>
          <w:sz w:val="19"/>
        </w:rPr>
      </w:pPr>
      <w:r>
        <w:rPr>
          <w:rFonts w:ascii="Arial" w:hAnsi="Arial"/>
          <w:sz w:val="19"/>
        </w:rPr>
        <w:t xml:space="preserve">For purposes of Dutch gift and inheritance taxes, amongst others, a person that holds the Dutch nationality will be deemed to be resident of the Netherlands if such person has been a resident of the Netherlands at any time during the ten years preceding the date of the gift or such person’s death. Additionally, for purposes of Dutch gift tax, amongst others, a person not holding the Dutch nationality will be deemed to be resident of the Netherlands if such person has been a resident of the Netherlands at any time during the twelve months preceding the date of the gift. Applicable tax treaties may override deemed residency. </w:t>
      </w:r>
    </w:p>
    <w:p>
      <w:pPr>
        <w:pStyle w:val="TextBody"/>
        <w:bidi w:val="0"/>
        <w:spacing w:before="80" w:after="0"/>
        <w:jc w:val="left"/>
        <w:rPr>
          <w:rFonts w:ascii="Arial" w:hAnsi="Arial"/>
          <w:b/>
          <w:i/>
          <w:sz w:val="19"/>
        </w:rPr>
      </w:pPr>
      <w:r>
        <w:rPr>
          <w:rFonts w:ascii="Arial" w:hAnsi="Arial"/>
          <w:b/>
          <w:i/>
          <w:sz w:val="19"/>
        </w:rPr>
        <w:t xml:space="preserve">Value Added Tax (“VAT”) </w:t>
      </w:r>
    </w:p>
    <w:p>
      <w:pPr>
        <w:pStyle w:val="TextBody"/>
        <w:bidi w:val="0"/>
        <w:spacing w:before="40" w:after="0"/>
        <w:jc w:val="left"/>
        <w:rPr>
          <w:rFonts w:ascii="Arial" w:hAnsi="Arial"/>
          <w:sz w:val="19"/>
        </w:rPr>
      </w:pPr>
      <w:r>
        <w:rPr>
          <w:rFonts w:ascii="Arial" w:hAnsi="Arial"/>
          <w:sz w:val="19"/>
        </w:rPr>
        <w:t xml:space="preserve">No Dutch VAT will be payable by a holder of ordinary shares or pre-funded warrants in respect of any payment in consideration for the holding or disposal of the ordinary shares or pre-funded warrants. </w:t>
      </w:r>
    </w:p>
    <w:p>
      <w:pPr>
        <w:pStyle w:val="TextBody"/>
        <w:bidi w:val="0"/>
        <w:spacing w:before="80" w:after="0"/>
        <w:jc w:val="left"/>
        <w:rPr>
          <w:rFonts w:ascii="Arial" w:hAnsi="Arial"/>
          <w:b/>
          <w:i/>
          <w:sz w:val="19"/>
        </w:rPr>
      </w:pPr>
      <w:r>
        <w:rPr>
          <w:rFonts w:ascii="Arial" w:hAnsi="Arial"/>
          <w:b/>
          <w:i/>
          <w:sz w:val="19"/>
        </w:rPr>
        <w:t xml:space="preserve">Real Property Transfer Tax </w:t>
      </w:r>
    </w:p>
    <w:p>
      <w:pPr>
        <w:pStyle w:val="TextBody"/>
        <w:bidi w:val="0"/>
        <w:spacing w:before="40" w:after="0"/>
        <w:jc w:val="left"/>
        <w:rPr>
          <w:rFonts w:ascii="Arial" w:hAnsi="Arial"/>
          <w:sz w:val="19"/>
        </w:rPr>
      </w:pPr>
      <w:r>
        <w:rPr>
          <w:rFonts w:ascii="Arial" w:hAnsi="Arial"/>
          <w:sz w:val="19"/>
        </w:rPr>
        <w:t>Under circumstances, the ordinary shares could, for the purposes of Dutch real property transfer tax (</w:t>
      </w:r>
      <w:r>
        <w:rPr>
          <w:rFonts w:ascii="Arial" w:hAnsi="Arial"/>
          <w:i/>
          <w:sz w:val="19"/>
        </w:rPr>
        <w:t>overdrachtsbelasting</w:t>
      </w:r>
      <w:r>
        <w:rPr>
          <w:rFonts w:ascii="Arial" w:hAnsi="Arial"/>
          <w:sz w:val="19"/>
        </w:rPr>
        <w:t>), be treated as real property (</w:t>
      </w:r>
      <w:r>
        <w:rPr>
          <w:rFonts w:ascii="Arial" w:hAnsi="Arial"/>
          <w:i/>
          <w:sz w:val="19"/>
        </w:rPr>
        <w:t>fictieve onroerende zaken</w:t>
      </w:r>
      <w:r>
        <w:rPr>
          <w:rFonts w:ascii="Arial" w:hAnsi="Arial"/>
          <w:sz w:val="19"/>
        </w:rPr>
        <w:t xml:space="preserve">) located in the Netherlands, in which case this tax could be payable upon acquisition of the ordinary shares. </w:t>
      </w:r>
    </w:p>
    <w:p>
      <w:pPr>
        <w:pStyle w:val="TextBody"/>
        <w:bidi w:val="0"/>
        <w:spacing w:before="180" w:after="0"/>
        <w:jc w:val="left"/>
        <w:rPr>
          <w:rFonts w:ascii="Arial" w:hAnsi="Arial"/>
          <w:sz w:val="19"/>
        </w:rPr>
      </w:pPr>
      <w:r>
        <w:rPr>
          <w:rFonts w:ascii="Arial" w:hAnsi="Arial"/>
          <w:sz w:val="19"/>
        </w:rPr>
        <w:t>The ordinary shares will generally not be treated as real property (</w:t>
      </w:r>
      <w:r>
        <w:rPr>
          <w:rFonts w:ascii="Arial" w:hAnsi="Arial"/>
          <w:i/>
          <w:sz w:val="19"/>
        </w:rPr>
        <w:t>fictieve onroerende zaken</w:t>
      </w:r>
      <w:r>
        <w:rPr>
          <w:rFonts w:ascii="Arial" w:hAnsi="Arial"/>
          <w:sz w:val="19"/>
        </w:rPr>
        <w:t xml:space="preserve">) if at the time of, or at any time during the year preceding, the acquisition of the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assets do not and did not include real property situated in the Netherlands;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assets only include and included real property, situated either in or outside the Netherlands, that we do not and did not hold, and currently do not intend to hold, predominantly as a financial investment.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Real property as referred to under (i) and (ii) above includes legal ownership and more limited legal rights over the property (rights </w:t>
      </w:r>
      <w:r>
        <w:rPr>
          <w:rFonts w:ascii="Arial" w:hAnsi="Arial"/>
          <w:i/>
          <w:sz w:val="19"/>
        </w:rPr>
        <w:t>in rem</w:t>
      </w:r>
      <w:r>
        <w:rPr>
          <w:rFonts w:ascii="Arial" w:hAnsi="Arial"/>
          <w:sz w:val="19"/>
        </w:rPr>
        <w:t>) (</w:t>
      </w:r>
      <w:r>
        <w:rPr>
          <w:rFonts w:ascii="Arial" w:hAnsi="Arial"/>
          <w:i/>
          <w:sz w:val="19"/>
        </w:rPr>
        <w:t>zakelijke rechten</w:t>
      </w:r>
      <w:r>
        <w:rPr>
          <w:rFonts w:ascii="Arial" w:hAnsi="Arial"/>
          <w:sz w:val="19"/>
        </w:rPr>
        <w:t>) as well as contractual rights that give us economic exposure to the value of such real property, and certain participations or interests in entities that are treated as real property (</w:t>
      </w:r>
      <w:r>
        <w:rPr>
          <w:rFonts w:ascii="Arial" w:hAnsi="Arial"/>
          <w:i/>
          <w:sz w:val="19"/>
        </w:rPr>
        <w:t>fictieve onroerende zaken</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Our assets do not include and have not included real property situated in the Netherlands as described above. Consequently, no Dutch real property transfer tax becomes payable upon an acquisition of the ordinary shares. </w:t>
      </w:r>
    </w:p>
    <w:p>
      <w:pPr>
        <w:pStyle w:val="TextBody"/>
        <w:bidi w:val="0"/>
        <w:spacing w:before="80" w:after="0"/>
        <w:jc w:val="left"/>
        <w:rPr>
          <w:rFonts w:ascii="Arial" w:hAnsi="Arial"/>
          <w:b/>
          <w:i/>
          <w:sz w:val="19"/>
        </w:rPr>
      </w:pPr>
      <w:r>
        <w:rPr>
          <w:rFonts w:ascii="Arial" w:hAnsi="Arial"/>
          <w:b/>
          <w:i/>
          <w:sz w:val="19"/>
        </w:rPr>
        <w:t xml:space="preserve">Stamp Duties </w:t>
      </w:r>
    </w:p>
    <w:p>
      <w:pPr>
        <w:pStyle w:val="TextBody"/>
        <w:bidi w:val="0"/>
        <w:spacing w:before="40" w:after="0"/>
        <w:jc w:val="left"/>
        <w:rPr>
          <w:rFonts w:ascii="Arial" w:hAnsi="Arial"/>
          <w:sz w:val="19"/>
        </w:rPr>
      </w:pPr>
      <w:r>
        <w:rPr>
          <w:rFonts w:ascii="Arial" w:hAnsi="Arial"/>
          <w:sz w:val="19"/>
        </w:rPr>
        <w:t xml:space="preserve">No Dutch documentation taxes (commonly referred to as stamp duties) will be payable by a holder of ordinary shares or pre-funded warrants in respect of any payment in consideration for the holding or disposal or exercise, as applicable, of our ordinary shares or pre-funded warrants. </w:t>
      </w:r>
    </w:p>
    <w:p>
      <w:pPr>
        <w:pStyle w:val="TextBody"/>
        <w:bidi w:val="0"/>
        <w:spacing w:before="240" w:after="0"/>
        <w:jc w:val="left"/>
        <w:rPr>
          <w:rFonts w:ascii="Arial" w:hAnsi="Arial"/>
          <w:b/>
          <w:sz w:val="20"/>
        </w:rPr>
      </w:pPr>
      <w:r>
        <w:rPr>
          <w:rFonts w:ascii="Arial" w:hAnsi="Arial"/>
          <w:b/>
          <w:sz w:val="20"/>
        </w:rPr>
        <w:t xml:space="preserve">Material German Tax Considerations </w:t>
      </w:r>
    </w:p>
    <w:p>
      <w:pPr>
        <w:pStyle w:val="TextBody"/>
        <w:bidi w:val="0"/>
        <w:spacing w:before="80" w:after="0"/>
        <w:jc w:val="left"/>
        <w:rPr>
          <w:rFonts w:ascii="Arial" w:hAnsi="Arial"/>
          <w:sz w:val="19"/>
        </w:rPr>
      </w:pPr>
      <w:r>
        <w:rPr>
          <w:rFonts w:ascii="Arial" w:hAnsi="Arial"/>
          <w:sz w:val="19"/>
        </w:rPr>
        <w:t xml:space="preserve">The following section is a description of the material German tax considerations that become relevant when acquiring, owning and transferring Immatics’ ordinary shares. It is based on the German tax law applicable as of the date of this prospectus supplement without prejudice to any amendments introduced at a later date and implemented with or without retroactive effect. </w:t>
      </w:r>
    </w:p>
    <w:p>
      <w:pPr>
        <w:pStyle w:val="TextBody"/>
        <w:bidi w:val="0"/>
        <w:spacing w:before="180" w:after="0"/>
        <w:jc w:val="left"/>
        <w:rPr>
          <w:rFonts w:ascii="Arial" w:hAnsi="Arial"/>
          <w:sz w:val="19"/>
        </w:rPr>
      </w:pPr>
      <w:r>
        <w:rPr>
          <w:rFonts w:ascii="Arial" w:hAnsi="Arial"/>
          <w:sz w:val="19"/>
        </w:rPr>
        <w:t xml:space="preserve">The following section does not comment on the German tax considerations that become relevant when acquiring, owning and transferring Immatics’ pre-funded warrants. Prospective holders of the pre-funded warrants are advised to seek their own professional advice regarding the tax consequences of the acquisition, ownership and transfer of pre-funded warrants in light of their particular circumstances with regard to the application of German tax law to their particular situations </w:t>
      </w:r>
    </w:p>
    <w:p>
      <w:pPr>
        <w:pStyle w:val="TextBody"/>
        <w:bidi w:val="0"/>
        <w:spacing w:before="180" w:after="0"/>
        <w:jc w:val="left"/>
        <w:rPr>
          <w:rFonts w:ascii="Arial" w:hAnsi="Arial"/>
          <w:sz w:val="19"/>
        </w:rPr>
      </w:pPr>
      <w:r>
        <w:rPr>
          <w:rFonts w:ascii="Arial" w:hAnsi="Arial"/>
          <w:sz w:val="19"/>
        </w:rPr>
        <w:t>This section is intended as general information only and does not purport to be a comprehensive or complete description of all potential German tax effects of the acquisition, ownership or transfer of ordinary shares and does not set forth all German tax considerations that may be relevant to a particular person’s decision to acquire ordinary shares. It does not constitute particular German tax advice and potential purchasers of Immatics’ ordinary shares are urged to consult their own tax advisors regarding the tax consequences of the acquisition, ownership and transfer of ordinary shares in light of their particular circumstances with regard to the application of German tax law to their particular situations (including full or partial tax exemptions of certain pension or investment funds or non-profit organizations), in particular with respect to the procedure to be complied with to obtain a relief of withholding tax on dividends and on capital gains (</w:t>
      </w:r>
      <w:r>
        <w:rPr>
          <w:rFonts w:ascii="Arial" w:hAnsi="Arial"/>
          <w:i/>
          <w:sz w:val="19"/>
        </w:rPr>
        <w:t>Kapitalertragsteuer</w:t>
      </w:r>
      <w:r>
        <w:rPr>
          <w:rFonts w:ascii="Arial" w:hAnsi="Arial"/>
          <w:sz w:val="19"/>
        </w:rPr>
        <w:t xml:space="preserve">) and with respect to the influence of double tax treaty provisions, as well as any tax consequences arising under the laws of any state, local or other non-German jurisdiction. For German tax purposes, a shareholder may include an individual who or an entity that does not have the legal title to the ordinary shares, but to whom nevertheless the ordinary shares are attributed, based either on such individual or entity owning a beneficial interest in the ordinary shares or based on specific statutory provisions. </w:t>
      </w:r>
    </w:p>
    <w:p>
      <w:pPr>
        <w:pStyle w:val="TextBody"/>
        <w:bidi w:val="0"/>
        <w:spacing w:before="180" w:after="0"/>
        <w:jc w:val="left"/>
        <w:rPr>
          <w:rFonts w:ascii="Arial" w:hAnsi="Arial"/>
          <w:sz w:val="19"/>
        </w:rPr>
      </w:pPr>
      <w:r>
        <w:rPr>
          <w:rFonts w:ascii="Arial" w:hAnsi="Arial"/>
          <w:sz w:val="19"/>
        </w:rPr>
        <w:t xml:space="preserve">All of the following is subject to change. Such changes could apply retroactively and could affect the consequences set forth below. This section does not refer to any foreign account tax compliance act (FATCA) aspects. </w:t>
      </w:r>
    </w:p>
    <w:p>
      <w:pPr>
        <w:pStyle w:val="TextBody"/>
        <w:bidi w:val="0"/>
        <w:spacing w:before="80" w:after="0"/>
        <w:jc w:val="left"/>
        <w:rPr>
          <w:rFonts w:ascii="Arial" w:hAnsi="Arial"/>
          <w:b/>
          <w:i/>
          <w:sz w:val="19"/>
        </w:rPr>
      </w:pPr>
      <w:r>
        <w:rPr>
          <w:rFonts w:ascii="Arial" w:hAnsi="Arial"/>
          <w:b/>
          <w:i/>
          <w:sz w:val="19"/>
        </w:rPr>
        <w:t xml:space="preserve">Immatics’ Tax Residency Status </w:t>
      </w:r>
    </w:p>
    <w:p>
      <w:pPr>
        <w:pStyle w:val="TextBody"/>
        <w:bidi w:val="0"/>
        <w:spacing w:before="40" w:after="0"/>
        <w:jc w:val="left"/>
        <w:rPr>
          <w:rFonts w:ascii="Arial" w:hAnsi="Arial"/>
          <w:sz w:val="19"/>
        </w:rPr>
      </w:pPr>
      <w:r>
        <w:rPr>
          <w:rFonts w:ascii="Arial" w:hAnsi="Arial"/>
          <w:sz w:val="19"/>
        </w:rPr>
        <w:t xml:space="preserve">Immatics has its statutory seat in the Netherlands and its sole place of management in Germany and is therefore tax resident in Germany (for purposes of the German-Dutch tax treaty). Thus, Immatics qualifies as a corporation subject to German unlimited liability for corporate income tax purposes. However, because Immatics’ tax residency depends on future facts regarding its place of management, the German unlimited liability for corporate income tax purposes may change in the future. </w:t>
      </w:r>
    </w:p>
    <w:p>
      <w:pPr>
        <w:pStyle w:val="TextBody"/>
        <w:bidi w:val="0"/>
        <w:spacing w:before="80" w:after="0"/>
        <w:jc w:val="left"/>
        <w:rPr>
          <w:rFonts w:ascii="Arial" w:hAnsi="Arial"/>
          <w:b/>
          <w:i/>
          <w:sz w:val="19"/>
        </w:rPr>
      </w:pPr>
      <w:r>
        <w:rPr>
          <w:rFonts w:ascii="Arial" w:hAnsi="Arial"/>
          <w:b/>
          <w:i/>
          <w:sz w:val="19"/>
        </w:rPr>
        <w:t xml:space="preserve">Taxation of Dividends </w:t>
      </w:r>
    </w:p>
    <w:p>
      <w:pPr>
        <w:pStyle w:val="TextBody"/>
        <w:bidi w:val="0"/>
        <w:spacing w:before="40" w:after="0"/>
        <w:jc w:val="left"/>
        <w:rPr>
          <w:rFonts w:ascii="Arial" w:hAnsi="Arial"/>
          <w:i/>
          <w:sz w:val="19"/>
        </w:rPr>
      </w:pPr>
      <w:r>
        <w:rPr>
          <w:rFonts w:ascii="Arial" w:hAnsi="Arial"/>
          <w:i/>
          <w:sz w:val="19"/>
        </w:rPr>
        <w:t xml:space="preserve">Withholding Tax on Dividend Payments </w:t>
      </w:r>
    </w:p>
    <w:p>
      <w:pPr>
        <w:pStyle w:val="TextBody"/>
        <w:bidi w:val="0"/>
        <w:spacing w:before="40" w:after="0"/>
        <w:jc w:val="left"/>
        <w:rPr>
          <w:rFonts w:ascii="Arial" w:hAnsi="Arial"/>
          <w:sz w:val="19"/>
        </w:rPr>
      </w:pPr>
      <w:r>
        <w:rPr>
          <w:rFonts w:ascii="Arial" w:hAnsi="Arial"/>
          <w:sz w:val="19"/>
        </w:rPr>
        <w:t>Dividends distributed from Immatics to its shareholders are generally subject to German withholding tax, conditionally upon certain exemptions (for example, repayments of capital from the tax contribution account (</w:t>
      </w:r>
      <w:r>
        <w:rPr>
          <w:rFonts w:ascii="Arial" w:hAnsi="Arial"/>
          <w:i/>
          <w:sz w:val="19"/>
        </w:rPr>
        <w:t>steuerliches Einlagekonto</w:t>
      </w:r>
      <w:r>
        <w:rPr>
          <w:rFonts w:ascii="Arial" w:hAnsi="Arial"/>
          <w:sz w:val="19"/>
        </w:rPr>
        <w:t>)), as further described herein. The withholding tax rate is 25% plus a 5.5% solidarity surcharge (</w:t>
      </w:r>
      <w:r>
        <w:rPr>
          <w:rFonts w:ascii="Arial" w:hAnsi="Arial"/>
          <w:i/>
          <w:sz w:val="19"/>
        </w:rPr>
        <w:t>Solidaritätszuschlag</w:t>
      </w:r>
      <w:r>
        <w:rPr>
          <w:rFonts w:ascii="Arial" w:hAnsi="Arial"/>
          <w:sz w:val="19"/>
        </w:rPr>
        <w:t xml:space="preserve">) thereon totaling 26.375% of the gross dividend amount. Withholding tax is to be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withheld and passed on for the account of the shareholders by a domestic branch of a domestic or foreign credit or financial services institution (</w:t>
      </w:r>
      <w:r>
        <w:rPr>
          <w:rFonts w:ascii="Arial" w:hAnsi="Arial"/>
          <w:i/>
          <w:sz w:val="19"/>
        </w:rPr>
        <w:t>Kredit</w:t>
      </w:r>
      <w:r>
        <w:rPr>
          <w:rFonts w:ascii="Arial" w:hAnsi="Arial"/>
          <w:sz w:val="19"/>
        </w:rPr>
        <w:t xml:space="preserve">- </w:t>
      </w:r>
      <w:r>
        <w:rPr>
          <w:rFonts w:ascii="Arial" w:hAnsi="Arial"/>
          <w:i/>
          <w:sz w:val="19"/>
        </w:rPr>
        <w:t>und Finanzdienstleistungsinstitut</w:t>
      </w:r>
      <w:r>
        <w:rPr>
          <w:rFonts w:ascii="Arial" w:hAnsi="Arial"/>
          <w:sz w:val="19"/>
        </w:rPr>
        <w:t>), by the domestic securities trading company (</w:t>
      </w:r>
      <w:r>
        <w:rPr>
          <w:rFonts w:ascii="Arial" w:hAnsi="Arial"/>
          <w:i/>
          <w:sz w:val="19"/>
        </w:rPr>
        <w:t>inländisches Wertpapierhandelsunternehmen</w:t>
      </w:r>
      <w:r>
        <w:rPr>
          <w:rFonts w:ascii="Arial" w:hAnsi="Arial"/>
          <w:sz w:val="19"/>
        </w:rPr>
        <w:t>) or a domestic securities trading bank (</w:t>
      </w:r>
      <w:r>
        <w:rPr>
          <w:rFonts w:ascii="Arial" w:hAnsi="Arial"/>
          <w:i/>
          <w:sz w:val="19"/>
        </w:rPr>
        <w:t>inländische Wertpapierhandelsbank</w:t>
      </w:r>
      <w:r>
        <w:rPr>
          <w:rFonts w:ascii="Arial" w:hAnsi="Arial"/>
          <w:sz w:val="19"/>
        </w:rPr>
        <w:t>) which keeps and administers the ordinary shares and disburses or credits the dividends or disburses the dividends to a foreign agent, or by the securities custodian bank (</w:t>
      </w:r>
      <w:r>
        <w:rPr>
          <w:rFonts w:ascii="Arial" w:hAnsi="Arial"/>
          <w:i/>
          <w:sz w:val="19"/>
        </w:rPr>
        <w:t>Wertpapiersammelbank</w:t>
      </w:r>
      <w:r>
        <w:rPr>
          <w:rFonts w:ascii="Arial" w:hAnsi="Arial"/>
          <w:sz w:val="19"/>
        </w:rPr>
        <w:t xml:space="preserve">) to which the ordinary shares were entrusted for collective custody if the dividends are distributed to a foreign agent by such securities custodian bank (which is referred to as the “Dividend Paying Agent”). In case the ordinary shares are not held in collective deposit with a Dividend Paying Agent, Immatics is responsible for withholding and remitting the tax to the competent tax office. Such withholding tax is levied and withheld irrespective of whether and to what extent the dividend distribution is taxable at the level of the shareholder and whether the shareholder is a person residing in Germany or in a foreign country. </w:t>
      </w:r>
    </w:p>
    <w:p>
      <w:pPr>
        <w:pStyle w:val="TextBody"/>
        <w:bidi w:val="0"/>
        <w:spacing w:before="180" w:after="0"/>
        <w:jc w:val="left"/>
        <w:rPr>
          <w:rFonts w:ascii="Arial" w:hAnsi="Arial"/>
          <w:sz w:val="19"/>
        </w:rPr>
      </w:pPr>
      <w:r>
        <w:rPr>
          <w:rFonts w:ascii="Arial" w:hAnsi="Arial"/>
          <w:sz w:val="19"/>
        </w:rPr>
        <w:t xml:space="preserve">In the case of dividends distributed to a company within the meaning of Art. 2 of the amended EU Directive 2011/96/EU of the Council of November 30, 2011 (the “EU Parent Subsidiary Directive”) domiciled in another Member State of the European Union, withholding tax is effectively reduced to zero. This also applies to dividends distributed to a permanent establishment located in another Member State of the European Union of such a parent company or of a parent company tax resident in Germany if the participation in Immatics is effectively connected with this permanent establishment. The key prerequisite for the application of the EU Parent Subsidiary Directive is that the shareholder has held a direct participation in the share capital of Immatics of at least 10% for an uninterrupted period of at least one year. </w:t>
      </w:r>
    </w:p>
    <w:p>
      <w:pPr>
        <w:pStyle w:val="TextBody"/>
        <w:bidi w:val="0"/>
        <w:spacing w:before="180" w:after="0"/>
        <w:jc w:val="left"/>
        <w:rPr>
          <w:rFonts w:ascii="Arial" w:hAnsi="Arial"/>
          <w:sz w:val="19"/>
        </w:rPr>
      </w:pPr>
      <w:r>
        <w:rPr>
          <w:rFonts w:ascii="Arial" w:hAnsi="Arial"/>
          <w:sz w:val="19"/>
        </w:rPr>
        <w:t>The withholding tax on dividends distributed to other foreign resident shareholders is reduced in accordance with an applicable double tax treaty (to 15%, 5% or 0%, depending on certain prerequisites) if Germany has concluded such double tax treaty with the country of residence of the shareholder and if the shareholder does not hold his or her ordinary shares either as part of the assets of a permanent establishment or a fixed place of business in Germany or as business assets for which a permanent representative has been appointed in Germany. Further, the foreign resident shareholder must be eligible for treaty purposes and no limitation of benefits provision in a double tax treaty and—both in relation to a reduction pursuant to the EU Parent Subsidiary Directive and an applicable tax treaty—no German anti-directive/treaty shopping provision of Section 50d paragraph 3 of the German Income Tax Act (</w:t>
      </w:r>
      <w:r>
        <w:rPr>
          <w:rFonts w:ascii="Arial" w:hAnsi="Arial"/>
          <w:i/>
          <w:sz w:val="19"/>
        </w:rPr>
        <w:t>Einkommensteuergesetz</w:t>
      </w:r>
      <w:r>
        <w:rPr>
          <w:rFonts w:ascii="Arial" w:hAnsi="Arial"/>
          <w:sz w:val="19"/>
        </w:rPr>
        <w:t xml:space="preserve">) must be applicable. </w:t>
      </w:r>
    </w:p>
    <w:p>
      <w:pPr>
        <w:pStyle w:val="TextBody"/>
        <w:bidi w:val="0"/>
        <w:spacing w:before="180" w:after="0"/>
        <w:jc w:val="left"/>
        <w:rPr>
          <w:rFonts w:ascii="Arial" w:hAnsi="Arial"/>
          <w:sz w:val="19"/>
        </w:rPr>
      </w:pPr>
      <w:r>
        <w:rPr>
          <w:rFonts w:ascii="Arial" w:hAnsi="Arial"/>
          <w:sz w:val="19"/>
        </w:rPr>
        <w:t>However, the deduction of withholding taxes will generally apply irrespective of a possible reduction pursuant to the EU Parent Subsidiary Directive or an applicable double tax treaty except for the case that the recipient of the dividends has been granted an exemption from the German Federal Central Tax Office (</w:t>
      </w:r>
      <w:r>
        <w:rPr>
          <w:rFonts w:ascii="Arial" w:hAnsi="Arial"/>
          <w:i/>
          <w:sz w:val="19"/>
        </w:rPr>
        <w:t>Bundeszentralamt für Steuern</w:t>
      </w:r>
      <w:r>
        <w:rPr>
          <w:rFonts w:ascii="Arial" w:hAnsi="Arial"/>
          <w:sz w:val="19"/>
        </w:rPr>
        <w:t>) upon formal application by the recipient of the dividends (</w:t>
      </w:r>
      <w:r>
        <w:rPr>
          <w:rFonts w:ascii="Arial" w:hAnsi="Arial"/>
          <w:i/>
          <w:sz w:val="19"/>
        </w:rPr>
        <w:t>Freistellung im Steuerabzugsverfahren</w:t>
      </w:r>
      <w:r>
        <w:rPr>
          <w:rFonts w:ascii="Arial" w:hAnsi="Arial"/>
          <w:sz w:val="19"/>
        </w:rPr>
        <w:t>). In case of deducted withholding taxes, the reduction of the withholding tax pursuant to both the EU Parent Subsidiary Directive and an applicable double tax treaty is procedurally granted in such a manner that the difference between the total amount withheld, including the solidarity surcharge, and the tax liability determined on the basis of the EU Parent Subsidiary Directive (0%) or on the basis of the tax rate set forth in the applicable double tax treaty (15% unless further qualifications are met) is upon request refunded by the German Federal Central Tax Office (</w:t>
      </w:r>
      <w:r>
        <w:rPr>
          <w:rFonts w:ascii="Arial" w:hAnsi="Arial"/>
          <w:i/>
          <w:sz w:val="19"/>
        </w:rPr>
        <w:t>Bundeszentralamt für Steuern</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In the case of dividends received by corporations who are not tax resident in Germany, two-fifths of the withholding tax deducted and remitted are refunded without the need to fulfill all prerequisites required for such refund under the EU Parent Subsidiary Directive or under a double tax treaty or if no double tax treaty has been concluded between the state of residence of the shareholder, however, likewise subject to the conditions of the German anti-directive/treaty shopping provision. </w:t>
      </w:r>
    </w:p>
    <w:p>
      <w:pPr>
        <w:pStyle w:val="TextBody"/>
        <w:bidi w:val="0"/>
        <w:spacing w:before="180" w:after="0"/>
        <w:jc w:val="left"/>
        <w:rPr>
          <w:rFonts w:ascii="Arial" w:hAnsi="Arial"/>
          <w:sz w:val="19"/>
        </w:rPr>
      </w:pPr>
      <w:r>
        <w:rPr>
          <w:rFonts w:ascii="Arial" w:hAnsi="Arial"/>
          <w:sz w:val="19"/>
        </w:rPr>
        <w:t>In order to receive a refund pursuant to a double tax treaty or the aforementioned option for foreign corporations, the shareholder has to submit a completed form for refund (available at the website of the Federal Central Tax Office (http://www.bzst.de) as well as at the German embassies and consulates) together with a withholding tax certificate (</w:t>
      </w:r>
      <w:r>
        <w:rPr>
          <w:rFonts w:ascii="Arial" w:hAnsi="Arial"/>
          <w:i/>
          <w:sz w:val="19"/>
        </w:rPr>
        <w:t>Kapitalertragsteuerbescheinigung</w:t>
      </w:r>
      <w:r>
        <w:rPr>
          <w:rFonts w:ascii="Arial" w:hAnsi="Arial"/>
          <w:sz w:val="19"/>
        </w:rPr>
        <w:t xml:space="preserve">) issued by the institution that deducted the respective withholding tax. </w:t>
      </w:r>
    </w:p>
    <w:p>
      <w:pPr>
        <w:pStyle w:val="TextBody"/>
        <w:bidi w:val="0"/>
        <w:spacing w:before="180" w:after="0"/>
        <w:jc w:val="left"/>
        <w:rPr>
          <w:rFonts w:ascii="Arial" w:hAnsi="Arial"/>
          <w:sz w:val="19"/>
        </w:rPr>
      </w:pPr>
      <w:r>
        <w:rPr>
          <w:rFonts w:ascii="Arial" w:hAnsi="Arial"/>
          <w:sz w:val="19"/>
        </w:rPr>
        <w:t xml:space="preserve">The aforementioned reductions of (or exemptions from) withholding tax are further restricted if (i) the applicable double tax treaty provides for a tax reduction resulting in an applicable tax rate of less than 15% and (ii)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shareholder is not a corporation that directly holds at least 10% in the equity capital of Immatics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at least 70% of the change in value risk related to the shares in a company during the minimum holding period without being directly or indirectly hedged, and (iii) the shareholder must not be required to fully or largely compensate directly or indirectly the dividends to third parties. </w:t>
      </w:r>
    </w:p>
    <w:p>
      <w:pPr>
        <w:pStyle w:val="TextBody"/>
        <w:bidi w:val="0"/>
        <w:spacing w:before="180" w:after="0"/>
        <w:jc w:val="left"/>
        <w:rPr>
          <w:rFonts w:ascii="Arial" w:hAnsi="Arial"/>
          <w:sz w:val="19"/>
        </w:rPr>
      </w:pPr>
      <w:r>
        <w:rPr>
          <w:rFonts w:ascii="Arial" w:hAnsi="Arial"/>
          <w:sz w:val="19"/>
        </w:rPr>
        <w:t xml:space="preserve">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has to make a payment in the amount of the omitted withholding tax deduction. </w:t>
      </w:r>
    </w:p>
    <w:p>
      <w:pPr>
        <w:pStyle w:val="TextBody"/>
        <w:bidi w:val="0"/>
        <w:spacing w:before="180" w:after="0"/>
        <w:jc w:val="left"/>
        <w:rPr>
          <w:rFonts w:ascii="Arial" w:hAnsi="Arial"/>
          <w:sz w:val="19"/>
        </w:rPr>
      </w:pPr>
      <w:r>
        <w:rPr>
          <w:rFonts w:ascii="Arial" w:hAnsi="Arial"/>
          <w:sz w:val="19"/>
        </w:rPr>
        <w:t xml:space="preserve">However, these special rules on the restriction of withholding tax credit do not apply to a shareholder whose overall dividend earnings within an assessment period do not exceed </w:t>
      </w:r>
      <w:r>
        <w:rPr>
          <w:rFonts w:ascii="Times New Roman" w:hAnsi="Times New Roman"/>
          <w:sz w:val="19"/>
        </w:rPr>
        <w:t></w:t>
      </w:r>
      <w:r>
        <w:rPr>
          <w:rFonts w:ascii="Arial" w:hAnsi="Arial"/>
          <w:sz w:val="19"/>
        </w:rPr>
        <w:t xml:space="preserve">20,000 or that has been the beneficial owner of the shares in a company for at least one uninterrupted year upon receipt of the dividends. </w:t>
      </w:r>
    </w:p>
    <w:p>
      <w:pPr>
        <w:pStyle w:val="TextBody"/>
        <w:bidi w:val="0"/>
        <w:spacing w:before="180" w:after="0"/>
        <w:jc w:val="left"/>
        <w:rPr>
          <w:rFonts w:ascii="Arial" w:hAnsi="Arial"/>
          <w:sz w:val="19"/>
        </w:rPr>
      </w:pPr>
      <w:r>
        <w:rPr>
          <w:rFonts w:ascii="Arial" w:hAnsi="Arial"/>
          <w:sz w:val="19"/>
        </w:rPr>
        <w:t>For individual or corporate shareholders tax resident outside Germany not holding the ordinary shares through a permanent establishment (</w:t>
      </w:r>
      <w:r>
        <w:rPr>
          <w:rFonts w:ascii="Arial" w:hAnsi="Arial"/>
          <w:i/>
          <w:sz w:val="19"/>
        </w:rPr>
        <w:t>Betriebsstätte</w:t>
      </w:r>
      <w:r>
        <w:rPr>
          <w:rFonts w:ascii="Arial" w:hAnsi="Arial"/>
          <w:sz w:val="19"/>
        </w:rPr>
        <w:t>) in Germany or as business assets (</w:t>
      </w:r>
      <w:r>
        <w:rPr>
          <w:rFonts w:ascii="Arial" w:hAnsi="Arial"/>
          <w:i/>
          <w:sz w:val="19"/>
        </w:rPr>
        <w:t>Betriebsvermögen</w:t>
      </w:r>
      <w:r>
        <w:rPr>
          <w:rFonts w:ascii="Arial" w:hAnsi="Arial"/>
          <w:sz w:val="19"/>
        </w:rPr>
        <w:t>) for which a permanent representative (</w:t>
      </w:r>
      <w:r>
        <w:rPr>
          <w:rFonts w:ascii="Arial" w:hAnsi="Arial"/>
          <w:i/>
          <w:sz w:val="19"/>
        </w:rPr>
        <w:t>ständiger Vertreter</w:t>
      </w:r>
      <w:r>
        <w:rPr>
          <w:rFonts w:ascii="Arial" w:hAnsi="Arial"/>
          <w:sz w:val="19"/>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Immatics’ ordinary shares as private assets, the withholding tax is a final tax (</w:t>
      </w:r>
      <w:r>
        <w:rPr>
          <w:rFonts w:ascii="Arial" w:hAnsi="Arial"/>
          <w:i/>
          <w:sz w:val="19"/>
        </w:rPr>
        <w:t>Abgeltungsteuer</w:t>
      </w:r>
      <w:r>
        <w:rPr>
          <w:rFonts w:ascii="Arial" w:hAnsi="Arial"/>
          <w:sz w:val="19"/>
        </w:rPr>
        <w:t xml:space="preserve">), subject to the exceptions described in the following section. </w:t>
      </w:r>
    </w:p>
    <w:p>
      <w:pPr>
        <w:pStyle w:val="TextBody"/>
        <w:bidi w:val="0"/>
        <w:spacing w:before="80" w:after="0"/>
        <w:jc w:val="left"/>
        <w:rPr>
          <w:rFonts w:ascii="Arial" w:hAnsi="Arial"/>
          <w:i/>
          <w:sz w:val="19"/>
        </w:rPr>
      </w:pPr>
      <w:r>
        <w:rPr>
          <w:rFonts w:ascii="Arial" w:hAnsi="Arial"/>
          <w:i/>
          <w:sz w:val="19"/>
        </w:rPr>
        <w:t xml:space="preserve">Taxation of Dividend Income of Shareholders Tax Resident in Germany Holding Immatics’ Ordinary Shares as Private Assets (Private Individuals) </w:t>
      </w:r>
    </w:p>
    <w:p>
      <w:pPr>
        <w:pStyle w:val="TextBody"/>
        <w:bidi w:val="0"/>
        <w:spacing w:before="40" w:after="0"/>
        <w:jc w:val="left"/>
        <w:rPr>
          <w:rFonts w:ascii="Arial" w:hAnsi="Arial"/>
          <w:sz w:val="19"/>
        </w:rPr>
      </w:pPr>
      <w:r>
        <w:rPr>
          <w:rFonts w:ascii="Arial" w:hAnsi="Arial"/>
          <w:sz w:val="19"/>
        </w:rPr>
        <w:t>For individual shareholders (individuals) resident in Germany holding Immatics’ ordinary shares as private assets, dividends are subject to a flat rate tax which is satisfied by the withholding tax actually withheld (</w:t>
      </w:r>
      <w:r>
        <w:rPr>
          <w:rFonts w:ascii="Arial" w:hAnsi="Arial"/>
          <w:i/>
          <w:sz w:val="19"/>
        </w:rPr>
        <w:t>Abgeltungsteuer</w:t>
      </w:r>
      <w:r>
        <w:rPr>
          <w:rFonts w:ascii="Arial" w:hAnsi="Arial"/>
          <w:sz w:val="19"/>
        </w:rPr>
        <w:t>). Accordingly, dividend income will be taxed at a flat tax rate of 25% plus a 5.5% solidarity surcharge thereon totaling 26.375% and church tax (</w:t>
      </w:r>
      <w:r>
        <w:rPr>
          <w:rFonts w:ascii="Arial" w:hAnsi="Arial"/>
          <w:i/>
          <w:sz w:val="19"/>
        </w:rPr>
        <w:t>Kirchensteuer</w:t>
      </w:r>
      <w:r>
        <w:rPr>
          <w:rFonts w:ascii="Arial" w:hAnsi="Arial"/>
          <w:sz w:val="19"/>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Arial" w:hAnsi="Arial"/>
          <w:i/>
          <w:sz w:val="19"/>
        </w:rPr>
        <w:t>Sperrvermerk</w:t>
      </w:r>
      <w:r>
        <w:rPr>
          <w:rFonts w:ascii="Arial" w:hAnsi="Arial"/>
          <w:sz w:val="19"/>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Arial" w:hAnsi="Arial"/>
          <w:i/>
          <w:sz w:val="19"/>
        </w:rPr>
        <w:t>Sparer-Pauschbetrag</w:t>
      </w:r>
      <w:r>
        <w:rPr>
          <w:rFonts w:ascii="Arial" w:hAnsi="Arial"/>
          <w:sz w:val="19"/>
        </w:rPr>
        <w:t xml:space="preserve">) of up to </w:t>
      </w:r>
      <w:r>
        <w:rPr>
          <w:rFonts w:ascii="Times New Roman" w:hAnsi="Times New Roman"/>
          <w:sz w:val="19"/>
        </w:rPr>
        <w:t></w:t>
      </w:r>
      <w:r>
        <w:rPr>
          <w:rFonts w:ascii="Arial" w:hAnsi="Arial"/>
          <w:sz w:val="19"/>
        </w:rPr>
        <w:t xml:space="preserve">1,000 (for individual filers) or up to </w:t>
      </w:r>
      <w:r>
        <w:rPr>
          <w:rFonts w:ascii="Times New Roman" w:hAnsi="Times New Roman"/>
          <w:sz w:val="19"/>
        </w:rPr>
        <w:t></w:t>
      </w:r>
      <w:r>
        <w:rPr>
          <w:rFonts w:ascii="Arial" w:hAnsi="Arial"/>
          <w:sz w:val="19"/>
        </w:rPr>
        <w:t>2,000 (for married couples and for partners in accordance with the registered partnership law (</w:t>
      </w:r>
      <w:r>
        <w:rPr>
          <w:rFonts w:ascii="Arial" w:hAnsi="Arial"/>
          <w:i/>
          <w:sz w:val="19"/>
        </w:rPr>
        <w:t>Gesetz über die Eingetragene Lebenspartnerschaft</w:t>
      </w:r>
      <w:r>
        <w:rPr>
          <w:rFonts w:ascii="Arial" w:hAnsi="Arial"/>
          <w:sz w:val="19"/>
        </w:rPr>
        <w:t xml:space="preserve">) filing jointly), private individual shareholders will not be entitled to deduct expenses incurred in connection with the capital investment from their dividend income. </w:t>
      </w:r>
    </w:p>
    <w:p>
      <w:pPr>
        <w:pStyle w:val="TextBody"/>
        <w:bidi w:val="0"/>
        <w:spacing w:before="180" w:after="0"/>
        <w:jc w:val="left"/>
        <w:rPr>
          <w:rFonts w:ascii="Arial" w:hAnsi="Arial"/>
          <w:sz w:val="19"/>
        </w:rPr>
      </w:pPr>
      <w:r>
        <w:rPr>
          <w:rFonts w:ascii="Arial" w:hAnsi="Arial"/>
          <w:sz w:val="19"/>
        </w:rPr>
        <w:t xml:space="preserve">The income tax owed for the dividend income is satisfied by the withholding tax withheld by the Dividend Paying Agent.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couples as well as partners in accordance with the registered partnership law filing jointly may only jointly exercise the option. </w:t>
      </w:r>
    </w:p>
    <w:p>
      <w:pPr>
        <w:pStyle w:val="TextBody"/>
        <w:bidi w:val="0"/>
        <w:spacing w:before="180" w:after="0"/>
        <w:jc w:val="left"/>
        <w:rPr>
          <w:rFonts w:ascii="Arial" w:hAnsi="Arial"/>
          <w:sz w:val="19"/>
        </w:rPr>
      </w:pPr>
      <w:r>
        <w:rPr>
          <w:rFonts w:ascii="Arial" w:hAnsi="Arial"/>
          <w:sz w:val="19"/>
        </w:rPr>
        <w:t xml:space="preserve">Exceptions from the flat rate tax (satisfied by withholding the tax at source, </w:t>
      </w:r>
      <w:r>
        <w:rPr>
          <w:rFonts w:ascii="Arial" w:hAnsi="Arial"/>
          <w:i/>
          <w:sz w:val="19"/>
        </w:rPr>
        <w:t>Abgeltungswirkung</w:t>
      </w:r>
      <w:r>
        <w:rPr>
          <w:rFonts w:ascii="Arial" w:hAnsi="Arial"/>
          <w:sz w:val="19"/>
        </w:rPr>
        <w:t xml:space="preserve">) may apply—that is, only upon application—for shareholders who have a shareholding of at least 25% in Immatics and for shareholders who have a shareholding of at least 1% in Immatics and work for a company in a professional capacity. In such a case, the same rules apply as for sole proprietors holding the ordinary shares as business assets (see below “Taxation of Dividend Income of Shareholders Tax Resident in Germany Holding the Company’s Ordinary Shares as Business Assets—Sole Proprietors”). Further, the flat rate tax does not apply if and to the extent dividends reduced Immatics taxable income. </w:t>
      </w:r>
    </w:p>
    <w:p>
      <w:pPr>
        <w:pStyle w:val="TextBody"/>
        <w:bidi w:val="0"/>
        <w:spacing w:before="80" w:after="0"/>
        <w:jc w:val="left"/>
        <w:rPr>
          <w:rFonts w:ascii="Arial" w:hAnsi="Arial"/>
          <w:i/>
          <w:sz w:val="19"/>
        </w:rPr>
      </w:pPr>
      <w:r>
        <w:rPr>
          <w:rFonts w:ascii="Arial" w:hAnsi="Arial"/>
          <w:i/>
          <w:sz w:val="19"/>
        </w:rPr>
        <w:t xml:space="preserve">Taxation of Dividend Income of Shareholders Tax Resident in Germany Holding Immatics’ Ordinary Shares as Business Assets </w:t>
      </w:r>
    </w:p>
    <w:p>
      <w:pPr>
        <w:pStyle w:val="TextBody"/>
        <w:bidi w:val="0"/>
        <w:spacing w:before="40" w:after="0"/>
        <w:jc w:val="left"/>
        <w:rPr>
          <w:rFonts w:ascii="Arial" w:hAnsi="Arial"/>
          <w:sz w:val="19"/>
        </w:rPr>
      </w:pPr>
      <w:r>
        <w:rPr>
          <w:rFonts w:ascii="Arial" w:hAnsi="Arial"/>
          <w:sz w:val="19"/>
        </w:rPr>
        <w:t xml:space="preserve">If a shareholder holds Immatics’ ordinary shares as business assets, the taxation of the dividend income depends on whether the respective shareholder is a corporation, a sole proprietor or a partnership. </w:t>
      </w:r>
    </w:p>
    <w:p>
      <w:pPr>
        <w:pStyle w:val="TextBody"/>
        <w:bidi w:val="0"/>
        <w:spacing w:before="80" w:after="0"/>
        <w:jc w:val="left"/>
        <w:rPr>
          <w:rFonts w:ascii="Arial" w:hAnsi="Arial"/>
          <w:i/>
          <w:sz w:val="19"/>
        </w:rPr>
      </w:pPr>
      <w:r>
        <w:rPr>
          <w:rFonts w:ascii="Arial" w:hAnsi="Arial"/>
          <w:i/>
          <w:sz w:val="19"/>
        </w:rPr>
        <w:t xml:space="preserve">Corporations </w:t>
      </w:r>
    </w:p>
    <w:p>
      <w:pPr>
        <w:pStyle w:val="TextBody"/>
        <w:bidi w:val="0"/>
        <w:spacing w:before="40" w:after="0"/>
        <w:jc w:val="left"/>
        <w:rPr>
          <w:rFonts w:ascii="Arial" w:hAnsi="Arial"/>
          <w:sz w:val="19"/>
        </w:rPr>
      </w:pPr>
      <w:r>
        <w:rPr>
          <w:rFonts w:ascii="Arial" w:hAnsi="Arial"/>
          <w:sz w:val="19"/>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is deemed to have occurred at the beginning of such calendar year. Participations in the share capital of the company which a corporate shareholder holds through a partnership, including co-entrepreneurships (</w:t>
      </w:r>
      <w:r>
        <w:rPr>
          <w:rFonts w:ascii="Arial" w:hAnsi="Arial"/>
          <w:i/>
          <w:sz w:val="19"/>
        </w:rPr>
        <w:t>Mitunternehmerschaften</w:t>
      </w:r>
      <w:r>
        <w:rPr>
          <w:rFonts w:ascii="Arial" w:hAnsi="Arial"/>
          <w:sz w:val="19"/>
        </w:rPr>
        <w:t xml:space="preserve">),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and trade tax; i.e., tax exemption of 95%. Business expenses incurred in connection with the dividends received are entirely tax deductible. The participation exemption does not apply if and to the extent dividends reduced Immatics taxable income. </w:t>
      </w:r>
    </w:p>
    <w:p>
      <w:pPr>
        <w:pStyle w:val="TextBody"/>
        <w:bidi w:val="0"/>
        <w:spacing w:before="180" w:after="0"/>
        <w:jc w:val="left"/>
        <w:rPr>
          <w:rFonts w:ascii="Arial" w:hAnsi="Arial"/>
          <w:sz w:val="19"/>
        </w:rPr>
      </w:pPr>
      <w:r>
        <w:rPr>
          <w:rFonts w:ascii="Arial" w:hAnsi="Arial"/>
          <w:sz w:val="19"/>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Arial" w:hAnsi="Arial"/>
          <w:i/>
          <w:sz w:val="19"/>
        </w:rPr>
        <w:t>Erhebungszeitraum</w:t>
      </w:r>
      <w:r>
        <w:rPr>
          <w:rFonts w:ascii="Arial" w:hAnsi="Arial"/>
          <w:sz w:val="19"/>
        </w:rPr>
        <w:t xml:space="preserve">). In case of an indirect participation via a partnership please refer to the section “Partnerships” below. </w:t>
      </w:r>
    </w:p>
    <w:p>
      <w:pPr>
        <w:pStyle w:val="TextBody"/>
        <w:bidi w:val="0"/>
        <w:spacing w:before="180" w:after="0"/>
        <w:jc w:val="left"/>
        <w:rPr>
          <w:rFonts w:ascii="Arial" w:hAnsi="Arial"/>
          <w:sz w:val="19"/>
        </w:rPr>
      </w:pPr>
      <w:r>
        <w:rPr>
          <w:rFonts w:ascii="Arial" w:hAnsi="Arial"/>
          <w:sz w:val="19"/>
        </w:rPr>
        <w:t xml:space="preserve">If the shareholding is below 10% in the share capital, dividends are taxable at the applicable corporate income tax rate of 15%, plus a 5.5% solidarity surcharge thereon and trade tax (the rate of which depends on the applicably municipality levy rate determined by the municipality the corporate shareholder has its place of management and permanent establishments respectively). </w:t>
      </w:r>
    </w:p>
    <w:p>
      <w:pPr>
        <w:pStyle w:val="TextBody"/>
        <w:bidi w:val="0"/>
        <w:spacing w:before="180" w:after="0"/>
        <w:jc w:val="left"/>
        <w:rPr>
          <w:rFonts w:ascii="Arial" w:hAnsi="Arial"/>
          <w:sz w:val="19"/>
        </w:rPr>
      </w:pPr>
      <w:r>
        <w:rPr>
          <w:rFonts w:ascii="Arial" w:hAnsi="Arial"/>
          <w:sz w:val="19"/>
        </w:rPr>
        <w:t>Special regulations apply which abolish the 95% tax exemption, if the company’s ordinary shares are held as trading portfolio assets in the meaning of Section 340e of the German Commercial Code (</w:t>
      </w:r>
      <w:r>
        <w:rPr>
          <w:rFonts w:ascii="Arial" w:hAnsi="Arial"/>
          <w:i/>
          <w:sz w:val="19"/>
        </w:rPr>
        <w:t>Handelsgesetzbuch</w:t>
      </w:r>
      <w:r>
        <w:rPr>
          <w:rFonts w:ascii="Arial" w:hAnsi="Arial"/>
          <w:sz w:val="19"/>
        </w:rPr>
        <w:t>) by (i) a credit institution (</w:t>
      </w:r>
      <w:r>
        <w:rPr>
          <w:rFonts w:ascii="Arial" w:hAnsi="Arial"/>
          <w:i/>
          <w:sz w:val="19"/>
        </w:rPr>
        <w:t>Kreditinstitut</w:t>
      </w:r>
      <w:r>
        <w:rPr>
          <w:rFonts w:ascii="Arial" w:hAnsi="Arial"/>
          <w:sz w:val="19"/>
        </w:rPr>
        <w:t>), (ii) a financial service institution (</w:t>
      </w:r>
      <w:r>
        <w:rPr>
          <w:rFonts w:ascii="Arial" w:hAnsi="Arial"/>
          <w:i/>
          <w:sz w:val="19"/>
        </w:rPr>
        <w:t>Finanzdienstleistungsinstitut</w:t>
      </w:r>
      <w:r>
        <w:rPr>
          <w:rFonts w:ascii="Arial" w:hAnsi="Arial"/>
          <w:sz w:val="19"/>
        </w:rPr>
        <w:t>) or (iii) a financial enterprise within the meaning of the German Banking Act (</w:t>
      </w:r>
      <w:r>
        <w:rPr>
          <w:rFonts w:ascii="Arial" w:hAnsi="Arial"/>
          <w:i/>
          <w:sz w:val="19"/>
        </w:rPr>
        <w:t>Kreditwesengesetz</w:t>
      </w:r>
      <w:r>
        <w:rPr>
          <w:rFonts w:ascii="Arial" w:hAnsi="Arial"/>
          <w:sz w:val="19"/>
        </w:rPr>
        <w:t xml:space="preserve">), in case more than 50% of the shares of such financial enterprise are held directly or indirectly by a credit institution or a financial service institution, as well as by a life insurance company, a health insurance company or a pension fund in case the shares are attributable to the capital investments, resulting in fully taxable income. </w:t>
      </w:r>
    </w:p>
    <w:p>
      <w:pPr>
        <w:pStyle w:val="TextBody"/>
        <w:bidi w:val="0"/>
        <w:spacing w:before="80" w:after="0"/>
        <w:jc w:val="left"/>
        <w:rPr>
          <w:rFonts w:ascii="Arial" w:hAnsi="Arial"/>
          <w:i/>
          <w:sz w:val="19"/>
        </w:rPr>
      </w:pPr>
      <w:r>
        <w:rPr>
          <w:rFonts w:ascii="Arial" w:hAnsi="Arial"/>
          <w:i/>
          <w:sz w:val="19"/>
        </w:rPr>
        <w:t xml:space="preserve">Sole Proprietors </w:t>
      </w:r>
    </w:p>
    <w:p>
      <w:pPr>
        <w:pStyle w:val="TextBody"/>
        <w:bidi w:val="0"/>
        <w:spacing w:before="40" w:after="0"/>
        <w:jc w:val="left"/>
        <w:rPr>
          <w:rFonts w:ascii="Arial" w:hAnsi="Arial"/>
          <w:sz w:val="19"/>
        </w:rPr>
      </w:pPr>
      <w:r>
        <w:rPr>
          <w:rFonts w:ascii="Arial" w:hAnsi="Arial"/>
          <w:sz w:val="19"/>
        </w:rPr>
        <w:t>For sole proprietors (individuals) resident in Germany holding ordinary shares as business assets dividends are subject to the partial income rule (</w:t>
      </w:r>
      <w:r>
        <w:rPr>
          <w:rFonts w:ascii="Arial" w:hAnsi="Arial"/>
          <w:i/>
          <w:sz w:val="19"/>
        </w:rPr>
        <w:t>Teileinkünfteverfahren</w:t>
      </w:r>
      <w:r>
        <w:rPr>
          <w:rFonts w:ascii="Arial" w:hAnsi="Arial"/>
          <w:sz w:val="19"/>
        </w:rPr>
        <w:t>). Accordingly, only (i) 60% of the dividend income will be taxed at his/her personal income tax rate plus 5.5% solidarity surcharge thereon and church tax (if applicable) and (ii) 60% of the business expenses related to the dividend income are deductible for tax purposes. In addition, the dividend income is entirely subject to trade tax if the ordinary shares are held as business assets of a permanent establishment in Germany within the meaning of the German Trade Tax Act (</w:t>
      </w:r>
      <w:r>
        <w:rPr>
          <w:rFonts w:ascii="Arial" w:hAnsi="Arial"/>
          <w:i/>
          <w:sz w:val="19"/>
        </w:rPr>
        <w:t>Gewerbesteuergesetz</w:t>
      </w:r>
      <w:r>
        <w:rPr>
          <w:rFonts w:ascii="Arial" w:hAnsi="Arial"/>
          <w:sz w:val="19"/>
        </w:rPr>
        <w:t xml:space="preserve">), unless the shareholder holds at least 15% of the company’s registered share capital at the beginning of the relevant assessment period. The trade tax levied will be eligible for credit against the shareholder’s personal income tax liability based 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the applicable municipal trade tax rate and the individual tax situation of the shareholder limited to currently 4.0 times the trade tax measurement amount (</w:t>
      </w:r>
      <w:r>
        <w:rPr>
          <w:rFonts w:ascii="Arial" w:hAnsi="Arial"/>
          <w:i/>
          <w:sz w:val="19"/>
        </w:rPr>
        <w:t>Gewerbesteuer-Messbetrag</w:t>
      </w:r>
      <w:r>
        <w:rPr>
          <w:rFonts w:ascii="Arial" w:hAnsi="Arial"/>
          <w:sz w:val="19"/>
        </w:rPr>
        <w:t xml:space="preserve">). </w:t>
      </w:r>
    </w:p>
    <w:p>
      <w:pPr>
        <w:pStyle w:val="TextBody"/>
        <w:bidi w:val="0"/>
        <w:spacing w:before="80" w:after="0"/>
        <w:jc w:val="left"/>
        <w:rPr>
          <w:rFonts w:ascii="Arial" w:hAnsi="Arial"/>
          <w:i/>
          <w:sz w:val="19"/>
        </w:rPr>
      </w:pPr>
      <w:r>
        <w:rPr>
          <w:rFonts w:ascii="Arial" w:hAnsi="Arial"/>
          <w:i/>
          <w:sz w:val="19"/>
        </w:rPr>
        <w:t xml:space="preserve">Partnerships </w:t>
      </w:r>
    </w:p>
    <w:p>
      <w:pPr>
        <w:pStyle w:val="TextBody"/>
        <w:bidi w:val="0"/>
        <w:spacing w:before="40" w:after="0"/>
        <w:jc w:val="left"/>
        <w:rPr>
          <w:rFonts w:ascii="Arial" w:hAnsi="Arial"/>
          <w:sz w:val="19"/>
        </w:rPr>
      </w:pPr>
      <w:r>
        <w:rPr>
          <w:rFonts w:ascii="Arial" w:hAnsi="Arial"/>
          <w:sz w:val="19"/>
        </w:rPr>
        <w:t xml:space="preserve">In case ordinary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partnership’s taxable income and depending on their individual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the partner is a corporation, the dividend income will be subject to corporate income tax plus solidarity surcharge (see “Corporations”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the partner is a sole proprietor, the dividend income will be subject to the partial income rule (see “Sole Proprietors”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if the partner is a private individual, the dividend income will be subject to the flat tax rate (see “Private Individuals” above) unless the partnership is a (operative or deemed) commercial partnership, in which case the partial income rule applies. </w:t>
            </w:r>
          </w:p>
        </w:tc>
      </w:tr>
    </w:tbl>
    <w:p>
      <w:pPr>
        <w:pStyle w:val="TextBody"/>
        <w:bidi w:val="0"/>
        <w:spacing w:before="180" w:after="0"/>
        <w:jc w:val="left"/>
        <w:rPr>
          <w:rFonts w:ascii="Arial" w:hAnsi="Arial"/>
          <w:sz w:val="19"/>
        </w:rPr>
      </w:pPr>
      <w:r>
        <w:rPr>
          <w:rFonts w:ascii="Arial" w:hAnsi="Arial"/>
          <w:sz w:val="19"/>
        </w:rPr>
        <w:t xml:space="preserve">In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which case the dividend income is exempt from trade tax. </w:t>
      </w:r>
    </w:p>
    <w:p>
      <w:pPr>
        <w:pStyle w:val="TextBody"/>
        <w:bidi w:val="0"/>
        <w:spacing w:before="80" w:after="0"/>
        <w:jc w:val="left"/>
        <w:rPr>
          <w:rFonts w:ascii="Arial" w:hAnsi="Arial"/>
          <w:i/>
          <w:sz w:val="19"/>
        </w:rPr>
      </w:pPr>
      <w:r>
        <w:rPr>
          <w:rFonts w:ascii="Arial" w:hAnsi="Arial"/>
          <w:i/>
          <w:sz w:val="19"/>
        </w:rPr>
        <w:t xml:space="preserve">Investment Funds </w:t>
      </w:r>
    </w:p>
    <w:p>
      <w:pPr>
        <w:pStyle w:val="TextBody"/>
        <w:bidi w:val="0"/>
        <w:spacing w:before="40" w:after="0"/>
        <w:jc w:val="left"/>
        <w:rPr>
          <w:rFonts w:ascii="Arial" w:hAnsi="Arial"/>
          <w:sz w:val="19"/>
        </w:rPr>
      </w:pPr>
      <w:r>
        <w:rPr>
          <w:rFonts w:ascii="Arial" w:hAnsi="Arial"/>
          <w:sz w:val="19"/>
        </w:rPr>
        <w:t>Investment funds (</w:t>
      </w:r>
      <w:r>
        <w:rPr>
          <w:rFonts w:ascii="Arial" w:hAnsi="Arial"/>
          <w:i/>
          <w:sz w:val="19"/>
        </w:rPr>
        <w:t>Investmentfonds</w:t>
      </w:r>
      <w:r>
        <w:rPr>
          <w:rFonts w:ascii="Arial" w:hAnsi="Arial"/>
          <w:sz w:val="19"/>
        </w:rPr>
        <w:t>) and specialized investment funds (</w:t>
      </w:r>
      <w:r>
        <w:rPr>
          <w:rFonts w:ascii="Arial" w:hAnsi="Arial"/>
          <w:i/>
          <w:sz w:val="19"/>
        </w:rPr>
        <w:t>Spezial-Investmentfonds</w:t>
      </w:r>
      <w:r>
        <w:rPr>
          <w:rFonts w:ascii="Arial" w:hAnsi="Arial"/>
          <w:sz w:val="19"/>
        </w:rPr>
        <w:t>) in the meaning of the German Investment Tax Act (</w:t>
      </w:r>
      <w:r>
        <w:rPr>
          <w:rFonts w:ascii="Arial" w:hAnsi="Arial"/>
          <w:i/>
          <w:sz w:val="19"/>
        </w:rPr>
        <w:t>Investmentsteuergesetz</w:t>
      </w:r>
      <w:r>
        <w:rPr>
          <w:rFonts w:ascii="Arial" w:hAnsi="Arial"/>
          <w:sz w:val="19"/>
        </w:rPr>
        <w:t xml:space="preserve">) and their investors are subject to special rules concerning the taxation of dividends, in particular in relation to the application of the German participation exemption, withholding tax treatment (applicable rate and exemption/refund procedure) and tax assessment. </w:t>
      </w:r>
    </w:p>
    <w:p>
      <w:pPr>
        <w:pStyle w:val="TextBody"/>
        <w:bidi w:val="0"/>
        <w:spacing w:before="80" w:after="0"/>
        <w:jc w:val="left"/>
        <w:rPr>
          <w:rFonts w:ascii="Arial" w:hAnsi="Arial"/>
          <w:i/>
          <w:sz w:val="19"/>
        </w:rPr>
      </w:pPr>
      <w:r>
        <w:rPr>
          <w:rFonts w:ascii="Arial" w:hAnsi="Arial"/>
          <w:i/>
          <w:sz w:val="19"/>
        </w:rPr>
        <w:t xml:space="preserve">Taxation of Dividend Income of Shareholders Tax Resident Outside of Germany </w:t>
      </w:r>
    </w:p>
    <w:p>
      <w:pPr>
        <w:pStyle w:val="TextBody"/>
        <w:bidi w:val="0"/>
        <w:spacing w:before="40" w:after="0"/>
        <w:jc w:val="left"/>
        <w:rPr>
          <w:rFonts w:ascii="Arial" w:hAnsi="Arial"/>
          <w:sz w:val="19"/>
        </w:rPr>
      </w:pPr>
      <w:r>
        <w:rPr>
          <w:rFonts w:ascii="Arial" w:hAnsi="Arial"/>
          <w:sz w:val="19"/>
        </w:rPr>
        <w:t xml:space="preserve">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 </w:t>
      </w:r>
    </w:p>
    <w:p>
      <w:pPr>
        <w:pStyle w:val="TextBody"/>
        <w:bidi w:val="0"/>
        <w:spacing w:before="180" w:after="0"/>
        <w:jc w:val="left"/>
        <w:rPr>
          <w:rFonts w:ascii="Arial" w:hAnsi="Arial"/>
          <w:sz w:val="19"/>
        </w:rPr>
      </w:pPr>
      <w:r>
        <w:rPr>
          <w:rFonts w:ascii="Arial" w:hAnsi="Arial"/>
          <w:sz w:val="19"/>
        </w:rPr>
        <w:t xml:space="preserve">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is credited against the shareholder’s personal income tax or corporate income tax liability in Germany. </w:t>
      </w:r>
    </w:p>
    <w:p>
      <w:pPr>
        <w:pStyle w:val="TextBody"/>
        <w:bidi w:val="0"/>
        <w:spacing w:before="80" w:after="0"/>
        <w:jc w:val="left"/>
        <w:rPr>
          <w:rFonts w:ascii="Arial" w:hAnsi="Arial"/>
          <w:b/>
          <w:i/>
          <w:sz w:val="19"/>
        </w:rPr>
      </w:pPr>
      <w:r>
        <w:rPr>
          <w:rFonts w:ascii="Arial" w:hAnsi="Arial"/>
          <w:b/>
          <w:i/>
          <w:sz w:val="19"/>
        </w:rPr>
        <w:t xml:space="preserve">Taxation of Capital Gains </w:t>
      </w:r>
    </w:p>
    <w:p>
      <w:pPr>
        <w:pStyle w:val="TextBody"/>
        <w:bidi w:val="0"/>
        <w:spacing w:before="40" w:after="0"/>
        <w:jc w:val="left"/>
        <w:rPr>
          <w:rFonts w:ascii="Arial" w:hAnsi="Arial"/>
          <w:i/>
          <w:sz w:val="19"/>
        </w:rPr>
      </w:pPr>
      <w:r>
        <w:rPr>
          <w:rFonts w:ascii="Arial" w:hAnsi="Arial"/>
          <w:i/>
          <w:sz w:val="19"/>
        </w:rPr>
        <w:t xml:space="preserve">Withholding Tax on Capital Gains </w:t>
      </w:r>
    </w:p>
    <w:p>
      <w:pPr>
        <w:pStyle w:val="TextBody"/>
        <w:bidi w:val="0"/>
        <w:spacing w:before="40" w:after="0"/>
        <w:jc w:val="left"/>
        <w:rPr>
          <w:rFonts w:ascii="Arial" w:hAnsi="Arial"/>
          <w:sz w:val="19"/>
        </w:rPr>
      </w:pPr>
      <w:r>
        <w:rPr>
          <w:rFonts w:ascii="Arial" w:hAnsi="Arial"/>
          <w:sz w:val="19"/>
        </w:rPr>
        <w:t xml:space="preserve">Capital gains realized on the disposal of ordinary shares are only subject to withholding tax if (i) a permanent establishment in Germany of a German or foreign credit or financial institution, (ii) a German securities trading company or (iii) a German securities trading bank stores or administrates or carries out the disposal of the ordinary shares and pays or credits the capital gains. In those cases, the institution (and not the company) is required to deduct the withholding tax at the time of payment for the account of the shareholder and has to pay the withholding tax to the competent tax authority. </w:t>
      </w:r>
    </w:p>
    <w:p>
      <w:pPr>
        <w:pStyle w:val="TextBody"/>
        <w:bidi w:val="0"/>
        <w:spacing w:before="180" w:after="0"/>
        <w:jc w:val="left"/>
        <w:rPr>
          <w:rFonts w:ascii="Arial" w:hAnsi="Arial"/>
          <w:sz w:val="19"/>
        </w:rPr>
      </w:pPr>
      <w:r>
        <w:rPr>
          <w:rFonts w:ascii="Arial" w:hAnsi="Arial"/>
          <w:sz w:val="19"/>
        </w:rPr>
        <w:t xml:space="preserve">In case the ordinary shares in the company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the aforementioned exemption under (i) above, the withholding tax exemption is subject to the condition that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paying agent has been notified by the beneficiary (</w:t>
      </w:r>
      <w:r>
        <w:rPr>
          <w:rFonts w:ascii="Arial" w:hAnsi="Arial"/>
          <w:i/>
          <w:sz w:val="19"/>
        </w:rPr>
        <w:t>Gläubiger</w:t>
      </w:r>
      <w:r>
        <w:rPr>
          <w:rFonts w:ascii="Arial" w:hAnsi="Arial"/>
          <w:sz w:val="19"/>
        </w:rPr>
        <w:t xml:space="preserve">) that the capital gains are exempt from withholding tax. The respective notification has to be filed by using the officially prescribed form. </w:t>
      </w:r>
    </w:p>
    <w:p>
      <w:pPr>
        <w:pStyle w:val="TextBody"/>
        <w:bidi w:val="0"/>
        <w:spacing w:before="80" w:after="0"/>
        <w:jc w:val="left"/>
        <w:rPr>
          <w:rFonts w:ascii="Arial" w:hAnsi="Arial"/>
          <w:i/>
          <w:sz w:val="19"/>
        </w:rPr>
      </w:pPr>
      <w:r>
        <w:rPr>
          <w:rFonts w:ascii="Arial" w:hAnsi="Arial"/>
          <w:i/>
          <w:sz w:val="19"/>
        </w:rPr>
        <w:t xml:space="preserve">Taxation of Capital Gains Realized by Shareholders Tax Resident in Germany Holding Immatics’ Ordinary Shares as Private Assets (Private Individuals) </w:t>
      </w:r>
    </w:p>
    <w:p>
      <w:pPr>
        <w:pStyle w:val="TextBody"/>
        <w:bidi w:val="0"/>
        <w:spacing w:before="40" w:after="0"/>
        <w:jc w:val="left"/>
        <w:rPr>
          <w:rFonts w:ascii="Arial" w:hAnsi="Arial"/>
          <w:sz w:val="19"/>
        </w:rPr>
      </w:pPr>
      <w:r>
        <w:rPr>
          <w:rFonts w:ascii="Arial" w:hAnsi="Arial"/>
          <w:sz w:val="19"/>
        </w:rPr>
        <w:t>For individual shareholders (individuals) resident in Germany holding ordinary shares as private assets, capital gains realized on the disposal of ordinary shares are subject to final withholding tax (</w:t>
      </w:r>
      <w:r>
        <w:rPr>
          <w:rFonts w:ascii="Arial" w:hAnsi="Arial"/>
          <w:i/>
          <w:sz w:val="19"/>
        </w:rPr>
        <w:t>Abgeltungsteuer</w:t>
      </w:r>
      <w:r>
        <w:rPr>
          <w:rFonts w:ascii="Arial" w:hAnsi="Arial"/>
          <w:sz w:val="19"/>
        </w:rPr>
        <w:t>). Accordingly, capital gains will be taxed at a flat tax rate of 25%, plus a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Arial" w:hAnsi="Arial"/>
          <w:i/>
          <w:sz w:val="19"/>
        </w:rPr>
        <w:t>Sperrvermerk</w:t>
      </w:r>
      <w:r>
        <w:rPr>
          <w:rFonts w:ascii="Arial" w:hAnsi="Arial"/>
          <w:sz w:val="19"/>
        </w:rPr>
        <w:t>) with the German Federal Central Tax Office (details related to the computation of 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Arial" w:hAnsi="Arial"/>
          <w:i/>
          <w:sz w:val="19"/>
        </w:rPr>
        <w:t>Sparer-Pauschbetrag</w:t>
      </w:r>
      <w:r>
        <w:rPr>
          <w:rFonts w:ascii="Arial" w:hAnsi="Arial"/>
          <w:sz w:val="19"/>
        </w:rPr>
        <w:t xml:space="preserve">) of up to </w:t>
      </w:r>
      <w:r>
        <w:rPr>
          <w:rFonts w:ascii="Times New Roman" w:hAnsi="Times New Roman"/>
          <w:sz w:val="19"/>
        </w:rPr>
        <w:t></w:t>
      </w:r>
      <w:r>
        <w:rPr>
          <w:rFonts w:ascii="Arial" w:hAnsi="Arial"/>
          <w:sz w:val="19"/>
        </w:rPr>
        <w:t xml:space="preserve">1,000 (for individual filers) or up to </w:t>
      </w:r>
      <w:r>
        <w:rPr>
          <w:rFonts w:ascii="Times New Roman" w:hAnsi="Times New Roman"/>
          <w:sz w:val="19"/>
        </w:rPr>
        <w:t></w:t>
      </w:r>
      <w:r>
        <w:rPr>
          <w:rFonts w:ascii="Arial" w:hAnsi="Arial"/>
          <w:sz w:val="19"/>
        </w:rPr>
        <w:t>2,000 (for married couples and for partners in accordance with the registered partnership law (</w:t>
      </w:r>
      <w:r>
        <w:rPr>
          <w:rFonts w:ascii="Arial" w:hAnsi="Arial"/>
          <w:i/>
          <w:sz w:val="19"/>
        </w:rPr>
        <w:t>Gesetz über die Eingetragene Lebenspartnerschaft</w:t>
      </w:r>
      <w:r>
        <w:rPr>
          <w:rFonts w:ascii="Arial" w:hAnsi="Arial"/>
          <w:sz w:val="19"/>
        </w:rPr>
        <w:t xml:space="preserve">) filing jointly), private individual shareholders will not be entitled to deduct expenses incurred in connection with the capital investment from their capital gain. </w:t>
      </w:r>
    </w:p>
    <w:p>
      <w:pPr>
        <w:pStyle w:val="TextBody"/>
        <w:bidi w:val="0"/>
        <w:spacing w:before="180" w:after="0"/>
        <w:jc w:val="left"/>
        <w:rPr>
          <w:rFonts w:ascii="Arial" w:hAnsi="Arial"/>
          <w:sz w:val="19"/>
        </w:rPr>
      </w:pPr>
      <w:r>
        <w:rPr>
          <w:rFonts w:ascii="Arial" w:hAnsi="Arial"/>
          <w:sz w:val="19"/>
        </w:rPr>
        <w:t xml:space="preserve">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 </w:t>
      </w:r>
    </w:p>
    <w:p>
      <w:pPr>
        <w:pStyle w:val="TextBody"/>
        <w:bidi w:val="0"/>
        <w:spacing w:before="180" w:after="0"/>
        <w:jc w:val="left"/>
        <w:rPr>
          <w:rFonts w:ascii="Arial" w:hAnsi="Arial"/>
          <w:sz w:val="19"/>
        </w:rPr>
      </w:pPr>
      <w:r>
        <w:rPr>
          <w:rFonts w:ascii="Arial" w:hAnsi="Arial"/>
          <w:sz w:val="19"/>
        </w:rPr>
        <w:t xml:space="preserve">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ordinary shares in stock corporations in future years. </w:t>
      </w:r>
    </w:p>
    <w:p>
      <w:pPr>
        <w:pStyle w:val="TextBody"/>
        <w:bidi w:val="0"/>
        <w:spacing w:before="180" w:after="0"/>
        <w:jc w:val="left"/>
        <w:rPr>
          <w:rFonts w:ascii="Arial" w:hAnsi="Arial"/>
          <w:sz w:val="19"/>
        </w:rPr>
      </w:pPr>
      <w:r>
        <w:rPr>
          <w:rFonts w:ascii="Arial" w:hAnsi="Arial"/>
          <w:sz w:val="19"/>
        </w:rPr>
        <w:t>The final withholding tax (</w:t>
      </w:r>
      <w:r>
        <w:rPr>
          <w:rFonts w:ascii="Arial" w:hAnsi="Arial"/>
          <w:i/>
          <w:sz w:val="19"/>
        </w:rPr>
        <w:t>Abgeltungsteuer</w:t>
      </w:r>
      <w:r>
        <w:rPr>
          <w:rFonts w:ascii="Arial" w:hAnsi="Arial"/>
          <w:sz w:val="19"/>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Arial" w:hAnsi="Arial"/>
          <w:i/>
          <w:sz w:val="19"/>
        </w:rPr>
        <w:t>Teileinkünfteverfahren</w:t>
      </w:r>
      <w:r>
        <w:rPr>
          <w:rFonts w:ascii="Arial" w:hAnsi="Arial"/>
          <w:sz w:val="19"/>
        </w:rPr>
        <w:t xml:space="preserve">). Accordingly, only (i) 60% of the capital gains will be taxed at his/her personal income tax rate, plus a 5.5% solidarity surcharge thereon and church tax (if applicable) and (ii) 60% of the business expenses related to the capital gains are deductible for tax purposes. The withholding tax withheld (including solidarity surcharge) will be credited against the shareholder’s personal income tax liability in Germany. </w:t>
      </w:r>
    </w:p>
    <w:p>
      <w:pPr>
        <w:pStyle w:val="TextBody"/>
        <w:bidi w:val="0"/>
        <w:spacing w:before="80" w:after="0"/>
        <w:jc w:val="left"/>
        <w:rPr>
          <w:rFonts w:ascii="Arial" w:hAnsi="Arial"/>
          <w:i/>
          <w:sz w:val="19"/>
        </w:rPr>
      </w:pPr>
      <w:r>
        <w:rPr>
          <w:rFonts w:ascii="Arial" w:hAnsi="Arial"/>
          <w:i/>
          <w:sz w:val="19"/>
        </w:rPr>
        <w:t xml:space="preserve">Taxation of Capital Gains Realized by Shareholders Tax Resident in Germany Holding Immatics’ Ordinary Shares as Business Assets </w:t>
      </w:r>
    </w:p>
    <w:p>
      <w:pPr>
        <w:pStyle w:val="TextBody"/>
        <w:bidi w:val="0"/>
        <w:spacing w:before="40" w:after="0"/>
        <w:jc w:val="left"/>
        <w:rPr>
          <w:rFonts w:ascii="Arial" w:hAnsi="Arial"/>
          <w:sz w:val="19"/>
        </w:rPr>
      </w:pPr>
      <w:r>
        <w:rPr>
          <w:rFonts w:ascii="Arial" w:hAnsi="Arial"/>
          <w:sz w:val="19"/>
        </w:rPr>
        <w:t xml:space="preserve">If a shareholder holds ordinary shares as business assets, the taxation of capital gains realized on the disposal of such shares depends on whether the respective shareholder is a corporation, a sole proprietor or a partnership: </w:t>
      </w:r>
    </w:p>
    <w:p>
      <w:pPr>
        <w:pStyle w:val="TextBody"/>
        <w:bidi w:val="0"/>
        <w:spacing w:before="80" w:after="0"/>
        <w:jc w:val="left"/>
        <w:rPr>
          <w:rFonts w:ascii="Arial" w:hAnsi="Arial"/>
          <w:i/>
          <w:sz w:val="19"/>
        </w:rPr>
      </w:pPr>
      <w:r>
        <w:rPr>
          <w:rFonts w:ascii="Arial" w:hAnsi="Arial"/>
          <w:i/>
          <w:sz w:val="19"/>
        </w:rPr>
        <w:t xml:space="preserve">Corporations </w:t>
      </w:r>
    </w:p>
    <w:p>
      <w:pPr>
        <w:pStyle w:val="TextBody"/>
        <w:bidi w:val="0"/>
        <w:spacing w:before="40" w:after="0"/>
        <w:jc w:val="left"/>
        <w:rPr>
          <w:rFonts w:ascii="Arial" w:hAnsi="Arial"/>
          <w:sz w:val="19"/>
        </w:rPr>
      </w:pPr>
      <w:r>
        <w:rPr>
          <w:rFonts w:ascii="Arial" w:hAnsi="Arial"/>
          <w:sz w:val="19"/>
        </w:rPr>
        <w:t xml:space="preserve">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 </w:t>
      </w:r>
    </w:p>
    <w:p>
      <w:pPr>
        <w:pStyle w:val="TextBody"/>
        <w:bidi w:val="0"/>
        <w:spacing w:before="180" w:after="0"/>
        <w:jc w:val="left"/>
        <w:rPr>
          <w:rFonts w:ascii="Arial" w:hAnsi="Arial"/>
          <w:sz w:val="19"/>
        </w:rPr>
      </w:pPr>
      <w:r>
        <w:rPr>
          <w:rFonts w:ascii="Arial" w:hAnsi="Arial"/>
          <w:sz w:val="19"/>
        </w:rPr>
        <w:t xml:space="preserve">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Special regulations apply, if the ordinary shares are held as trading portfolio assets by a credit institution, a financial service institution or a financial enterprise within the meaning of the German Banking Act (</w:t>
      </w:r>
      <w:r>
        <w:rPr>
          <w:rFonts w:ascii="Arial" w:hAnsi="Arial"/>
          <w:i/>
          <w:sz w:val="19"/>
        </w:rPr>
        <w:t>Kreditwesengesetz</w:t>
      </w:r>
      <w:r>
        <w:rPr>
          <w:rFonts w:ascii="Arial" w:hAnsi="Arial"/>
          <w:sz w:val="19"/>
        </w:rPr>
        <w:t xml:space="preserve">) as well as by a life insurance company, a health insurance company or a pension fund (see “—Material German Tax Considerations—Taxation of Dividends—Corporations”). </w:t>
      </w:r>
    </w:p>
    <w:p>
      <w:pPr>
        <w:pStyle w:val="TextBody"/>
        <w:bidi w:val="0"/>
        <w:spacing w:before="80" w:after="0"/>
        <w:jc w:val="left"/>
        <w:rPr>
          <w:rFonts w:ascii="Arial" w:hAnsi="Arial"/>
          <w:i/>
          <w:sz w:val="19"/>
        </w:rPr>
      </w:pPr>
      <w:r>
        <w:rPr>
          <w:rFonts w:ascii="Arial" w:hAnsi="Arial"/>
          <w:i/>
          <w:sz w:val="19"/>
        </w:rPr>
        <w:t xml:space="preserve">Sole Proprietors </w:t>
      </w:r>
    </w:p>
    <w:p>
      <w:pPr>
        <w:pStyle w:val="TextBody"/>
        <w:bidi w:val="0"/>
        <w:spacing w:before="40" w:after="0"/>
        <w:jc w:val="left"/>
        <w:rPr>
          <w:rFonts w:ascii="Arial" w:hAnsi="Arial"/>
          <w:sz w:val="19"/>
        </w:rPr>
      </w:pPr>
      <w:r>
        <w:rPr>
          <w:rFonts w:ascii="Arial" w:hAnsi="Arial"/>
          <w:sz w:val="19"/>
        </w:rPr>
        <w:t>If the ordinary shares are held by a sole proprietor, capital gains realized on the disposal of the ordinary shares are subject to the partial income rule (</w:t>
      </w:r>
      <w:r>
        <w:rPr>
          <w:rFonts w:ascii="Arial" w:hAnsi="Arial"/>
          <w:i/>
          <w:sz w:val="19"/>
        </w:rPr>
        <w:t>Teileinkünfteverfahren</w:t>
      </w:r>
      <w:r>
        <w:rPr>
          <w:rFonts w:ascii="Arial" w:hAnsi="Arial"/>
          <w:sz w:val="19"/>
        </w:rPr>
        <w:t>). Accordingly, only (i) 60% of the capital gains will be taxed at his/her personal income tax rate plus 5.5% solidarity surcharge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Arial" w:hAnsi="Arial"/>
          <w:i/>
          <w:sz w:val="19"/>
        </w:rPr>
        <w:t>Gewerbesteuergesetz</w:t>
      </w:r>
      <w:r>
        <w:rPr>
          <w:rFonts w:ascii="Arial" w:hAnsi="Arial"/>
          <w:sz w:val="19"/>
        </w:rPr>
        <w:t xml:space="preserve">). The trade tax levied, depending on the applicable municipal trade tax rate and the individual tax situation, is partly or entirely be credited against the shareholder’s personal income tax liability. </w:t>
      </w:r>
    </w:p>
    <w:p>
      <w:pPr>
        <w:pStyle w:val="TextBody"/>
        <w:bidi w:val="0"/>
        <w:spacing w:before="80" w:after="0"/>
        <w:jc w:val="left"/>
        <w:rPr>
          <w:rFonts w:ascii="Arial" w:hAnsi="Arial"/>
          <w:i/>
          <w:sz w:val="19"/>
        </w:rPr>
      </w:pPr>
      <w:r>
        <w:rPr>
          <w:rFonts w:ascii="Arial" w:hAnsi="Arial"/>
          <w:i/>
          <w:sz w:val="19"/>
        </w:rPr>
        <w:t xml:space="preserve">Partnerships </w:t>
      </w:r>
    </w:p>
    <w:p>
      <w:pPr>
        <w:pStyle w:val="TextBody"/>
        <w:bidi w:val="0"/>
        <w:spacing w:before="40" w:after="0"/>
        <w:jc w:val="left"/>
        <w:rPr>
          <w:rFonts w:ascii="Arial" w:hAnsi="Arial"/>
          <w:sz w:val="19"/>
        </w:rPr>
      </w:pPr>
      <w:r>
        <w:rPr>
          <w:rFonts w:ascii="Arial" w:hAnsi="Arial"/>
          <w:sz w:val="19"/>
        </w:rPr>
        <w:t xml:space="preserve">In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If the partner is a corporation, the capital gains will be subject to corporate income tax plus solidarity surcharge (see above “Corporations”).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If the partner is a sole proprietor (individual), the capital gains are subject to the partial income rule (see above “Sole Proprietors”). </w:t>
            </w:r>
          </w:p>
        </w:tc>
      </w:tr>
    </w:tbl>
    <w:p>
      <w:pPr>
        <w:pStyle w:val="TextBody"/>
        <w:bidi w:val="0"/>
        <w:spacing w:before="180" w:after="0"/>
        <w:jc w:val="left"/>
        <w:rPr>
          <w:rFonts w:ascii="Arial" w:hAnsi="Arial"/>
          <w:sz w:val="19"/>
        </w:rPr>
      </w:pPr>
      <w:r>
        <w:rPr>
          <w:rFonts w:ascii="Arial" w:hAnsi="Arial"/>
          <w:sz w:val="19"/>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 private individual, the trade tax paid at the level of the partnership is credited against the partner’s personal income tax liability at up to 4.0 times of the trade tax measurement amount (</w:t>
      </w:r>
      <w:r>
        <w:rPr>
          <w:rFonts w:ascii="Arial" w:hAnsi="Arial"/>
          <w:i/>
          <w:sz w:val="19"/>
        </w:rPr>
        <w:t>Gewerbesteuer-Messbetrag</w:t>
      </w:r>
      <w:r>
        <w:rPr>
          <w:rFonts w:ascii="Arial" w:hAnsi="Arial"/>
          <w:sz w:val="19"/>
        </w:rPr>
        <w:t xml:space="preserve">) depending on the applicable municipal trade tax levy rate and the personal tax situation. </w:t>
      </w:r>
    </w:p>
    <w:p>
      <w:pPr>
        <w:pStyle w:val="TextBody"/>
        <w:bidi w:val="0"/>
        <w:spacing w:before="80" w:after="0"/>
        <w:jc w:val="left"/>
        <w:rPr>
          <w:rFonts w:ascii="Arial" w:hAnsi="Arial"/>
          <w:i/>
          <w:sz w:val="19"/>
        </w:rPr>
      </w:pPr>
      <w:r>
        <w:rPr>
          <w:rFonts w:ascii="Arial" w:hAnsi="Arial"/>
          <w:i/>
          <w:sz w:val="19"/>
        </w:rPr>
        <w:t xml:space="preserve">Taxation of Capital Gains Realized by Shareholders Tax Resident Outside of Germany </w:t>
      </w:r>
    </w:p>
    <w:p>
      <w:pPr>
        <w:pStyle w:val="TextBody"/>
        <w:bidi w:val="0"/>
        <w:spacing w:before="40" w:after="0"/>
        <w:jc w:val="left"/>
        <w:rPr>
          <w:rFonts w:ascii="Arial" w:hAnsi="Arial"/>
          <w:sz w:val="19"/>
        </w:rPr>
      </w:pPr>
      <w:r>
        <w:rPr>
          <w:rFonts w:ascii="Arial" w:hAnsi="Arial"/>
          <w:sz w:val="19"/>
        </w:rPr>
        <w:t xml:space="preserve">Capital gains realized on the disposal of the ordinary shares by a shareholder tax resident outside of Germany are subject to German taxation provided that (i) the company’s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except for the cases referred to in (i) above, most double tax treaties concluded by Germany provide for a full exemption from German taxation except that the company is considered a real estate holding entity for treaty purposes. Further, the participation exemption applies in full resulting in a tax exemption of 100% (i.e., no deemed non-tax-deductible business expenses).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Inheritance and Gift Tax </w:t>
      </w:r>
    </w:p>
    <w:p>
      <w:pPr>
        <w:pStyle w:val="TextBody"/>
        <w:bidi w:val="0"/>
        <w:spacing w:before="40" w:after="0"/>
        <w:jc w:val="left"/>
        <w:rPr>
          <w:rFonts w:ascii="Arial" w:hAnsi="Arial"/>
          <w:sz w:val="19"/>
        </w:rPr>
      </w:pPr>
      <w:r>
        <w:rPr>
          <w:rFonts w:ascii="Arial" w:hAnsi="Arial"/>
          <w:sz w:val="19"/>
        </w:rPr>
        <w:t>The transfer of Immatics’ ordinary shares to another person by way of succession or donation is subject to German inheritance and gift tax (</w:t>
      </w:r>
      <w:r>
        <w:rPr>
          <w:rFonts w:ascii="Arial" w:hAnsi="Arial"/>
          <w:i/>
          <w:sz w:val="19"/>
        </w:rPr>
        <w:t>Erbschaft- und Schenkungsteuer</w:t>
      </w:r>
      <w:r>
        <w:rPr>
          <w:rFonts w:ascii="Arial" w:hAnsi="Arial"/>
          <w:sz w:val="19"/>
        </w:rPr>
        <w:t xml:space="preserv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(irrespective of the personal circumstances) the ordinary shares are held by the decedent or donor as business assets for which a permanent establishment in Germany is maintained or a permanent representative is appointed in Germany;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(irrespective of the personal circumstances) at least 10% of the ordinary shares are held directly or indirectly by the decedent or person making the gift, himself or together with a related party in terms of Section 1, paragraph 2, Foreign Tax Act. </w:t>
            </w:r>
          </w:p>
        </w:tc>
      </w:tr>
    </w:tbl>
    <w:p>
      <w:pPr>
        <w:pStyle w:val="TextBody"/>
        <w:bidi w:val="0"/>
        <w:spacing w:before="180" w:after="0"/>
        <w:jc w:val="left"/>
        <w:rPr>
          <w:rFonts w:ascii="Arial" w:hAnsi="Arial"/>
          <w:sz w:val="19"/>
        </w:rPr>
      </w:pPr>
      <w:r>
        <w:rPr>
          <w:rFonts w:ascii="Arial" w:hAnsi="Arial"/>
          <w:sz w:val="19"/>
        </w:rPr>
        <w:t xml:space="preserve">Special regulations apply to qualified German citizens who maintain neither a residence nor their domicile in Germany but in a low tax jurisdiction and to former German citizens, also resulting in inheritance and gift tax. The few double tax treaties on inheritance and gift tax which Germany has entered into provide that German inheritance and gift tax is levied only in case of (i) and, with certain restrictions, in case of (ii). </w:t>
      </w:r>
    </w:p>
    <w:p>
      <w:pPr>
        <w:pStyle w:val="TextBody"/>
        <w:bidi w:val="0"/>
        <w:spacing w:before="80" w:after="0"/>
        <w:jc w:val="left"/>
        <w:rPr>
          <w:rFonts w:ascii="Arial" w:hAnsi="Arial"/>
          <w:b/>
          <w:i/>
          <w:sz w:val="19"/>
        </w:rPr>
      </w:pPr>
      <w:r>
        <w:rPr>
          <w:rFonts w:ascii="Arial" w:hAnsi="Arial"/>
          <w:b/>
          <w:i/>
          <w:sz w:val="19"/>
        </w:rPr>
        <w:t xml:space="preserve">Value Added Tax (VAT) </w:t>
      </w:r>
    </w:p>
    <w:p>
      <w:pPr>
        <w:pStyle w:val="TextBody"/>
        <w:bidi w:val="0"/>
        <w:spacing w:before="40" w:after="0"/>
        <w:jc w:val="left"/>
        <w:rPr>
          <w:rFonts w:ascii="Arial" w:hAnsi="Arial"/>
          <w:sz w:val="19"/>
        </w:rPr>
      </w:pPr>
      <w:r>
        <w:rPr>
          <w:rFonts w:ascii="Arial" w:hAnsi="Arial"/>
          <w:sz w:val="19"/>
        </w:rPr>
        <w:t>No German value added tax (</w:t>
      </w:r>
      <w:r>
        <w:rPr>
          <w:rFonts w:ascii="Arial" w:hAnsi="Arial"/>
          <w:i/>
          <w:sz w:val="19"/>
        </w:rPr>
        <w:t>Umsatzsteuer</w:t>
      </w:r>
      <w:r>
        <w:rPr>
          <w:rFonts w:ascii="Arial" w:hAnsi="Arial"/>
          <w:sz w:val="19"/>
        </w:rPr>
        <w:t xml:space="preserve">) will be payable by a shareholder in respect of any purchase, ownership and disposal of the ordinary shares except for a valid option to waive VAT exemption requiring a sale between entrepreneurs for VAT purposes. </w:t>
      </w:r>
    </w:p>
    <w:p>
      <w:pPr>
        <w:pStyle w:val="TextBody"/>
        <w:bidi w:val="0"/>
        <w:spacing w:before="80" w:after="0"/>
        <w:jc w:val="left"/>
        <w:rPr>
          <w:rFonts w:ascii="Arial" w:hAnsi="Arial"/>
          <w:b/>
          <w:i/>
          <w:sz w:val="19"/>
        </w:rPr>
      </w:pPr>
      <w:r>
        <w:rPr>
          <w:rFonts w:ascii="Arial" w:hAnsi="Arial"/>
          <w:b/>
          <w:i/>
          <w:sz w:val="19"/>
        </w:rPr>
        <w:t xml:space="preserve">Transfer Taxes </w:t>
      </w:r>
    </w:p>
    <w:p>
      <w:pPr>
        <w:pStyle w:val="TextBody"/>
        <w:bidi w:val="0"/>
        <w:spacing w:before="40" w:after="0"/>
        <w:jc w:val="left"/>
        <w:rPr>
          <w:rFonts w:ascii="Arial" w:hAnsi="Arial"/>
          <w:sz w:val="19"/>
        </w:rPr>
      </w:pPr>
      <w:r>
        <w:rPr>
          <w:rFonts w:ascii="Arial" w:hAnsi="Arial"/>
          <w:sz w:val="19"/>
        </w:rPr>
        <w:t>No German capital transfer tax (</w:t>
      </w:r>
      <w:r>
        <w:rPr>
          <w:rFonts w:ascii="Arial" w:hAnsi="Arial"/>
          <w:i/>
          <w:sz w:val="19"/>
        </w:rPr>
        <w:t>Kapitalverkehrsteuer</w:t>
      </w:r>
      <w:r>
        <w:rPr>
          <w:rFonts w:ascii="Arial" w:hAnsi="Arial"/>
          <w:sz w:val="19"/>
        </w:rPr>
        <w:t>) or stamp duty (</w:t>
      </w:r>
      <w:r>
        <w:rPr>
          <w:rFonts w:ascii="Arial" w:hAnsi="Arial"/>
          <w:i/>
          <w:sz w:val="19"/>
        </w:rPr>
        <w:t>Stempelgebühr</w:t>
      </w:r>
      <w:r>
        <w:rPr>
          <w:rFonts w:ascii="Arial" w:hAnsi="Arial"/>
          <w:sz w:val="19"/>
        </w:rPr>
        <w:t>) or similar taxes are levied when acquiring, owning or transferring the company’s ordinary shares. Net wealth tax (</w:t>
      </w:r>
      <w:r>
        <w:rPr>
          <w:rFonts w:ascii="Arial" w:hAnsi="Arial"/>
          <w:i/>
          <w:sz w:val="19"/>
        </w:rPr>
        <w:t>Vermögensteuer</w:t>
      </w:r>
      <w:r>
        <w:rPr>
          <w:rFonts w:ascii="Arial" w:hAnsi="Arial"/>
          <w:sz w:val="19"/>
        </w:rPr>
        <w:t xml:space="preserve">) is currently not levied in Germany. </w:t>
      </w:r>
    </w:p>
    <w:p>
      <w:pPr>
        <w:pStyle w:val="TextBody"/>
        <w:bidi w:val="0"/>
        <w:spacing w:before="180" w:after="0"/>
        <w:jc w:val="left"/>
        <w:rPr>
          <w:rFonts w:ascii="Arial" w:hAnsi="Arial"/>
          <w:sz w:val="19"/>
        </w:rPr>
      </w:pPr>
      <w:r>
        <w:rPr>
          <w:rFonts w:ascii="Arial" w:hAnsi="Arial"/>
          <w:sz w:val="19"/>
        </w:rPr>
        <w:t xml:space="preserve">On January 22, 2013, the Council of the European Union approved the resolution of the ministers of finance from eleven EU member states (including Germany) to introduce a financial transaction tax (“FTT”) within the framework of enhanced cooperation. On February 14, 2013, the European Commission accepted the proposal for a Council Directive implementing enhanced cooperation in the area of FTT. The plan focuses on levying a financial tax of 0.1% (0.01% for derivatives) on the purchase and sale of financial instruments. </w:t>
      </w:r>
    </w:p>
    <w:p>
      <w:pPr>
        <w:pStyle w:val="TextBody"/>
        <w:bidi w:val="0"/>
        <w:spacing w:before="180" w:after="0"/>
        <w:jc w:val="left"/>
        <w:rPr>
          <w:rFonts w:ascii="Arial" w:hAnsi="Arial"/>
          <w:sz w:val="19"/>
        </w:rPr>
      </w:pPr>
      <w:r>
        <w:rPr>
          <w:rFonts w:ascii="Arial" w:hAnsi="Arial"/>
          <w:sz w:val="19"/>
        </w:rPr>
        <w:t xml:space="preserve">A joint statement issued by ten of the eleven participating EU Member States in October 2016 reaffirmed the intention to introduce an FTT. However, at the moment not many details are available. Thus, it is not known to what extent the elements of the European Commission’s proposal outlined in the preceding paragraph will be followed in relation to the taxation of shares. The FTT proposal remains subject to negotiation between the participating EU Member States and is subject to political discussion. It may therefore be altered prior to the implementation, the timing of which remains unclear. With the EU Council’s conclusion of COVID-19 financial support and the agreement on an FTT becomes more realistic as one of the measures to fund the EU’s response to the COVID-19 pandemic. Additional EU Member States may decide to participate. If an EU-wide FTT (see above) fails, representatives of the IfW (Institute for the World Economy) intend to advocate the introduction of a comprehensive version of the tax in Germany after the COVID-19 pandemic. Prospective holders of the ordinary shares are advised to seek their own professional advice in relation to FTT.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2" w:name="supptoc149127_10"/>
      <w:bookmarkEnd w:id="12"/>
      <w:r>
        <w:rPr>
          <w:rFonts w:ascii="Arial" w:hAnsi="Arial"/>
          <w:b/>
          <w:sz w:val="20"/>
        </w:rPr>
        <w:t xml:space="preserve">UNDERWRITING </w:t>
      </w:r>
    </w:p>
    <w:p>
      <w:pPr>
        <w:pStyle w:val="TextBody"/>
        <w:bidi w:val="0"/>
        <w:spacing w:before="360" w:after="0"/>
        <w:jc w:val="left"/>
        <w:rPr>
          <w:rFonts w:ascii="Arial" w:hAnsi="Arial"/>
          <w:sz w:val="19"/>
        </w:rPr>
      </w:pPr>
      <w:r>
        <w:rPr>
          <w:rFonts w:ascii="Arial" w:hAnsi="Arial"/>
          <w:sz w:val="19"/>
        </w:rPr>
        <w:t xml:space="preserve">Subject to the terms and conditions set forth in the underwriting agreement, dated as of the date of this prospectus supplement, among us and Jefferies LLC, Jefferies GmbH, Leerink Partners LLC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ordinary shares and pre-funded warrants shown opposite its name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81"/>
        <w:gridCol w:w="143"/>
        <w:gridCol w:w="77"/>
        <w:gridCol w:w="1493"/>
        <w:gridCol w:w="60"/>
        <w:gridCol w:w="143"/>
        <w:gridCol w:w="93"/>
        <w:gridCol w:w="1552"/>
        <w:gridCol w:w="63"/>
      </w:tblGrid>
      <w:tr>
        <w:trPr/>
        <w:tc>
          <w:tcPr>
            <w:tcW w:w="658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581"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 xml:space="preserve">UNDERWRITER </w:t>
            </w:r>
          </w:p>
        </w:tc>
        <w:tc>
          <w:tcPr>
            <w:tcW w:w="143" w:type="dxa"/>
            <w:tcBorders/>
            <w:vAlign w:val="bottom"/>
          </w:tcPr>
          <w:p>
            <w:pPr>
              <w:pStyle w:val="TableContents"/>
              <w:bidi w:val="0"/>
              <w:spacing w:before="0" w:after="283"/>
              <w:jc w:val="left"/>
              <w:rPr/>
            </w:pPr>
            <w:r>
              <w:rPr/>
              <w:t>  </w:t>
            </w:r>
          </w:p>
        </w:tc>
        <w:tc>
          <w:tcPr>
            <w:tcW w:w="15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ORDINARY</w:t>
              <w:br/>
              <w:t xml:space="preserve">SHARES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64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6581" w:type="dxa"/>
            <w:tcBorders/>
            <w:shd w:fill="CCEEFF" w:val="clear"/>
          </w:tcPr>
          <w:p>
            <w:pPr>
              <w:pStyle w:val="TableContents"/>
              <w:bidi w:val="0"/>
              <w:spacing w:before="0" w:after="0"/>
              <w:jc w:val="left"/>
              <w:rPr>
                <w:rFonts w:ascii="Arial" w:hAnsi="Arial"/>
                <w:sz w:val="19"/>
              </w:rPr>
            </w:pPr>
            <w:r>
              <w:rPr>
                <w:rFonts w:ascii="Arial" w:hAnsi="Arial"/>
                <w:sz w:val="19"/>
              </w:rPr>
              <w:t>Jefferies LLC</w:t>
            </w:r>
          </w:p>
        </w:tc>
        <w:tc>
          <w:tcPr>
            <w:tcW w:w="14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5,113,637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2" w:type="dxa"/>
            <w:tcBorders/>
            <w:shd w:fill="CCEEFF" w:val="clear"/>
            <w:vAlign w:val="bottom"/>
          </w:tcPr>
          <w:p>
            <w:pPr>
              <w:pStyle w:val="TableContents"/>
              <w:bidi w:val="0"/>
              <w:spacing w:before="0" w:after="283"/>
              <w:jc w:val="right"/>
              <w:rPr/>
            </w:pPr>
            <w:r>
              <w:rPr/>
              <w:t>1,704,545</w:t>
            </w:r>
          </w:p>
        </w:tc>
        <w:tc>
          <w:tcPr>
            <w:tcW w:w="63" w:type="dxa"/>
            <w:tcBorders/>
            <w:shd w:fill="CCEEFF" w:val="clear"/>
            <w:vAlign w:val="bottom"/>
          </w:tcPr>
          <w:p>
            <w:pPr>
              <w:pStyle w:val="TableContents"/>
              <w:bidi w:val="0"/>
              <w:spacing w:before="0" w:after="283"/>
              <w:jc w:val="left"/>
              <w:rPr/>
            </w:pPr>
            <w:r>
              <w:rPr/>
              <w:t> </w:t>
            </w:r>
          </w:p>
        </w:tc>
      </w:tr>
      <w:tr>
        <w:trPr/>
        <w:tc>
          <w:tcPr>
            <w:tcW w:w="6581" w:type="dxa"/>
            <w:tcBorders/>
          </w:tcPr>
          <w:p>
            <w:pPr>
              <w:pStyle w:val="TableContents"/>
              <w:bidi w:val="0"/>
              <w:spacing w:before="0" w:after="0"/>
              <w:jc w:val="left"/>
              <w:rPr>
                <w:rFonts w:ascii="Arial" w:hAnsi="Arial"/>
                <w:sz w:val="19"/>
              </w:rPr>
            </w:pPr>
            <w:r>
              <w:rPr>
                <w:rFonts w:ascii="Arial" w:hAnsi="Arial"/>
                <w:sz w:val="19"/>
              </w:rPr>
              <w:t>Leerink Partners LLC</w:t>
            </w:r>
          </w:p>
        </w:tc>
        <w:tc>
          <w:tcPr>
            <w:tcW w:w="14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4,595,800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right"/>
              <w:rPr/>
            </w:pPr>
            <w:r>
              <w:rPr/>
              <w:t>1,531,933</w:t>
            </w:r>
          </w:p>
        </w:tc>
        <w:tc>
          <w:tcPr>
            <w:tcW w:w="63" w:type="dxa"/>
            <w:tcBorders/>
            <w:vAlign w:val="bottom"/>
          </w:tcPr>
          <w:p>
            <w:pPr>
              <w:pStyle w:val="TableContents"/>
              <w:bidi w:val="0"/>
              <w:spacing w:before="0" w:after="283"/>
              <w:jc w:val="left"/>
              <w:rPr/>
            </w:pPr>
            <w:r>
              <w:rPr/>
              <w:t> </w:t>
            </w:r>
          </w:p>
        </w:tc>
      </w:tr>
      <w:tr>
        <w:trPr/>
        <w:tc>
          <w:tcPr>
            <w:tcW w:w="6581" w:type="dxa"/>
            <w:tcBorders/>
            <w:shd w:fill="CCEEFF" w:val="clear"/>
          </w:tcPr>
          <w:p>
            <w:pPr>
              <w:pStyle w:val="TableContents"/>
              <w:bidi w:val="0"/>
              <w:spacing w:before="0" w:after="0"/>
              <w:jc w:val="left"/>
              <w:rPr>
                <w:rFonts w:ascii="Arial" w:hAnsi="Arial"/>
                <w:sz w:val="19"/>
              </w:rPr>
            </w:pPr>
            <w:r>
              <w:rPr>
                <w:rFonts w:ascii="Arial" w:hAnsi="Arial"/>
                <w:sz w:val="19"/>
              </w:rPr>
              <w:t>Cantor Fitzgerald &amp; Co.</w:t>
            </w:r>
          </w:p>
        </w:tc>
        <w:tc>
          <w:tcPr>
            <w:tcW w:w="14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3,236,479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52" w:type="dxa"/>
            <w:tcBorders/>
            <w:shd w:fill="CCEEFF" w:val="clear"/>
            <w:vAlign w:val="bottom"/>
          </w:tcPr>
          <w:p>
            <w:pPr>
              <w:pStyle w:val="TableContents"/>
              <w:bidi w:val="0"/>
              <w:spacing w:before="0" w:after="283"/>
              <w:jc w:val="right"/>
              <w:rPr/>
            </w:pPr>
            <w:r>
              <w:rPr/>
              <w:t>1,078,826</w:t>
            </w:r>
          </w:p>
        </w:tc>
        <w:tc>
          <w:tcPr>
            <w:tcW w:w="63" w:type="dxa"/>
            <w:tcBorders/>
            <w:shd w:fill="CCEEFF" w:val="clear"/>
            <w:vAlign w:val="bottom"/>
          </w:tcPr>
          <w:p>
            <w:pPr>
              <w:pStyle w:val="TableContents"/>
              <w:bidi w:val="0"/>
              <w:spacing w:before="0" w:after="283"/>
              <w:jc w:val="left"/>
              <w:rPr/>
            </w:pPr>
            <w:r>
              <w:rPr/>
              <w:t> </w:t>
            </w:r>
          </w:p>
        </w:tc>
      </w:tr>
      <w:tr>
        <w:trPr/>
        <w:tc>
          <w:tcPr>
            <w:tcW w:w="658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55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81" w:type="dxa"/>
            <w:tcBorders/>
          </w:tcPr>
          <w:p>
            <w:pPr>
              <w:pStyle w:val="TableContents"/>
              <w:bidi w:val="0"/>
              <w:spacing w:before="0" w:after="0"/>
              <w:jc w:val="left"/>
              <w:rPr>
                <w:rFonts w:ascii="Arial" w:hAnsi="Arial"/>
                <w:sz w:val="19"/>
              </w:rPr>
            </w:pPr>
            <w:r>
              <w:rPr>
                <w:rFonts w:ascii="Arial" w:hAnsi="Arial"/>
                <w:sz w:val="19"/>
              </w:rPr>
              <w:t>Total</w:t>
            </w:r>
          </w:p>
        </w:tc>
        <w:tc>
          <w:tcPr>
            <w:tcW w:w="14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12,945,916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right"/>
              <w:rPr/>
            </w:pPr>
            <w:r>
              <w:rPr/>
              <w:t>4,315,304</w:t>
            </w:r>
          </w:p>
        </w:tc>
        <w:tc>
          <w:tcPr>
            <w:tcW w:w="63" w:type="dxa"/>
            <w:tcBorders/>
            <w:vAlign w:val="bottom"/>
          </w:tcPr>
          <w:p>
            <w:pPr>
              <w:pStyle w:val="TableContents"/>
              <w:bidi w:val="0"/>
              <w:spacing w:before="0" w:after="283"/>
              <w:jc w:val="left"/>
              <w:rPr/>
            </w:pPr>
            <w:r>
              <w:rPr/>
              <w:t> </w:t>
            </w:r>
          </w:p>
        </w:tc>
      </w:tr>
      <w:tr>
        <w:trPr/>
        <w:tc>
          <w:tcPr>
            <w:tcW w:w="6581"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55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and pre-funded warrants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180" w:after="0"/>
        <w:jc w:val="left"/>
        <w:rPr>
          <w:rFonts w:ascii="Arial" w:hAnsi="Arial"/>
          <w:sz w:val="19"/>
        </w:rPr>
      </w:pPr>
      <w:r>
        <w:rPr>
          <w:rFonts w:ascii="Arial" w:hAnsi="Arial"/>
          <w:sz w:val="19"/>
        </w:rPr>
        <w:t xml:space="preserve">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 </w:t>
      </w:r>
    </w:p>
    <w:p>
      <w:pPr>
        <w:pStyle w:val="TextBody"/>
        <w:bidi w:val="0"/>
        <w:spacing w:before="180" w:after="0"/>
        <w:jc w:val="left"/>
        <w:rPr>
          <w:rFonts w:ascii="Arial" w:hAnsi="Arial"/>
          <w:sz w:val="19"/>
        </w:rPr>
      </w:pPr>
      <w:r>
        <w:rPr>
          <w:rFonts w:ascii="Arial" w:hAnsi="Arial"/>
          <w:sz w:val="19"/>
        </w:rPr>
        <w:t xml:space="preserve">The underwriters are offering the ordinary shares and pre-funded warrants subject to their acceptance of the ordinary shares and pre-funded warrants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w:t>
      </w:r>
    </w:p>
    <w:p>
      <w:pPr>
        <w:pStyle w:val="TextBody"/>
        <w:bidi w:val="0"/>
        <w:spacing w:before="240" w:after="0"/>
        <w:jc w:val="left"/>
        <w:rPr>
          <w:rFonts w:ascii="Arial" w:hAnsi="Arial"/>
          <w:b/>
          <w:sz w:val="20"/>
        </w:rPr>
      </w:pPr>
      <w:r>
        <w:rPr>
          <w:rFonts w:ascii="Arial" w:hAnsi="Arial"/>
          <w:b/>
          <w:sz w:val="20"/>
        </w:rPr>
        <w:t xml:space="preserve">Option to Purchase Additional Ordinary Shares </w:t>
      </w:r>
    </w:p>
    <w:p>
      <w:pPr>
        <w:pStyle w:val="TextBody"/>
        <w:bidi w:val="0"/>
        <w:spacing w:before="80" w:after="0"/>
        <w:jc w:val="left"/>
        <w:rPr>
          <w:rFonts w:ascii="Arial" w:hAnsi="Arial"/>
          <w:sz w:val="19"/>
        </w:rPr>
      </w:pPr>
      <w:r>
        <w:rPr>
          <w:rFonts w:ascii="Arial" w:hAnsi="Arial"/>
          <w:sz w:val="19"/>
        </w:rPr>
        <w:t xml:space="preserve">We have granted to the underwriters an option, exercisable for 30 days from the date of this prospectus supplement, to purchase up to an aggregate of 2,589,184 ordinary shares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w:t>
      </w:r>
    </w:p>
    <w:p>
      <w:pPr>
        <w:pStyle w:val="TextBody"/>
        <w:bidi w:val="0"/>
        <w:spacing w:before="240" w:after="0"/>
        <w:jc w:val="left"/>
        <w:rPr>
          <w:rFonts w:ascii="Arial" w:hAnsi="Arial"/>
          <w:b/>
          <w:sz w:val="20"/>
        </w:rPr>
      </w:pPr>
      <w:r>
        <w:rPr>
          <w:rFonts w:ascii="Arial" w:hAnsi="Arial"/>
          <w:b/>
          <w:sz w:val="20"/>
        </w:rPr>
        <w:t xml:space="preserve">Commission and Expenses </w:t>
      </w:r>
    </w:p>
    <w:p>
      <w:pPr>
        <w:pStyle w:val="TextBody"/>
        <w:bidi w:val="0"/>
        <w:spacing w:before="80" w:after="0"/>
        <w:jc w:val="left"/>
        <w:rPr>
          <w:rFonts w:ascii="Arial" w:hAnsi="Arial"/>
          <w:sz w:val="19"/>
        </w:rPr>
      </w:pPr>
      <w:r>
        <w:rPr>
          <w:rFonts w:ascii="Arial" w:hAnsi="Arial"/>
          <w:sz w:val="19"/>
        </w:rPr>
        <w:t xml:space="preserve">The underwriters have advised us that they propose to offer the ordinary shares and pre-funded warrants to the public at the public offering prices set forth on the cover page of this prospectus and to certain dealers, which may include the underwriters, at that price less a concession not in excess of $0.31284 per ordinary share or pre-funded warrant. After the offering, the public offering price and concession to dealers may be reduced by the representatives. No such reduction will change the amount of proceeds to be received by us as set forth on the cover page of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shows the public offering prices, and the underwriting discounts and commissions that we are to pay the underwriters and the proceeds, before expenses, to us in connection with the offering. Such amount are shown assuming both no exercise and full exercise of the underwriters’ option to purchase additional shares.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6"/>
        <w:gridCol w:w="192"/>
        <w:gridCol w:w="244"/>
        <w:gridCol w:w="1224"/>
        <w:gridCol w:w="60"/>
        <w:gridCol w:w="192"/>
        <w:gridCol w:w="277"/>
        <w:gridCol w:w="1408"/>
        <w:gridCol w:w="60"/>
        <w:gridCol w:w="191"/>
        <w:gridCol w:w="153"/>
        <w:gridCol w:w="1675"/>
        <w:gridCol w:w="60"/>
        <w:gridCol w:w="192"/>
        <w:gridCol w:w="149"/>
        <w:gridCol w:w="1715"/>
        <w:gridCol w:w="67"/>
      </w:tblGrid>
      <w:tr>
        <w:trPr/>
        <w:tc>
          <w:tcPr>
            <w:tcW w:w="2346"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3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94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34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6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82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 OPTION</w:t>
              <w:br/>
              <w:t>TO PURCHASE</w:t>
              <w:br/>
              <w:t>ADDITIONAL</w:t>
              <w:br/>
              <w:t>SHARES</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86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 OPTION</w:t>
              <w:br/>
              <w:t>TO PURCHASE</w:t>
              <w:br/>
              <w:t>ADDITIONAL</w:t>
              <w:br/>
              <w:t>SHARES</w:t>
            </w:r>
          </w:p>
        </w:tc>
        <w:tc>
          <w:tcPr>
            <w:tcW w:w="67" w:type="dxa"/>
            <w:tcBorders/>
            <w:vAlign w:val="bottom"/>
          </w:tcPr>
          <w:p>
            <w:pPr>
              <w:pStyle w:val="TableContents"/>
              <w:bidi w:val="0"/>
              <w:spacing w:before="0" w:after="283"/>
              <w:jc w:val="left"/>
              <w:rPr/>
            </w:pPr>
            <w:r>
              <w:rPr/>
              <w:t> </w:t>
            </w:r>
          </w:p>
        </w:tc>
      </w:tr>
      <w:tr>
        <w:trPr/>
        <w:tc>
          <w:tcPr>
            <w:tcW w:w="2346" w:type="dxa"/>
            <w:tcBorders/>
            <w:shd w:fill="CCEEFF" w:val="clear"/>
          </w:tcPr>
          <w:p>
            <w:pPr>
              <w:pStyle w:val="TableContents"/>
              <w:bidi w:val="0"/>
              <w:spacing w:before="0" w:after="0"/>
              <w:jc w:val="left"/>
              <w:rPr>
                <w:rFonts w:ascii="Arial" w:hAnsi="Arial"/>
                <w:sz w:val="19"/>
              </w:rPr>
            </w:pPr>
            <w:r>
              <w:rPr>
                <w:rFonts w:ascii="Arial" w:hAnsi="Arial"/>
                <w:sz w:val="19"/>
              </w:rPr>
              <w:t>Public offering price</w:t>
            </w:r>
          </w:p>
        </w:tc>
        <w:tc>
          <w:tcPr>
            <w:tcW w:w="19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8.6900</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408" w:type="dxa"/>
            <w:tcBorders/>
            <w:shd w:fill="CCEEFF" w:val="clear"/>
            <w:vAlign w:val="bottom"/>
          </w:tcPr>
          <w:p>
            <w:pPr>
              <w:pStyle w:val="TableContents"/>
              <w:bidi w:val="0"/>
              <w:spacing w:before="0" w:after="283"/>
              <w:jc w:val="right"/>
              <w:rPr/>
            </w:pPr>
            <w:r>
              <w:rPr/>
              <w:t>8.6890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675" w:type="dxa"/>
            <w:tcBorders/>
            <w:shd w:fill="CCEEFF" w:val="clear"/>
            <w:vAlign w:val="bottom"/>
          </w:tcPr>
          <w:p>
            <w:pPr>
              <w:pStyle w:val="TableContents"/>
              <w:bidi w:val="0"/>
              <w:spacing w:before="0" w:after="283"/>
              <w:jc w:val="right"/>
              <w:rPr/>
            </w:pPr>
            <w:r>
              <w:rPr/>
              <w:t>149,995,686.50</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715" w:type="dxa"/>
            <w:tcBorders/>
            <w:shd w:fill="CCEEFF" w:val="clear"/>
            <w:vAlign w:val="bottom"/>
          </w:tcPr>
          <w:p>
            <w:pPr>
              <w:pStyle w:val="TableContents"/>
              <w:bidi w:val="0"/>
              <w:spacing w:before="0" w:after="283"/>
              <w:jc w:val="right"/>
              <w:rPr/>
            </w:pPr>
            <w:r>
              <w:rPr/>
              <w:t>172,495,695.46</w:t>
            </w:r>
          </w:p>
        </w:tc>
        <w:tc>
          <w:tcPr>
            <w:tcW w:w="67" w:type="dxa"/>
            <w:tcBorders/>
            <w:shd w:fill="CCEEFF" w:val="clear"/>
            <w:vAlign w:val="bottom"/>
          </w:tcPr>
          <w:p>
            <w:pPr>
              <w:pStyle w:val="TableContents"/>
              <w:bidi w:val="0"/>
              <w:spacing w:before="0" w:after="283"/>
              <w:jc w:val="left"/>
              <w:rPr/>
            </w:pPr>
            <w:r>
              <w:rPr/>
              <w:t> </w:t>
            </w:r>
          </w:p>
        </w:tc>
      </w:tr>
      <w:tr>
        <w:trPr/>
        <w:tc>
          <w:tcPr>
            <w:tcW w:w="2346" w:type="dxa"/>
            <w:tcBorders/>
          </w:tcPr>
          <w:p>
            <w:pPr>
              <w:pStyle w:val="TableContents"/>
              <w:bidi w:val="0"/>
              <w:spacing w:before="0" w:after="0"/>
              <w:jc w:val="left"/>
              <w:rPr>
                <w:rFonts w:ascii="Arial" w:hAnsi="Arial"/>
                <w:sz w:val="19"/>
              </w:rPr>
            </w:pPr>
            <w:r>
              <w:rPr>
                <w:rFonts w:ascii="Arial" w:hAnsi="Arial"/>
                <w:sz w:val="19"/>
              </w:rPr>
              <w:t>Underwriting discounts and commissions paid by us</w:t>
            </w:r>
          </w:p>
        </w:tc>
        <w:tc>
          <w:tcPr>
            <w:tcW w:w="19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0.5214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1408" w:type="dxa"/>
            <w:tcBorders/>
            <w:vAlign w:val="bottom"/>
          </w:tcPr>
          <w:p>
            <w:pPr>
              <w:pStyle w:val="TableContents"/>
              <w:bidi w:val="0"/>
              <w:spacing w:before="0" w:after="283"/>
              <w:jc w:val="right"/>
              <w:rPr/>
            </w:pPr>
            <w:r>
              <w:rPr/>
              <w:t>0.5214</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675" w:type="dxa"/>
            <w:tcBorders/>
            <w:vAlign w:val="bottom"/>
          </w:tcPr>
          <w:p>
            <w:pPr>
              <w:pStyle w:val="TableContents"/>
              <w:bidi w:val="0"/>
              <w:spacing w:before="0" w:after="283"/>
              <w:jc w:val="right"/>
              <w:rPr/>
            </w:pPr>
            <w:r>
              <w:rPr/>
              <w:t>9,000,000.11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715" w:type="dxa"/>
            <w:tcBorders/>
            <w:vAlign w:val="bottom"/>
          </w:tcPr>
          <w:p>
            <w:pPr>
              <w:pStyle w:val="TableContents"/>
              <w:bidi w:val="0"/>
              <w:spacing w:before="0" w:after="283"/>
              <w:jc w:val="right"/>
              <w:rPr/>
            </w:pPr>
            <w:r>
              <w:rPr/>
              <w:t>10,350,000.65</w:t>
            </w:r>
          </w:p>
        </w:tc>
        <w:tc>
          <w:tcPr>
            <w:tcW w:w="67" w:type="dxa"/>
            <w:tcBorders/>
            <w:vAlign w:val="bottom"/>
          </w:tcPr>
          <w:p>
            <w:pPr>
              <w:pStyle w:val="TableContents"/>
              <w:bidi w:val="0"/>
              <w:spacing w:before="0" w:after="283"/>
              <w:jc w:val="left"/>
              <w:rPr/>
            </w:pPr>
            <w:r>
              <w:rPr/>
              <w:t> </w:t>
            </w:r>
          </w:p>
        </w:tc>
      </w:tr>
      <w:tr>
        <w:trPr/>
        <w:tc>
          <w:tcPr>
            <w:tcW w:w="2346"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6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71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346" w:type="dxa"/>
            <w:tcBorders/>
            <w:shd w:fill="CCEEFF" w:val="clear"/>
          </w:tcPr>
          <w:p>
            <w:pPr>
              <w:pStyle w:val="TableContents"/>
              <w:bidi w:val="0"/>
              <w:spacing w:before="0" w:after="0"/>
              <w:jc w:val="left"/>
              <w:rPr>
                <w:rFonts w:ascii="Arial" w:hAnsi="Arial"/>
                <w:sz w:val="19"/>
              </w:rPr>
            </w:pPr>
            <w:r>
              <w:rPr>
                <w:rFonts w:ascii="Arial" w:hAnsi="Arial"/>
                <w:sz w:val="19"/>
              </w:rPr>
              <w:t>Proceeds to us, before expenses</w:t>
            </w:r>
          </w:p>
        </w:tc>
        <w:tc>
          <w:tcPr>
            <w:tcW w:w="19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8.1686</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408" w:type="dxa"/>
            <w:tcBorders/>
            <w:shd w:fill="CCEEFF" w:val="clear"/>
            <w:vAlign w:val="bottom"/>
          </w:tcPr>
          <w:p>
            <w:pPr>
              <w:pStyle w:val="TableContents"/>
              <w:bidi w:val="0"/>
              <w:spacing w:before="0" w:after="283"/>
              <w:jc w:val="right"/>
              <w:rPr/>
            </w:pPr>
            <w:r>
              <w:rPr/>
              <w:t>8.1676</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675" w:type="dxa"/>
            <w:tcBorders/>
            <w:shd w:fill="CCEEFF" w:val="clear"/>
            <w:vAlign w:val="bottom"/>
          </w:tcPr>
          <w:p>
            <w:pPr>
              <w:pStyle w:val="TableContents"/>
              <w:bidi w:val="0"/>
              <w:spacing w:before="0" w:after="283"/>
              <w:jc w:val="right"/>
              <w:rPr/>
            </w:pPr>
            <w:r>
              <w:rPr/>
              <w:t>140,995,686.39</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715" w:type="dxa"/>
            <w:tcBorders/>
            <w:shd w:fill="CCEEFF" w:val="clear"/>
            <w:vAlign w:val="bottom"/>
          </w:tcPr>
          <w:p>
            <w:pPr>
              <w:pStyle w:val="TableContents"/>
              <w:bidi w:val="0"/>
              <w:spacing w:before="0" w:after="283"/>
              <w:jc w:val="right"/>
              <w:rPr/>
            </w:pPr>
            <w:r>
              <w:rPr/>
              <w:t>162,145,694.81</w:t>
            </w:r>
          </w:p>
        </w:tc>
        <w:tc>
          <w:tcPr>
            <w:tcW w:w="67" w:type="dxa"/>
            <w:tcBorders/>
            <w:shd w:fill="CCEEFF" w:val="clear"/>
            <w:vAlign w:val="bottom"/>
          </w:tcPr>
          <w:p>
            <w:pPr>
              <w:pStyle w:val="TableContents"/>
              <w:bidi w:val="0"/>
              <w:spacing w:before="0" w:after="283"/>
              <w:jc w:val="left"/>
              <w:rPr/>
            </w:pPr>
            <w:r>
              <w:rPr/>
              <w:t> </w:t>
            </w:r>
          </w:p>
        </w:tc>
      </w:tr>
      <w:tr>
        <w:trPr/>
        <w:tc>
          <w:tcPr>
            <w:tcW w:w="2346"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4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6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71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We estimate expenses payable by us in connection with this offering, other than the underwriting discounts and commissions referred to above, will be approximately $1.0 million. We have agreed to reimburse the underwriters for up to $25,000 of expenses relating to determining this offering’s compliance with the rules of the Financial Industry Regulatory Authority, Inc. (“FINRA”). In accordance with FINRA Rule 5110 these reimbursed expenses are deemed underwriting compensation for this offering. </w:t>
      </w:r>
    </w:p>
    <w:p>
      <w:pPr>
        <w:pStyle w:val="TextBody"/>
        <w:bidi w:val="0"/>
        <w:spacing w:before="240" w:after="0"/>
        <w:jc w:val="left"/>
        <w:rPr>
          <w:rFonts w:ascii="Arial" w:hAnsi="Arial"/>
          <w:b/>
          <w:sz w:val="20"/>
        </w:rPr>
      </w:pPr>
      <w:r>
        <w:rPr>
          <w:rFonts w:ascii="Arial" w:hAnsi="Arial"/>
          <w:b/>
          <w:sz w:val="20"/>
        </w:rPr>
        <w:t xml:space="preserve">Listing </w:t>
      </w:r>
    </w:p>
    <w:p>
      <w:pPr>
        <w:pStyle w:val="TextBody"/>
        <w:bidi w:val="0"/>
        <w:spacing w:before="80" w:after="0"/>
        <w:jc w:val="left"/>
        <w:rPr>
          <w:rFonts w:ascii="Arial" w:hAnsi="Arial"/>
          <w:sz w:val="19"/>
        </w:rPr>
      </w:pPr>
      <w:r>
        <w:rPr>
          <w:rFonts w:ascii="Arial" w:hAnsi="Arial"/>
          <w:sz w:val="19"/>
        </w:rPr>
        <w:t xml:space="preserve">Our ordinary shares are listed on Nasdaq under the trading symbol “IMTX”. There is no established public trading market for the pre-funded warrants and we do not intend to apply to list the pre-funded warrants on Nasdaq, any other national securities exchange or any other nationally recognized trading system. </w:t>
      </w:r>
    </w:p>
    <w:p>
      <w:pPr>
        <w:pStyle w:val="TextBody"/>
        <w:bidi w:val="0"/>
        <w:spacing w:before="240" w:after="0"/>
        <w:jc w:val="left"/>
        <w:rPr>
          <w:rFonts w:ascii="Arial" w:hAnsi="Arial"/>
          <w:b/>
          <w:sz w:val="20"/>
        </w:rPr>
      </w:pPr>
      <w:r>
        <w:rPr>
          <w:rFonts w:ascii="Arial" w:hAnsi="Arial"/>
          <w:b/>
          <w:sz w:val="20"/>
        </w:rPr>
        <w:t xml:space="preserve">Stamp Taxes </w:t>
      </w:r>
    </w:p>
    <w:p>
      <w:pPr>
        <w:pStyle w:val="TextBody"/>
        <w:bidi w:val="0"/>
        <w:spacing w:before="80" w:after="0"/>
        <w:jc w:val="left"/>
        <w:rPr>
          <w:rFonts w:ascii="Arial" w:hAnsi="Arial"/>
          <w:sz w:val="19"/>
        </w:rPr>
      </w:pPr>
      <w:r>
        <w:rPr>
          <w:rFonts w:ascii="Arial" w:hAnsi="Arial"/>
          <w:sz w:val="19"/>
        </w:rPr>
        <w:t xml:space="preserve">If you purchase the ordinary shares or pre-funded warrants offered in this prospectus, you may be required to pay stamp taxes and other charges under the laws and practices of the country of purchase, in addition to the offering price listed on the cover page of this prospectus. </w:t>
      </w:r>
    </w:p>
    <w:p>
      <w:pPr>
        <w:pStyle w:val="TextBody"/>
        <w:bidi w:val="0"/>
        <w:spacing w:before="240" w:after="0"/>
        <w:jc w:val="left"/>
        <w:rPr>
          <w:rFonts w:ascii="Arial" w:hAnsi="Arial"/>
          <w:b/>
          <w:sz w:val="20"/>
        </w:rPr>
      </w:pPr>
      <w:r>
        <w:rPr>
          <w:rFonts w:ascii="Arial" w:hAnsi="Arial"/>
          <w:b/>
          <w:sz w:val="20"/>
        </w:rPr>
        <w:t xml:space="preserve">Option to Purchase Additional Shares </w:t>
      </w:r>
    </w:p>
    <w:p>
      <w:pPr>
        <w:pStyle w:val="TextBody"/>
        <w:bidi w:val="0"/>
        <w:spacing w:before="80" w:after="0"/>
        <w:jc w:val="left"/>
        <w:rPr>
          <w:rFonts w:ascii="Arial" w:hAnsi="Arial"/>
          <w:sz w:val="19"/>
        </w:rPr>
      </w:pPr>
      <w:r>
        <w:rPr>
          <w:rFonts w:ascii="Arial" w:hAnsi="Arial"/>
          <w:sz w:val="19"/>
        </w:rPr>
        <w:t>We have granted to the underwriters an option, exercisable for 30 days from the date of this prospectus, to purchase, from time to time, in whole or in part, up to an aggregate of 2,589,184 ordinary shares from us at the public offering price per ordinary share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pStyle w:val="TextBody"/>
        <w:bidi w:val="0"/>
        <w:spacing w:before="240" w:after="0"/>
        <w:jc w:val="left"/>
        <w:rPr>
          <w:rFonts w:ascii="Arial" w:hAnsi="Arial"/>
          <w:b/>
          <w:sz w:val="20"/>
        </w:rPr>
      </w:pPr>
      <w:r>
        <w:rPr>
          <w:rFonts w:ascii="Arial" w:hAnsi="Arial"/>
          <w:b/>
          <w:sz w:val="20"/>
        </w:rPr>
        <w:t xml:space="preserve">No Sales of Similar Securities </w:t>
      </w:r>
    </w:p>
    <w:p>
      <w:pPr>
        <w:pStyle w:val="TextBody"/>
        <w:bidi w:val="0"/>
        <w:spacing w:before="80" w:after="0"/>
        <w:jc w:val="left"/>
        <w:rPr>
          <w:rFonts w:ascii="Arial" w:hAnsi="Arial"/>
          <w:sz w:val="19"/>
        </w:rPr>
      </w:pPr>
      <w:r>
        <w:rPr>
          <w:rFonts w:ascii="Arial" w:hAnsi="Arial"/>
          <w:sz w:val="19"/>
        </w:rPr>
        <w:t xml:space="preserve">We, our officers and our directors have agreed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sell, offer, contract to sell, pledge, grant any option to purchase, lend or otherwise dispose of any ordinary shares, or any options or warrants to purchase any ordinary shares, or any securities convertible into, exchangeable for or that represent the right to receive ordinary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engage in any hedging or other transaction or arrangement (including, any short sale or the purchase or sale of, or entry into, any put or call option, or combination thereof, forward, swap or any other derivative transaction or instrument) which is designed to or which reasonably could be expected to lead to or result in a sale, loan, pledge or other disposition, or transfer of any of the economic consequences of ownership, in whole or in part, directly or indirectly, of any ordinary shares or derivative instruments,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publicly announce an intention to engage in or cause any action of the foregoing for a period of 60 days after the date of this prospectus supplement without the prior written consent of the representatives.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This restriction terminates after the 60th day after the date of this prospectus and does not apply to a transfer made by a director or officer (a) as a bona fide gift, (b) by will or intestacy, (c) by operation of law, (d) if an individual, to any immediate family member, any trust for the direct or indirect benefit of such individual or their immediate family or any entity of which the individual and their immediate family are the legal and beneficial owner of all of the outstanding equity securities or similar interests, (e) in connection with the establishment of a trading plan pursuant to Rule 10b5-1 under the Exchange Act, provided that such plan does not provide for the transfer of ordinary shares or derivative instruments during the “lock-up” period described in this paragraph, (f) pursuant to any trading plan pursuant to Rule 10b5-1 under the Exchange Act that has been entered into prior to the date of this prospectus supplement, (g) in connection with the conversion, exercise or exchange of warrants to purchase ordinary shares outstanding as of the date of this prospectus supplement, (h) in connection with the exercise of options to purchase ordinary shares or other securities received pursuant to employee benefit or other compensation plans existing as of the date of this prospectus supplement, (i) if a business entity, to another business entity that is an affiliate or to any investment fund or other entity that controls or manages, or is under common control, such entity, or to such entity’s limited partners, members or shareholder, (j) pursuant to a bona fide third-party tender offer, merger, consolidation or other similar transaction that is approved by our board of directors and made to all holders of our capital stock involving a change of control, or (k) pursuant to the provisions of our policy with respect to the recoupment of incentive-based compensation, which exceptions are subject to certain other customary restrictions, or to our (i) issuance of the ordinary shares and pre-funded warrants being offered in this offering and the issuance of ordinary shares upon the exercise of such pre-funded warrants, (ii) issuance of ordinary shares upon the exercise of an option or warrant or the conversion of or exchange for a security outstanding on the date of this prospectus supplement, (iii) issuance to a third party or a group of third parties of ordinary shares or securities convertible into or exercisable or exchangeable for ordinary shares in connection with a merger, acquisition or other strategic or commercial relationship and the filing of a registration statement, prospectus or prospectus supplement for the registration of the resale of such ordinary shares, provided that the aggregate number of ordinary shares issued or issuable will not exceed 5% of the total number of issued and outstanding shares immediately following the closing of the offering, (iv) issuance of ordinary shares or options to purchase ordinary shares granted pursuant to existing employee benefit plans, (v) filing of any registration statement on Form S-8 in respect of any employee benefit plan in effect on the date of this prospectus supplement, (vi) facilitating the establishment of a trading plan pursuant to Rule 10b5-1 under the Exchange Act, provided that such plan does not provide for the transfer of ordinary shares during the “lock-up” period described in this paragraph and no public announcement or filing under the Exchange Act is required or voluntarily made in connection with such plan and (vii) filing of a registration statement, prospectus or prospectus supplement for the registration of ordinary shares issuable upon the exercise of warrants outstanding on the date of this prospectus supplement. </w:t>
      </w:r>
    </w:p>
    <w:p>
      <w:pPr>
        <w:pStyle w:val="TextBody"/>
        <w:bidi w:val="0"/>
        <w:spacing w:before="180" w:after="0"/>
        <w:jc w:val="left"/>
        <w:rPr>
          <w:rFonts w:ascii="Arial" w:hAnsi="Arial"/>
          <w:sz w:val="19"/>
        </w:rPr>
      </w:pPr>
      <w:r>
        <w:rPr>
          <w:rFonts w:ascii="Arial" w:hAnsi="Arial"/>
          <w:sz w:val="19"/>
        </w:rPr>
        <w:t xml:space="preserve">The representatives may, in their sole discretion and at any time or from time to time before the termination of the 60-day period, release all or any portion of the securities subject to lock-up agreements. There are no existing agreements between the underwriters and any of our directors or officers who will execute a lock-up agreement, providing consent to the sale of shares prior to the expiration of the lock-up period. </w:t>
      </w:r>
    </w:p>
    <w:p>
      <w:pPr>
        <w:pStyle w:val="TextBody"/>
        <w:bidi w:val="0"/>
        <w:spacing w:before="240" w:after="0"/>
        <w:jc w:val="left"/>
        <w:rPr>
          <w:rFonts w:ascii="Arial" w:hAnsi="Arial"/>
          <w:b/>
          <w:sz w:val="20"/>
        </w:rPr>
      </w:pPr>
      <w:r>
        <w:rPr>
          <w:rFonts w:ascii="Arial" w:hAnsi="Arial"/>
          <w:b/>
          <w:sz w:val="20"/>
        </w:rPr>
        <w:t xml:space="preserve">Stabilization </w:t>
      </w:r>
    </w:p>
    <w:p>
      <w:pPr>
        <w:pStyle w:val="TextBody"/>
        <w:bidi w:val="0"/>
        <w:spacing w:before="80" w:after="0"/>
        <w:jc w:val="left"/>
        <w:rPr>
          <w:rFonts w:ascii="Arial" w:hAnsi="Arial"/>
          <w:sz w:val="19"/>
        </w:rPr>
      </w:pPr>
      <w:r>
        <w:rPr>
          <w:rFonts w:ascii="Arial" w:hAnsi="Arial"/>
          <w:sz w:val="19"/>
        </w:rPr>
        <w:t xml:space="preserve">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Short sales involve the sale by an underwriter of a greater number of shares than it is required to purchase in this offering. The underwriters must close out any such short position by purchasing shares in the open market. </w:t>
      </w:r>
    </w:p>
    <w:p>
      <w:pPr>
        <w:pStyle w:val="TextBody"/>
        <w:bidi w:val="0"/>
        <w:spacing w:before="180" w:after="0"/>
        <w:jc w:val="left"/>
        <w:rPr>
          <w:rFonts w:ascii="Arial" w:hAnsi="Arial"/>
          <w:sz w:val="19"/>
        </w:rPr>
      </w:pPr>
      <w:r>
        <w:rPr>
          <w:rFonts w:ascii="Arial" w:hAnsi="Arial"/>
          <w:sz w:val="19"/>
        </w:rPr>
        <w:t xml:space="preserve">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 </w:t>
      </w:r>
    </w:p>
    <w:p>
      <w:pPr>
        <w:pStyle w:val="TextBody"/>
        <w:bidi w:val="0"/>
        <w:spacing w:before="180" w:after="0"/>
        <w:jc w:val="left"/>
        <w:rPr>
          <w:rFonts w:ascii="Arial" w:hAnsi="Arial"/>
          <w:sz w:val="19"/>
        </w:rPr>
      </w:pPr>
      <w:r>
        <w:rPr>
          <w:rFonts w:ascii="Arial" w:hAnsi="Arial"/>
          <w:sz w:val="19"/>
        </w:rPr>
        <w:t xml:space="preserve">Neither we, nor any of the underwriters make any representation or prediction as to the direction or magnitude of any effect that the transactions described above may have on the price of the ordinary shares. The underwriters are not obligated to engage in these activities and, if commenced, any of the activities may be discontinued at any time. </w:t>
      </w:r>
    </w:p>
    <w:p>
      <w:pPr>
        <w:pStyle w:val="TextBody"/>
        <w:bidi w:val="0"/>
        <w:spacing w:before="180" w:after="0"/>
        <w:jc w:val="left"/>
        <w:rPr>
          <w:rFonts w:ascii="Arial" w:hAnsi="Arial"/>
          <w:sz w:val="19"/>
        </w:rPr>
      </w:pPr>
      <w:r>
        <w:rPr>
          <w:rFonts w:ascii="Arial" w:hAnsi="Arial"/>
          <w:sz w:val="19"/>
        </w:rPr>
        <w:t xml:space="preserve">The underwriters may also engage in passive market making transactions in our ordinary shares on the Nasdaq Capital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240" w:after="0"/>
        <w:jc w:val="left"/>
        <w:rPr>
          <w:rFonts w:ascii="Arial" w:hAnsi="Arial"/>
          <w:b/>
          <w:sz w:val="20"/>
        </w:rPr>
      </w:pPr>
      <w:r>
        <w:rPr>
          <w:rFonts w:ascii="Arial" w:hAnsi="Arial"/>
          <w:b/>
          <w:sz w:val="20"/>
        </w:rPr>
        <w:t xml:space="preserve">Electronic Distribution </w:t>
      </w:r>
    </w:p>
    <w:p>
      <w:pPr>
        <w:pStyle w:val="TextBody"/>
        <w:bidi w:val="0"/>
        <w:spacing w:before="80" w:after="0"/>
        <w:jc w:val="left"/>
        <w:rPr>
          <w:rFonts w:ascii="Arial" w:hAnsi="Arial"/>
          <w:sz w:val="19"/>
        </w:rPr>
      </w:pPr>
      <w:r>
        <w:rPr>
          <w:rFonts w:ascii="Arial" w:hAnsi="Arial"/>
          <w:sz w:val="19"/>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240" w:after="0"/>
        <w:jc w:val="left"/>
        <w:rPr>
          <w:rFonts w:ascii="Arial" w:hAnsi="Arial"/>
          <w:b/>
          <w:sz w:val="20"/>
        </w:rPr>
      </w:pPr>
      <w:r>
        <w:rPr>
          <w:rFonts w:ascii="Arial" w:hAnsi="Arial"/>
          <w:b/>
          <w:sz w:val="20"/>
        </w:rPr>
        <w:t xml:space="preserve">Other Activities and Relationships </w:t>
      </w:r>
    </w:p>
    <w:p>
      <w:pPr>
        <w:pStyle w:val="TextBody"/>
        <w:bidi w:val="0"/>
        <w:spacing w:before="80" w:after="0"/>
        <w:jc w:val="left"/>
        <w:rPr>
          <w:rFonts w:ascii="Arial" w:hAnsi="Arial"/>
          <w:sz w:val="19"/>
        </w:rPr>
      </w:pPr>
      <w:r>
        <w:rPr>
          <w:rFonts w:ascii="Arial" w:hAnsi="Arial"/>
          <w:sz w:val="19"/>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we are party to a sales agreement with Leerink Partners LLC, acting as sales agent, pursuant to which we may issue and sell, from time to time, our ordinary shares. </w:t>
      </w:r>
    </w:p>
    <w:p>
      <w:pPr>
        <w:pStyle w:val="TextBody"/>
        <w:bidi w:val="0"/>
        <w:spacing w:before="180" w:after="0"/>
        <w:jc w:val="left"/>
        <w:rPr>
          <w:rFonts w:ascii="Arial" w:hAnsi="Arial"/>
          <w:sz w:val="19"/>
        </w:rPr>
      </w:pPr>
      <w:r>
        <w:rPr>
          <w:rFonts w:ascii="Arial" w:hAnsi="Arial"/>
          <w:sz w:val="19"/>
        </w:rPr>
        <w:t xml:space="preserve">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240" w:after="0"/>
        <w:jc w:val="left"/>
        <w:rPr>
          <w:rFonts w:ascii="Arial" w:hAnsi="Arial"/>
          <w:b/>
          <w:sz w:val="20"/>
        </w:rPr>
      </w:pPr>
      <w:r>
        <w:rPr>
          <w:rFonts w:ascii="Arial" w:hAnsi="Arial"/>
          <w:b/>
          <w:sz w:val="20"/>
        </w:rPr>
        <w:t xml:space="preserve">Selling Restrictions </w:t>
      </w:r>
    </w:p>
    <w:p>
      <w:pPr>
        <w:pStyle w:val="TextBody"/>
        <w:bidi w:val="0"/>
        <w:spacing w:before="80" w:after="0"/>
        <w:jc w:val="left"/>
        <w:rPr>
          <w:rFonts w:ascii="Arial" w:hAnsi="Arial"/>
          <w:sz w:val="19"/>
        </w:rPr>
      </w:pPr>
      <w:r>
        <w:rPr>
          <w:rFonts w:ascii="Arial" w:hAnsi="Arial"/>
          <w:sz w:val="19"/>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80" w:after="0"/>
        <w:jc w:val="left"/>
        <w:rPr>
          <w:rFonts w:ascii="Arial" w:hAnsi="Arial"/>
          <w:b/>
          <w:i/>
          <w:sz w:val="19"/>
        </w:rPr>
      </w:pPr>
      <w:r>
        <w:rPr>
          <w:rFonts w:ascii="Arial" w:hAnsi="Arial"/>
          <w:b/>
          <w:i/>
          <w:sz w:val="19"/>
        </w:rPr>
        <w:t xml:space="preserve">Notice to Prospective Investors in Canada </w:t>
      </w:r>
    </w:p>
    <w:p>
      <w:pPr>
        <w:pStyle w:val="TextBody"/>
        <w:bidi w:val="0"/>
        <w:spacing w:before="40" w:after="0"/>
        <w:jc w:val="left"/>
        <w:rPr>
          <w:rFonts w:ascii="Arial" w:hAnsi="Arial"/>
          <w:sz w:val="19"/>
        </w:rPr>
      </w:pPr>
      <w:r>
        <w:rPr>
          <w:rFonts w:ascii="Arial" w:hAnsi="Arial"/>
          <w:sz w:val="19"/>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180" w:after="0"/>
        <w:jc w:val="left"/>
        <w:rPr>
          <w:rFonts w:ascii="Arial" w:hAnsi="Arial"/>
          <w:sz w:val="19"/>
        </w:rPr>
      </w:pPr>
      <w:r>
        <w:rPr>
          <w:rFonts w:ascii="Arial" w:hAnsi="Arial"/>
          <w:sz w:val="19"/>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80" w:after="0"/>
        <w:jc w:val="left"/>
        <w:rPr>
          <w:rFonts w:ascii="Arial" w:hAnsi="Arial"/>
          <w:sz w:val="19"/>
        </w:rPr>
      </w:pPr>
      <w:r>
        <w:rPr>
          <w:rFonts w:ascii="Arial" w:hAnsi="Arial"/>
          <w:sz w:val="19"/>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80" w:after="0"/>
        <w:jc w:val="left"/>
        <w:rPr>
          <w:rFonts w:ascii="Arial" w:hAnsi="Arial"/>
          <w:b/>
          <w:i/>
          <w:sz w:val="19"/>
        </w:rPr>
      </w:pPr>
      <w:r>
        <w:rPr>
          <w:rFonts w:ascii="Arial" w:hAnsi="Arial"/>
          <w:b/>
          <w:i/>
          <w:sz w:val="19"/>
        </w:rPr>
        <w:t xml:space="preserve">Notice to Prospective Investors in the European Economic Area </w:t>
      </w:r>
    </w:p>
    <w:p>
      <w:pPr>
        <w:pStyle w:val="TextBody"/>
        <w:bidi w:val="0"/>
        <w:spacing w:before="40" w:after="0"/>
        <w:jc w:val="left"/>
        <w:rPr>
          <w:rFonts w:ascii="Arial" w:hAnsi="Arial"/>
          <w:sz w:val="19"/>
        </w:rPr>
      </w:pPr>
      <w:r>
        <w:rPr>
          <w:rFonts w:ascii="Arial" w:hAnsi="Arial"/>
          <w:sz w:val="19"/>
        </w:rPr>
        <w:t xml:space="preserve">The securities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securities or otherwise making them available to retail investors in the EEA has been prepared and therefore offering or selling the securities or otherwise making them available to any retail investor in the EEA may be unlawful under the PRIIPs Regulation. </w:t>
      </w:r>
    </w:p>
    <w:p>
      <w:pPr>
        <w:pStyle w:val="TextBody"/>
        <w:bidi w:val="0"/>
        <w:spacing w:before="180" w:after="0"/>
        <w:jc w:val="left"/>
        <w:rPr>
          <w:rFonts w:ascii="Arial" w:hAnsi="Arial"/>
          <w:sz w:val="19"/>
        </w:rPr>
      </w:pPr>
      <w:r>
        <w:rPr>
          <w:rFonts w:ascii="Arial" w:hAnsi="Arial"/>
          <w:sz w:val="19"/>
        </w:rPr>
        <w:t xml:space="preserve">The offer of securities shall not require us or any underwriter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underwriters and us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180" w:after="0"/>
        <w:jc w:val="left"/>
        <w:rPr>
          <w:rFonts w:ascii="Arial" w:hAnsi="Arial"/>
          <w:sz w:val="19"/>
        </w:rPr>
      </w:pPr>
      <w:r>
        <w:rPr>
          <w:rFonts w:ascii="Arial" w:hAnsi="Arial"/>
          <w:sz w:val="19"/>
        </w:rPr>
        <w:t xml:space="preserve">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Notice to Prospective Investors in the United Kingdom </w:t>
      </w:r>
    </w:p>
    <w:p>
      <w:pPr>
        <w:pStyle w:val="TextBody"/>
        <w:bidi w:val="0"/>
        <w:spacing w:before="40" w:after="0"/>
        <w:jc w:val="left"/>
        <w:rPr>
          <w:rFonts w:ascii="Arial" w:hAnsi="Arial"/>
          <w:sz w:val="19"/>
        </w:rPr>
      </w:pPr>
      <w:r>
        <w:rPr>
          <w:rFonts w:ascii="Arial" w:hAnsi="Arial"/>
          <w:sz w:val="19"/>
        </w:rPr>
        <w:t xml:space="preserve">No securities have been offered or will be offered pursuant to this offering to the public in the UK prior to the publication of a prospectus in relation to the securities which has been approved by the Financial Conduct Authority, except that the securities may be offered to the public in the UK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to fewer than 150 natural or legal persons (other than qualified investors as defined under Article 2 of the UK Prospectus Regulation), subject to obtaining the prior consent of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Section 86 of the Financial Services and Markets Act 2000 (Financial Promotion) Order 2005, as amended (the “Order”), </w:t>
            </w:r>
          </w:p>
        </w:tc>
      </w:tr>
    </w:tbl>
    <w:p>
      <w:pPr>
        <w:pStyle w:val="TextBody"/>
        <w:bidi w:val="0"/>
        <w:spacing w:before="180" w:after="0"/>
        <w:jc w:val="left"/>
        <w:rPr>
          <w:rFonts w:ascii="Arial" w:hAnsi="Arial"/>
          <w:sz w:val="19"/>
        </w:rPr>
      </w:pPr>
      <w:r>
        <w:rPr>
          <w:rFonts w:ascii="Arial" w:hAnsi="Arial"/>
          <w:i/>
          <w:sz w:val="19"/>
        </w:rPr>
        <w:t>provided</w:t>
      </w:r>
      <w:r>
        <w:rPr>
          <w:rFonts w:ascii="Arial" w:hAnsi="Arial"/>
          <w:sz w:val="19"/>
        </w:rPr>
        <w:t xml:space="preserve"> that no such offer of the securities shall require us or any underwriter to publish a prospectus pursuant to Section 85 of the FSMA or supplement a prospectus pursuant to Article 23 of the UK Prospectus Regulation. For the purposes of this provision, the expression an “offer to the public” in relation to the securities in the UK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w:t>
      </w:r>
    </w:p>
    <w:p>
      <w:pPr>
        <w:pStyle w:val="TextBody"/>
        <w:bidi w:val="0"/>
        <w:spacing w:before="180" w:after="0"/>
        <w:jc w:val="left"/>
        <w:rPr>
          <w:rFonts w:ascii="Arial" w:hAnsi="Arial"/>
          <w:sz w:val="19"/>
        </w:rPr>
      </w:pPr>
      <w:r>
        <w:rPr>
          <w:rFonts w:ascii="Arial" w:hAnsi="Arial"/>
          <w:sz w:val="19"/>
        </w:rPr>
        <w:t xml:space="preserve">In addition, in the UK,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securities in the UK within the meaning of the Order. </w:t>
      </w:r>
    </w:p>
    <w:p>
      <w:pPr>
        <w:pStyle w:val="TextBody"/>
        <w:bidi w:val="0"/>
        <w:spacing w:before="180" w:after="0"/>
        <w:jc w:val="left"/>
        <w:rPr>
          <w:rFonts w:ascii="Arial" w:hAnsi="Arial"/>
          <w:sz w:val="19"/>
        </w:rPr>
      </w:pPr>
      <w:r>
        <w:rPr>
          <w:rFonts w:ascii="Arial" w:hAnsi="Arial"/>
          <w:sz w:val="19"/>
        </w:rPr>
        <w:t xml:space="preserve">Any person in the UK that is not a relevant person should not act or rely on the information included in this document or use it as basis for taking any action. In the UK, any investment or investment activity that this document relates to may be made or taken exclusively by relevant persons. </w:t>
      </w:r>
    </w:p>
    <w:p>
      <w:pPr>
        <w:pStyle w:val="TextBody"/>
        <w:bidi w:val="0"/>
        <w:spacing w:before="80" w:after="0"/>
        <w:jc w:val="left"/>
        <w:rPr>
          <w:rFonts w:ascii="Arial" w:hAnsi="Arial"/>
          <w:b/>
          <w:i/>
          <w:sz w:val="19"/>
        </w:rPr>
      </w:pPr>
      <w:r>
        <w:rPr>
          <w:rFonts w:ascii="Arial" w:hAnsi="Arial"/>
          <w:b/>
          <w:i/>
          <w:sz w:val="19"/>
        </w:rPr>
        <w:t xml:space="preserve">Notice to Prospective Investors in Australia </w:t>
      </w:r>
    </w:p>
    <w:p>
      <w:pPr>
        <w:pStyle w:val="TextBody"/>
        <w:bidi w:val="0"/>
        <w:spacing w:before="120" w:after="0"/>
        <w:jc w:val="left"/>
        <w:rPr>
          <w:rFonts w:ascii="Arial" w:hAnsi="Arial"/>
          <w:sz w:val="19"/>
        </w:rPr>
      </w:pPr>
      <w:r>
        <w:rPr>
          <w:rFonts w:ascii="Arial" w:hAnsi="Arial"/>
          <w:sz w:val="19"/>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does not constitute a disclosure document or a prospectus under Chapter 6D.2 of the Corporations Act 2001 (Cth), or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180" w:after="0"/>
        <w:jc w:val="left"/>
        <w:rPr>
          <w:rFonts w:ascii="Arial" w:hAnsi="Arial"/>
          <w:sz w:val="19"/>
        </w:rPr>
      </w:pPr>
      <w:r>
        <w:rPr>
          <w:rFonts w:ascii="Arial" w:hAnsi="Arial"/>
          <w:sz w:val="19"/>
        </w:rPr>
        <w:t xml:space="preserve">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before="180" w:after="0"/>
        <w:jc w:val="left"/>
        <w:rPr>
          <w:rFonts w:ascii="Arial" w:hAnsi="Arial"/>
          <w:sz w:val="19"/>
        </w:rPr>
      </w:pPr>
      <w:r>
        <w:rPr>
          <w:rFonts w:ascii="Arial" w:hAnsi="Arial"/>
          <w:sz w:val="19"/>
        </w:rPr>
        <w:t xml:space="preserve">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Notice to Prospective Investors in Japan </w:t>
      </w:r>
    </w:p>
    <w:p>
      <w:pPr>
        <w:pStyle w:val="TextBody"/>
        <w:bidi w:val="0"/>
        <w:spacing w:before="40" w:after="0"/>
        <w:jc w:val="left"/>
        <w:rPr>
          <w:rFonts w:ascii="Arial" w:hAnsi="Arial"/>
          <w:sz w:val="19"/>
        </w:rPr>
      </w:pPr>
      <w:r>
        <w:rPr>
          <w:rFonts w:ascii="Arial" w:hAnsi="Arial"/>
          <w:sz w:val="19"/>
        </w:rPr>
        <w:t xml:space="preserve">The securities have not been and will not be registered pursuant to Article 4, Paragraph 1 of the Financial Instruments and Exchange Act of Japan.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80" w:after="0"/>
        <w:jc w:val="left"/>
        <w:rPr>
          <w:rFonts w:ascii="Arial" w:hAnsi="Arial"/>
          <w:b/>
          <w:i/>
          <w:sz w:val="19"/>
        </w:rPr>
      </w:pPr>
      <w:r>
        <w:rPr>
          <w:rFonts w:ascii="Arial" w:hAnsi="Arial"/>
          <w:b/>
          <w:i/>
          <w:sz w:val="19"/>
        </w:rPr>
        <w:t xml:space="preserve">Notice to Prospective Investors in Hong Kong </w:t>
      </w:r>
    </w:p>
    <w:p>
      <w:pPr>
        <w:pStyle w:val="TextBody"/>
        <w:bidi w:val="0"/>
        <w:spacing w:before="40" w:after="0"/>
        <w:jc w:val="left"/>
        <w:rPr>
          <w:rFonts w:ascii="Arial" w:hAnsi="Arial"/>
          <w:sz w:val="19"/>
        </w:rPr>
      </w:pPr>
      <w:r>
        <w:rPr>
          <w:rFonts w:ascii="Arial" w:hAnsi="Arial"/>
          <w:sz w:val="19"/>
        </w:rPr>
        <w:t xml:space="preserve">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before="80" w:after="0"/>
        <w:jc w:val="left"/>
        <w:rPr>
          <w:rFonts w:ascii="Arial" w:hAnsi="Arial"/>
          <w:b/>
          <w:i/>
          <w:sz w:val="19"/>
        </w:rPr>
      </w:pPr>
      <w:r>
        <w:rPr>
          <w:rFonts w:ascii="Arial" w:hAnsi="Arial"/>
          <w:b/>
          <w:i/>
          <w:sz w:val="19"/>
        </w:rPr>
        <w:t xml:space="preserve">Notice to Prospective Investors in Singapore </w:t>
      </w:r>
    </w:p>
    <w:p>
      <w:pPr>
        <w:pStyle w:val="TextBody"/>
        <w:bidi w:val="0"/>
        <w:spacing w:before="40" w:after="0"/>
        <w:jc w:val="left"/>
        <w:rPr>
          <w:rFonts w:ascii="Arial" w:hAnsi="Arial"/>
          <w:sz w:val="19"/>
        </w:rPr>
      </w:pPr>
      <w:r>
        <w:rPr>
          <w:rFonts w:ascii="Arial" w:hAnsi="Arial"/>
          <w:sz w:val="19"/>
        </w:rPr>
        <w:t xml:space="preserve">This prospectus has not been registered as a prospectus with the Monetary Authority of Singapore. Accordingly, this prospectus or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a relevant person (as defined in Section 275(2) of the SFA) pursuant to Section 275(1)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otherwise pursuant to, and in accordance with the conditions of, any other applicable provision of the SFA. </w:t>
            </w:r>
          </w:p>
        </w:tc>
      </w:tr>
    </w:tbl>
    <w:p>
      <w:pPr>
        <w:pStyle w:val="TextBody"/>
        <w:bidi w:val="0"/>
        <w:spacing w:before="180" w:after="0"/>
        <w:jc w:val="left"/>
        <w:rPr>
          <w:rFonts w:ascii="Arial" w:hAnsi="Arial"/>
          <w:sz w:val="19"/>
        </w:rPr>
      </w:pPr>
      <w:r>
        <w:rPr>
          <w:rFonts w:ascii="Arial" w:hAnsi="Arial"/>
          <w:sz w:val="19"/>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180" w:after="0"/>
        <w:jc w:val="left"/>
        <w:rPr>
          <w:rFonts w:ascii="Arial" w:hAnsi="Arial"/>
          <w:sz w:val="19"/>
        </w:rPr>
      </w:pPr>
      <w:r>
        <w:rPr>
          <w:rFonts w:ascii="Arial" w:hAnsi="Arial"/>
          <w:sz w:val="19"/>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an institutional investor or to a relevant person, or to any person arising from an offer referred to in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as specified in Regulation 37A of the Securities and Futures (Offers of Investments) (Securities and Securities-based Derivatives Contracts) Regulations 2018.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3" w:name="supptoc149127_11"/>
      <w:bookmarkEnd w:id="13"/>
      <w:r>
        <w:rPr>
          <w:rFonts w:ascii="Arial" w:hAnsi="Arial"/>
          <w:b/>
          <w:sz w:val="20"/>
        </w:rPr>
        <w:t xml:space="preserve">LEGAL MATTERS </w:t>
      </w:r>
    </w:p>
    <w:p>
      <w:pPr>
        <w:pStyle w:val="TextBody"/>
        <w:bidi w:val="0"/>
        <w:spacing w:before="360" w:after="0"/>
        <w:jc w:val="left"/>
        <w:rPr>
          <w:rFonts w:ascii="Arial" w:hAnsi="Arial"/>
          <w:sz w:val="19"/>
        </w:rPr>
      </w:pPr>
      <w:r>
        <w:rPr>
          <w:rFonts w:ascii="Arial" w:hAnsi="Arial"/>
          <w:sz w:val="19"/>
        </w:rPr>
        <w:t xml:space="preserve">The validity of the securities offered (including the ordinary shares issuable upon exercise of the pre-funded warrants) and other matters with respect to Dutch law will be passed upon for us by NautaDutilh N.V., Amsterdam, the Netherlands. Certain matters relating to the validity of the pre-funded warrants and U.S. federal and New York State law will be passed upon for us by Davis Polk &amp; Wardwell LLP, New York, New York. The underwriters are represented in connection with this offering with respect to matters of U.S. law by Covington &amp; Burling LLP, New York, New York.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4" w:name="supptoc149127_12"/>
      <w:bookmarkEnd w:id="14"/>
      <w:r>
        <w:rPr>
          <w:rFonts w:ascii="Arial" w:hAnsi="Arial"/>
          <w:b/>
          <w:sz w:val="20"/>
        </w:rPr>
        <w:t xml:space="preserve">EXPERTS </w:t>
      </w:r>
    </w:p>
    <w:p>
      <w:pPr>
        <w:pStyle w:val="TextBody"/>
        <w:bidi w:val="0"/>
        <w:spacing w:before="360" w:after="0"/>
        <w:jc w:val="left"/>
        <w:rPr>
          <w:rFonts w:ascii="Arial" w:hAnsi="Arial"/>
          <w:sz w:val="19"/>
        </w:rPr>
      </w:pPr>
      <w:r>
        <w:rPr>
          <w:rFonts w:ascii="Arial" w:hAnsi="Arial"/>
          <w:sz w:val="19"/>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20-F for the year ended December 31, 2025 have been so incorporated in reliance on the report of PricewaterhouseCoopers GmbH Wirtschaftsprüfungsgesellschaft, an independent registered public accounting firm, given on the authority of said firm as experts in auditing and accounting. PricewaterhouseCoopers GmbH Wirtschaftsprüfungsgesellschaft is a member of the Chamber of Public Accountants (</w:t>
      </w:r>
      <w:r>
        <w:rPr>
          <w:rFonts w:ascii="Arial" w:hAnsi="Arial"/>
          <w:i/>
          <w:sz w:val="19"/>
        </w:rPr>
        <w:t>Wirtschaftsprüferkammer</w:t>
      </w:r>
      <w:r>
        <w:rPr>
          <w:rFonts w:ascii="Arial" w:hAnsi="Arial"/>
          <w:sz w:val="19"/>
        </w:rPr>
        <w:t xml:space="preserve">), Berlin, Germany.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5" w:name="supptoc149127_13"/>
      <w:bookmarkEnd w:id="15"/>
      <w:r>
        <w:rPr>
          <w:rFonts w:ascii="Arial" w:hAnsi="Arial"/>
          <w:b/>
          <w:sz w:val="20"/>
        </w:rPr>
        <w:t xml:space="preserve">WHERE YOU CAN FIND MORE INFORMATION </w:t>
      </w:r>
    </w:p>
    <w:p>
      <w:pPr>
        <w:pStyle w:val="TextBody"/>
        <w:bidi w:val="0"/>
        <w:spacing w:before="360" w:after="0"/>
        <w:jc w:val="left"/>
        <w:rPr>
          <w:rFonts w:ascii="Arial" w:hAnsi="Arial"/>
          <w:sz w:val="19"/>
        </w:rPr>
      </w:pPr>
      <w:r>
        <w:rPr>
          <w:rFonts w:ascii="Arial" w:hAnsi="Arial"/>
          <w:sz w:val="19"/>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Arial" w:hAnsi="Arial"/>
          <w:i/>
          <w:sz w:val="19"/>
        </w:rPr>
        <w:t>www.sec.gov</w:t>
      </w:r>
      <w:r>
        <w:rPr>
          <w:rFonts w:ascii="Arial" w:hAnsi="Arial"/>
          <w:sz w:val="19"/>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principal shareholders are exempt from the reporting and our executive officers, directors and principal shareholders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w:t>
      </w:r>
    </w:p>
    <w:p>
      <w:pPr>
        <w:pStyle w:val="TextBody"/>
        <w:bidi w:val="0"/>
        <w:spacing w:before="180" w:after="0"/>
        <w:jc w:val="left"/>
        <w:rPr>
          <w:rFonts w:ascii="Arial" w:hAnsi="Arial"/>
          <w:sz w:val="19"/>
        </w:rPr>
      </w:pPr>
      <w:r>
        <w:rPr>
          <w:rFonts w:ascii="Arial" w:hAnsi="Arial"/>
          <w:sz w:val="19"/>
        </w:rPr>
        <w:t xml:space="preserve">We have filed with the SEC a “shelf” registration statement (including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more detail about us and the securities offered by this prospectus supplement, you may examine the registration statement on Form F-3 and the exhibits filed with it at the website provided in the previous paragraph. </w:t>
      </w:r>
    </w:p>
    <w:p>
      <w:pPr>
        <w:pStyle w:val="TextBody"/>
        <w:bidi w:val="0"/>
        <w:spacing w:before="180" w:after="0"/>
        <w:jc w:val="left"/>
        <w:rPr>
          <w:rFonts w:ascii="Arial" w:hAnsi="Arial"/>
          <w:sz w:val="19"/>
        </w:rPr>
      </w:pPr>
      <w:r>
        <w:rPr>
          <w:rFonts w:ascii="Arial" w:hAnsi="Arial"/>
          <w:sz w:val="19"/>
        </w:rPr>
        <w:t xml:space="preserve">We maintain a corporate website at </w:t>
      </w:r>
      <w:r>
        <w:rPr>
          <w:rFonts w:ascii="Arial" w:hAnsi="Arial"/>
          <w:i/>
          <w:sz w:val="19"/>
        </w:rPr>
        <w:t>www.immatics.com</w:t>
      </w:r>
      <w:r>
        <w:rPr>
          <w:rFonts w:ascii="Arial" w:hAnsi="Arial"/>
          <w:sz w:val="19"/>
        </w:rPr>
        <w:t xml:space="preserve">. The reference to our website is an inactive textual reference only, and information contained therein or connected thereto is not incorporated into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6" w:name="supptoc149127_14"/>
      <w:bookmarkEnd w:id="16"/>
      <w:r>
        <w:rPr>
          <w:rFonts w:ascii="Arial" w:hAnsi="Arial"/>
          <w:b/>
          <w:sz w:val="20"/>
        </w:rPr>
        <w:t xml:space="preserve">INFORMATION INCORPORATED BY REFERENCE </w:t>
      </w:r>
    </w:p>
    <w:p>
      <w:pPr>
        <w:pStyle w:val="TextBody"/>
        <w:bidi w:val="0"/>
        <w:spacing w:before="360" w:after="0"/>
        <w:jc w:val="left"/>
        <w:rPr>
          <w:rFonts w:ascii="Arial" w:hAnsi="Arial"/>
          <w:sz w:val="19"/>
        </w:rPr>
      </w:pPr>
      <w:r>
        <w:rPr>
          <w:rFonts w:ascii="Arial" w:hAnsi="Arial"/>
          <w:sz w:val="19"/>
        </w:rPr>
        <w:t xml:space="preserve">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19"/>
              </w:rPr>
              <w:t xml:space="preserve">our </w:t>
            </w:r>
            <w:hyperlink r:id="rId3">
              <w:r>
                <w:rPr>
                  <w:rStyle w:val="InternetLink"/>
                  <w:rFonts w:ascii="Arial" w:hAnsi="Arial"/>
                  <w:sz w:val="19"/>
                </w:rPr>
                <w:t>Annual Report on Form 20-F for the year ended December 31, 2025</w:t>
              </w:r>
            </w:hyperlink>
            <w:r>
              <w:rPr>
                <w:rFonts w:ascii="Arial" w:hAnsi="Arial"/>
                <w:sz w:val="19"/>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19"/>
              </w:rPr>
              <w:t xml:space="preserve">our Reports on Form 6-K filed with the SEC on </w:t>
            </w:r>
            <w:hyperlink r:id="rId4">
              <w:r>
                <w:rPr>
                  <w:rStyle w:val="InternetLink"/>
                  <w:rFonts w:ascii="Arial" w:hAnsi="Arial"/>
                  <w:sz w:val="19"/>
                </w:rPr>
                <w:t>May  12, 2026</w:t>
              </w:r>
            </w:hyperlink>
            <w:r>
              <w:rPr>
                <w:rFonts w:ascii="Arial" w:hAnsi="Arial"/>
                <w:sz w:val="19"/>
              </w:rPr>
              <w:t xml:space="preserve"> (only with respect to Exhibit 99.1 thereto), </w:t>
            </w:r>
            <w:hyperlink r:id="rId5">
              <w:r>
                <w:rPr>
                  <w:rStyle w:val="InternetLink"/>
                  <w:rFonts w:ascii="Arial" w:hAnsi="Arial"/>
                  <w:sz w:val="19"/>
                </w:rPr>
                <w:t>June  1, 2026</w:t>
              </w:r>
            </w:hyperlink>
            <w:r>
              <w:rPr>
                <w:rFonts w:ascii="Arial" w:hAnsi="Arial"/>
                <w:sz w:val="19"/>
              </w:rPr>
              <w:t xml:space="preserve"> (other than the exhibits thereto), </w:t>
            </w:r>
            <w:hyperlink r:id="rId6">
              <w:r>
                <w:rPr>
                  <w:rStyle w:val="InternetLink"/>
                  <w:rFonts w:ascii="Arial" w:hAnsi="Arial"/>
                  <w:sz w:val="19"/>
                </w:rPr>
                <w:t>June  18, 2026</w:t>
              </w:r>
            </w:hyperlink>
            <w:r>
              <w:rPr>
                <w:rFonts w:ascii="Arial" w:hAnsi="Arial"/>
                <w:sz w:val="19"/>
              </w:rPr>
              <w:t xml:space="preserve"> (other than the exhibit thereto), </w:t>
            </w:r>
            <w:hyperlink r:id="rId7">
              <w:r>
                <w:rPr>
                  <w:rStyle w:val="InternetLink"/>
                  <w:rFonts w:ascii="Arial" w:hAnsi="Arial"/>
                  <w:sz w:val="19"/>
                </w:rPr>
                <w:t>August 18, 2026</w:t>
              </w:r>
            </w:hyperlink>
            <w:r>
              <w:rPr>
                <w:rFonts w:ascii="Arial" w:hAnsi="Arial"/>
                <w:sz w:val="19"/>
              </w:rPr>
              <w:t xml:space="preserve"> (only with respect to Exhibit 99.1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19"/>
              </w:rPr>
              <w:t xml:space="preserve">our </w:t>
            </w:r>
            <w:hyperlink r:id="rId8">
              <w:r>
                <w:rPr>
                  <w:rStyle w:val="InternetLink"/>
                  <w:rFonts w:ascii="Arial" w:hAnsi="Arial"/>
                  <w:sz w:val="19"/>
                </w:rPr>
                <w:t>Registration Statement on Form 8-A filed with the SEC on July 1, 2020</w:t>
              </w:r>
            </w:hyperlink>
            <w:r>
              <w:rPr>
                <w:rFonts w:ascii="Arial" w:hAnsi="Arial"/>
                <w:sz w:val="19"/>
              </w:rPr>
              <w:t xml:space="preserve"> and any amendment or report filed for the purpose of updating such description. </w:t>
            </w:r>
          </w:p>
        </w:tc>
      </w:tr>
    </w:tbl>
    <w:p>
      <w:pPr>
        <w:pStyle w:val="TextBody"/>
        <w:bidi w:val="0"/>
        <w:spacing w:before="180" w:after="0"/>
        <w:jc w:val="left"/>
        <w:rPr>
          <w:rFonts w:ascii="Arial" w:hAnsi="Arial"/>
          <w:sz w:val="19"/>
        </w:rPr>
      </w:pPr>
      <w:r>
        <w:rPr>
          <w:rFonts w:ascii="Arial" w:hAnsi="Arial"/>
          <w:sz w:val="19"/>
        </w:rPr>
        <w:t xml:space="preserve">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completion or termination of this offering, shall be incorporated by reference. We may incorporate by reference any reports on Form 6-K that we furnish to the SEC that we specifically identify in such form as being incorporated by reference into this prospectus supplement after the date hereof and prior to the completion or termination of the offering of securities under this prospectus supplement. </w:t>
      </w:r>
    </w:p>
    <w:p>
      <w:pPr>
        <w:pStyle w:val="TextBody"/>
        <w:bidi w:val="0"/>
        <w:spacing w:before="180" w:after="0"/>
        <w:jc w:val="left"/>
        <w:rPr>
          <w:rFonts w:ascii="Arial" w:hAnsi="Arial"/>
          <w:sz w:val="19"/>
        </w:rPr>
      </w:pPr>
      <w:r>
        <w:rPr>
          <w:rFonts w:ascii="Arial" w:hAnsi="Arial"/>
          <w:sz w:val="19"/>
        </w:rPr>
        <w:t xml:space="preserve">You can obtain any of the filings incorporated by reference in this prospectus supplement through us or from the SEC through the SEC’s website at </w:t>
      </w:r>
      <w:r>
        <w:rPr>
          <w:rFonts w:ascii="Arial" w:hAnsi="Arial"/>
          <w:i/>
          <w:sz w:val="19"/>
        </w:rPr>
        <w:t>www.sec.gov</w:t>
      </w:r>
      <w:r>
        <w:rPr>
          <w:rFonts w:ascii="Arial" w:hAnsi="Arial"/>
          <w:sz w:val="19"/>
        </w:rPr>
        <w:t>. Our filings with the SEC, including our Annual Reports on Form 20-F and Reports on Form 6-K and exhibits incorporated in and amendments to those reports, are also available free of charge on our website (</w:t>
      </w:r>
      <w:r>
        <w:rPr>
          <w:rFonts w:ascii="Arial" w:hAnsi="Arial"/>
          <w:i/>
          <w:sz w:val="19"/>
        </w:rPr>
        <w:t>www.immatics.com</w:t>
      </w:r>
      <w:r>
        <w:rPr>
          <w:rFonts w:ascii="Arial" w:hAnsi="Arial"/>
          <w:sz w:val="19"/>
        </w:rPr>
        <w:t xml:space="preserve">)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 </w:t>
      </w:r>
    </w:p>
    <w:p>
      <w:pPr>
        <w:pStyle w:val="TextBody"/>
        <w:bidi w:val="0"/>
        <w:spacing w:before="180" w:after="0"/>
        <w:jc w:val="center"/>
        <w:rPr>
          <w:rFonts w:ascii="Arial" w:hAnsi="Arial"/>
          <w:sz w:val="19"/>
        </w:rPr>
      </w:pPr>
      <w:r>
        <w:rPr>
          <w:rFonts w:ascii="Arial" w:hAnsi="Arial"/>
          <w:sz w:val="19"/>
        </w:rPr>
        <w:t xml:space="preserve">Investor Relations </w:t>
      </w:r>
    </w:p>
    <w:p>
      <w:pPr>
        <w:pStyle w:val="TextBody"/>
        <w:bidi w:val="0"/>
        <w:spacing w:before="0" w:after="0"/>
        <w:jc w:val="center"/>
        <w:rPr>
          <w:rFonts w:ascii="Arial" w:hAnsi="Arial"/>
          <w:sz w:val="19"/>
        </w:rPr>
      </w:pPr>
      <w:r>
        <w:rPr>
          <w:rFonts w:ascii="Arial" w:hAnsi="Arial"/>
          <w:sz w:val="19"/>
        </w:rPr>
        <w:t xml:space="preserve">Immatics N.V. </w:t>
      </w:r>
    </w:p>
    <w:p>
      <w:pPr>
        <w:pStyle w:val="TextBody"/>
        <w:bidi w:val="0"/>
        <w:spacing w:before="0" w:after="0"/>
        <w:jc w:val="center"/>
        <w:rPr>
          <w:rFonts w:ascii="Arial" w:hAnsi="Arial"/>
          <w:sz w:val="19"/>
        </w:rPr>
      </w:pPr>
      <w:r>
        <w:rPr>
          <w:rFonts w:ascii="Arial" w:hAnsi="Arial"/>
          <w:sz w:val="19"/>
        </w:rPr>
        <w:t xml:space="preserve">c/o Immatics US, Inc. </w:t>
      </w:r>
    </w:p>
    <w:p>
      <w:pPr>
        <w:pStyle w:val="TextBody"/>
        <w:bidi w:val="0"/>
        <w:spacing w:before="0" w:after="0"/>
        <w:jc w:val="center"/>
        <w:rPr>
          <w:rFonts w:ascii="Arial" w:hAnsi="Arial"/>
          <w:sz w:val="19"/>
        </w:rPr>
      </w:pPr>
      <w:r>
        <w:rPr>
          <w:rFonts w:ascii="Arial" w:hAnsi="Arial"/>
          <w:sz w:val="19"/>
        </w:rPr>
        <w:t xml:space="preserve">13203 Murphy Rd., Suite 100 </w:t>
      </w:r>
    </w:p>
    <w:p>
      <w:pPr>
        <w:pStyle w:val="TextBody"/>
        <w:bidi w:val="0"/>
        <w:spacing w:before="0" w:after="0"/>
        <w:jc w:val="center"/>
        <w:rPr>
          <w:rFonts w:ascii="Arial" w:hAnsi="Arial"/>
          <w:sz w:val="19"/>
        </w:rPr>
      </w:pPr>
      <w:r>
        <w:rPr>
          <w:rFonts w:ascii="Arial" w:hAnsi="Arial"/>
          <w:sz w:val="19"/>
        </w:rPr>
        <w:t xml:space="preserve">Stafford, Texas 77477 </w:t>
      </w:r>
    </w:p>
    <w:p>
      <w:pPr>
        <w:pStyle w:val="TextBody"/>
        <w:bidi w:val="0"/>
        <w:spacing w:before="0" w:after="0"/>
        <w:jc w:val="center"/>
        <w:rPr>
          <w:rFonts w:ascii="Arial" w:hAnsi="Arial"/>
          <w:sz w:val="19"/>
        </w:rPr>
      </w:pPr>
      <w:r>
        <w:rPr>
          <w:rFonts w:ascii="Arial" w:hAnsi="Arial"/>
          <w:sz w:val="19"/>
        </w:rPr>
        <w:t xml:space="preserve">(281) 810-7545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46325" cy="8674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346325" cy="867410"/>
                    </a:xfrm>
                    <a:prstGeom prst="rect">
                      <a:avLst/>
                    </a:prstGeom>
                  </pic:spPr>
                </pic:pic>
              </a:graphicData>
            </a:graphic>
          </wp:inline>
        </w:drawing>
      </w:r>
      <w:r>
        <w:rPr/>
        <w:t xml:space="preserve"> </w:t>
      </w:r>
    </w:p>
    <w:p>
      <w:pPr>
        <w:pStyle w:val="TextBody"/>
        <w:bidi w:val="0"/>
        <w:spacing w:before="280" w:after="0"/>
        <w:jc w:val="center"/>
        <w:rPr>
          <w:rFonts w:ascii="Arial" w:hAnsi="Arial"/>
          <w:b/>
          <w:sz w:val="40"/>
        </w:rPr>
      </w:pPr>
      <w:r>
        <w:rPr>
          <w:rFonts w:ascii="Arial" w:hAnsi="Arial"/>
          <w:b/>
          <w:sz w:val="40"/>
        </w:rPr>
        <w:t xml:space="preserve">IMMATICS N.V. </w:t>
      </w:r>
    </w:p>
    <w:p>
      <w:pPr>
        <w:pStyle w:val="TextBody"/>
        <w:bidi w:val="0"/>
        <w:spacing w:before="280" w:after="0"/>
        <w:jc w:val="center"/>
        <w:rPr>
          <w:rFonts w:ascii="Arial" w:hAnsi="Arial"/>
          <w:b/>
          <w:sz w:val="32"/>
        </w:rPr>
      </w:pPr>
      <w:r>
        <w:rPr>
          <w:rFonts w:ascii="Arial" w:hAnsi="Arial"/>
          <w:b/>
          <w:sz w:val="32"/>
        </w:rPr>
        <w:t xml:space="preserve">$500,000,000 </w:t>
      </w:r>
    </w:p>
    <w:p>
      <w:pPr>
        <w:pStyle w:val="TextBody"/>
        <w:bidi w:val="0"/>
        <w:spacing w:before="280" w:after="0"/>
        <w:jc w:val="center"/>
        <w:rPr>
          <w:rFonts w:ascii="Arial" w:hAnsi="Arial"/>
          <w:b/>
          <w:sz w:val="32"/>
        </w:rPr>
      </w:pPr>
      <w:r>
        <w:rPr>
          <w:rFonts w:ascii="Arial" w:hAnsi="Arial"/>
          <w:b/>
          <w:sz w:val="32"/>
        </w:rPr>
        <w:t xml:space="preserve">Ordinary Shares </w:t>
      </w:r>
    </w:p>
    <w:p>
      <w:pPr>
        <w:pStyle w:val="TextBody"/>
        <w:bidi w:val="0"/>
        <w:spacing w:before="0" w:after="0"/>
        <w:jc w:val="center"/>
        <w:rPr>
          <w:rFonts w:ascii="Arial" w:hAnsi="Arial"/>
          <w:b/>
          <w:sz w:val="32"/>
        </w:rPr>
      </w:pPr>
      <w:r>
        <w:rPr>
          <w:rFonts w:ascii="Arial" w:hAnsi="Arial"/>
          <w:b/>
          <w:sz w:val="32"/>
        </w:rPr>
        <w:t xml:space="preserve">Debt Securities </w:t>
      </w:r>
    </w:p>
    <w:p>
      <w:pPr>
        <w:pStyle w:val="TextBody"/>
        <w:bidi w:val="0"/>
        <w:spacing w:before="0" w:after="0"/>
        <w:jc w:val="center"/>
        <w:rPr>
          <w:rFonts w:ascii="Arial" w:hAnsi="Arial"/>
          <w:b/>
          <w:sz w:val="32"/>
        </w:rPr>
      </w:pPr>
      <w:r>
        <w:rPr>
          <w:rFonts w:ascii="Arial" w:hAnsi="Arial"/>
          <w:b/>
          <w:sz w:val="32"/>
        </w:rPr>
        <w:t xml:space="preserve">Warrants </w:t>
      </w:r>
    </w:p>
    <w:p>
      <w:pPr>
        <w:pStyle w:val="TextBody"/>
        <w:bidi w:val="0"/>
        <w:spacing w:before="0" w:after="0"/>
        <w:jc w:val="center"/>
        <w:rPr>
          <w:rFonts w:ascii="Arial" w:hAnsi="Arial"/>
          <w:b/>
          <w:sz w:val="32"/>
        </w:rPr>
      </w:pPr>
      <w:r>
        <w:rPr>
          <w:rFonts w:ascii="Arial" w:hAnsi="Arial"/>
          <w:b/>
          <w:sz w:val="32"/>
        </w:rPr>
        <w:t xml:space="preserve">Subscription Rights </w:t>
      </w:r>
    </w:p>
    <w:p>
      <w:pPr>
        <w:pStyle w:val="TextBody"/>
        <w:bidi w:val="0"/>
        <w:spacing w:before="0" w:after="0"/>
        <w:jc w:val="center"/>
        <w:rPr>
          <w:rFonts w:ascii="Arial" w:hAnsi="Arial"/>
          <w:b/>
          <w:sz w:val="32"/>
        </w:rPr>
      </w:pPr>
      <w:r>
        <w:rPr>
          <w:rFonts w:ascii="Arial" w:hAnsi="Arial"/>
          <w:b/>
          <w:sz w:val="32"/>
        </w:rPr>
        <w:t xml:space="preserve">Purchase Contracts </w:t>
      </w:r>
    </w:p>
    <w:p>
      <w:pPr>
        <w:pStyle w:val="TextBody"/>
        <w:bidi w:val="0"/>
        <w:spacing w:before="0" w:after="0"/>
        <w:jc w:val="center"/>
        <w:rPr>
          <w:rFonts w:ascii="Arial" w:hAnsi="Arial"/>
          <w:b/>
          <w:sz w:val="32"/>
        </w:rPr>
      </w:pPr>
      <w:r>
        <w:rPr>
          <w:rFonts w:ascii="Arial" w:hAnsi="Arial"/>
          <w:b/>
          <w:sz w:val="32"/>
        </w:rPr>
        <w:t xml:space="preserve">Units </w:t>
      </w:r>
    </w:p>
    <w:p>
      <w:pPr>
        <w:pStyle w:val="TextBody"/>
        <w:bidi w:val="0"/>
        <w:spacing w:before="280" w:after="0"/>
        <w:jc w:val="left"/>
        <w:rPr>
          <w:rFonts w:ascii="Arial" w:hAnsi="Arial"/>
          <w:sz w:val="20"/>
        </w:rPr>
      </w:pPr>
      <w:r>
        <w:rPr>
          <w:rFonts w:ascii="Arial" w:hAnsi="Arial"/>
          <w:sz w:val="20"/>
        </w:rPr>
        <w:t xml:space="preserve">We may offer and sell from time to time, in one or more offerings, up to $500,000,000 of any combination of the following securities: ordinary shares, debt securities, warrants, subscription rights, purchase contracts and units (collectively, the “securities”). The securities may be offered and sold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and the specific manner in which these securities will be offered and sold in supplements to this prospectus. The prospectus supplements may also supplement, update or amend information contained in this prospectus. You should read this prospectus and any applicable prospectus supplement before you invest. </w:t>
      </w:r>
    </w:p>
    <w:p>
      <w:pPr>
        <w:pStyle w:val="TextBody"/>
        <w:bidi w:val="0"/>
        <w:spacing w:before="240" w:after="0"/>
        <w:jc w:val="left"/>
        <w:rPr>
          <w:rFonts w:ascii="Arial" w:hAnsi="Arial"/>
          <w:sz w:val="20"/>
        </w:rPr>
      </w:pPr>
      <w:r>
        <w:rPr>
          <w:rFonts w:ascii="Arial" w:hAnsi="Arial"/>
          <w:sz w:val="20"/>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these securities, see “Plan of Distribution” beginning on page 25 of this prospectus. </w:t>
      </w:r>
    </w:p>
    <w:p>
      <w:pPr>
        <w:pStyle w:val="TextBody"/>
        <w:bidi w:val="0"/>
        <w:spacing w:before="240" w:after="0"/>
        <w:jc w:val="left"/>
        <w:rPr>
          <w:rFonts w:ascii="Arial" w:hAnsi="Arial"/>
          <w:sz w:val="20"/>
        </w:rPr>
      </w:pPr>
      <w:r>
        <w:rPr>
          <w:rFonts w:ascii="Arial" w:hAnsi="Arial"/>
          <w:sz w:val="20"/>
        </w:rPr>
        <w:t xml:space="preserve">Our ordinary shares are listed on The Nasdaq Stock Market LLC (“Nasdaq”) under the symbol “IMTX.” </w:t>
      </w:r>
    </w:p>
    <w:p>
      <w:pPr>
        <w:pStyle w:val="TextBody"/>
        <w:bidi w:val="0"/>
        <w:spacing w:before="280" w:after="0"/>
        <w:jc w:val="left"/>
        <w:rPr/>
      </w:pPr>
      <w:r>
        <w:rPr>
          <w:rFonts w:ascii="Arial" w:hAnsi="Arial"/>
          <w:b/>
          <w:sz w:val="20"/>
        </w:rPr>
        <w:t>Investing in our securities involves a high degree of risk. See the “</w:t>
      </w:r>
      <w:hyperlink w:anchor="toc149127_3">
        <w:r>
          <w:rPr>
            <w:rStyle w:val="InternetLink"/>
            <w:rFonts w:ascii="Arial" w:hAnsi="Arial"/>
            <w:b/>
            <w:sz w:val="20"/>
          </w:rPr>
          <w:t>Risk Factors</w:t>
        </w:r>
      </w:hyperlink>
      <w:r>
        <w:rPr>
          <w:rFonts w:ascii="Arial" w:hAnsi="Arial"/>
          <w:b/>
          <w:sz w:val="20"/>
        </w:rPr>
        <w:t xml:space="preserve">” section beginning on page 5 of this prospectus and, if applicable, any risk factors described in any applicable prospectus supplement and in our Securities and Exchange Commission (“SEC”) filings that are incorporated by reference in this prospectus. </w:t>
      </w:r>
    </w:p>
    <w:p>
      <w:pPr>
        <w:pStyle w:val="TextBody"/>
        <w:bidi w:val="0"/>
        <w:spacing w:before="28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80" w:after="0"/>
        <w:jc w:val="center"/>
        <w:rPr>
          <w:rFonts w:ascii="Arial" w:hAnsi="Arial"/>
          <w:sz w:val="20"/>
        </w:rPr>
      </w:pPr>
      <w:r>
        <w:rPr>
          <w:rFonts w:ascii="Arial" w:hAnsi="Arial"/>
          <w:sz w:val="20"/>
        </w:rPr>
        <w:t xml:space="preserve">Prospectus dated April 3,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2"/>
        <w:gridCol w:w="167"/>
        <w:gridCol w:w="60"/>
        <w:gridCol w:w="263"/>
        <w:gridCol w:w="63"/>
      </w:tblGrid>
      <w:tr>
        <w:trPr/>
        <w:tc>
          <w:tcPr>
            <w:tcW w:w="965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
              <w:r>
                <w:rPr>
                  <w:rStyle w:val="InternetLink"/>
                  <w:rFonts w:ascii="Arial" w:hAnsi="Arial"/>
                  <w:sz w:val="19"/>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2">
              <w:r>
                <w:rPr>
                  <w:rStyle w:val="InternetLink"/>
                  <w:rFonts w:ascii="Arial" w:hAnsi="Arial"/>
                  <w:sz w:val="19"/>
                </w:rPr>
                <w:t>OUR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3">
              <w:r>
                <w:rPr>
                  <w:rStyle w:val="InternetLink"/>
                  <w:rFonts w:ascii="Arial" w:hAnsi="Arial"/>
                  <w:sz w:val="19"/>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4">
              <w:r>
                <w:rPr>
                  <w:rStyle w:val="InternetLink"/>
                  <w:rFonts w:ascii="Arial" w:hAnsi="Arial"/>
                  <w:sz w:val="19"/>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5">
              <w:r>
                <w:rPr>
                  <w:rStyle w:val="InternetLink"/>
                  <w:rFonts w:ascii="Arial" w:hAnsi="Arial"/>
                  <w:sz w:val="19"/>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6">
              <w:r>
                <w:rPr>
                  <w:rStyle w:val="InternetLink"/>
                  <w:rFonts w:ascii="Arial" w:hAnsi="Arial"/>
                  <w:sz w:val="19"/>
                </w:rPr>
                <w:t>DIVIDEND POLICY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7">
              <w:r>
                <w:rPr>
                  <w:rStyle w:val="InternetLink"/>
                  <w:rFonts w:ascii="Arial" w:hAnsi="Arial"/>
                  <w:sz w:val="19"/>
                </w:rPr>
                <w:t>DESCRIPTION OF SHARE CAPITAL AND ARTICLES OF ASSOCIATION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8">
              <w:r>
                <w:rPr>
                  <w:rStyle w:val="InternetLink"/>
                  <w:rFonts w:ascii="Arial" w:hAnsi="Arial"/>
                  <w:sz w:val="19"/>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9">
              <w:r>
                <w:rPr>
                  <w:rStyle w:val="InternetLink"/>
                  <w:rFonts w:ascii="Arial" w:hAnsi="Arial"/>
                  <w:sz w:val="19"/>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0">
              <w:r>
                <w:rPr>
                  <w:rStyle w:val="InternetLink"/>
                  <w:rFonts w:ascii="Arial" w:hAnsi="Arial"/>
                  <w:sz w:val="19"/>
                </w:rPr>
                <w:t>DESCRIPTION OF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1">
              <w:r>
                <w:rPr>
                  <w:rStyle w:val="InternetLink"/>
                  <w:rFonts w:ascii="Arial" w:hAnsi="Arial"/>
                  <w:sz w:val="19"/>
                </w:rPr>
                <w:t>DESCRIPTION OF PURCHASE CONTRACTS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2">
              <w:r>
                <w:rPr>
                  <w:rStyle w:val="InternetLink"/>
                  <w:rFonts w:ascii="Arial" w:hAnsi="Arial"/>
                  <w:sz w:val="19"/>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3">
              <w:r>
                <w:rPr>
                  <w:rStyle w:val="InternetLink"/>
                  <w:rFonts w:ascii="Arial" w:hAnsi="Arial"/>
                  <w:sz w:val="19"/>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4">
              <w:r>
                <w:rPr>
                  <w:rStyle w:val="InternetLink"/>
                  <w:rFonts w:ascii="Arial" w:hAnsi="Arial"/>
                  <w:sz w:val="19"/>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5">
              <w:r>
                <w:rPr>
                  <w:rStyle w:val="InternetLink"/>
                  <w:rFonts w:ascii="Arial" w:hAnsi="Arial"/>
                  <w:sz w:val="19"/>
                </w:rPr>
                <w:t>EXPENSES OF 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6">
              <w:r>
                <w:rPr>
                  <w:rStyle w:val="InternetLink"/>
                  <w:rFonts w:ascii="Arial" w:hAnsi="Arial"/>
                  <w:sz w:val="19"/>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7">
              <w:r>
                <w:rPr>
                  <w:rStyle w:val="InternetLink"/>
                  <w:rFonts w:ascii="Arial" w:hAnsi="Arial"/>
                  <w:sz w:val="19"/>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8">
              <w:r>
                <w:rPr>
                  <w:rStyle w:val="InternetLink"/>
                  <w:rFonts w:ascii="Arial" w:hAnsi="Arial"/>
                  <w:sz w:val="19"/>
                </w:rPr>
                <w:t>ENFORCEMENT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19">
              <w:r>
                <w:rPr>
                  <w:rStyle w:val="InternetLink"/>
                  <w:rFonts w:ascii="Arial" w:hAnsi="Arial"/>
                  <w:sz w:val="19"/>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240" w:hRule="atLeast"/>
        </w:trPr>
        <w:tc>
          <w:tcPr>
            <w:tcW w:w="9652" w:type="dxa"/>
            <w:tcBorders/>
            <w:vAlign w:val="center"/>
          </w:tcPr>
          <w:p>
            <w:pPr>
              <w:pStyle w:val="TableContents"/>
              <w:bidi w:val="0"/>
              <w:spacing w:before="0" w:after="283"/>
              <w:jc w:val="left"/>
              <w:rPr>
                <w:sz w:val="4"/>
                <w:szCs w:val="4"/>
              </w:rPr>
            </w:pPr>
            <w:r>
              <w:rPr>
                <w:sz w:val="4"/>
                <w:szCs w:val="4"/>
              </w:rPr>
            </w:r>
          </w:p>
        </w:tc>
        <w:tc>
          <w:tcPr>
            <w:tcW w:w="553" w:type="dxa"/>
            <w:gridSpan w:val="4"/>
            <w:tcBorders/>
            <w:vAlign w:val="center"/>
          </w:tcPr>
          <w:p>
            <w:pPr>
              <w:pStyle w:val="TableContents"/>
              <w:bidi w:val="0"/>
              <w:spacing w:before="0" w:after="283"/>
              <w:jc w:val="left"/>
              <w:rPr>
                <w:sz w:val="4"/>
                <w:szCs w:val="4"/>
              </w:rPr>
            </w:pPr>
            <w:r>
              <w:rPr>
                <w:sz w:val="4"/>
                <w:szCs w:val="4"/>
              </w:rPr>
            </w:r>
          </w:p>
        </w:tc>
      </w:tr>
      <w:tr>
        <w:trPr/>
        <w:tc>
          <w:tcPr>
            <w:tcW w:w="9652" w:type="dxa"/>
            <w:tcBorders/>
            <w:vAlign w:val="bottom"/>
          </w:tcPr>
          <w:p>
            <w:pPr>
              <w:pStyle w:val="TableContents"/>
              <w:bidi w:val="0"/>
              <w:spacing w:before="0" w:after="0"/>
              <w:jc w:val="left"/>
              <w:rPr/>
            </w:pPr>
            <w:hyperlink w:anchor="toc149127_20">
              <w:r>
                <w:rPr>
                  <w:rStyle w:val="InternetLink"/>
                  <w:rFonts w:ascii="Arial" w:hAnsi="Arial"/>
                  <w:sz w:val="19"/>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7" w:name="toc149127_1"/>
      <w:bookmarkEnd w:id="17"/>
      <w:r>
        <w:rPr>
          <w:rFonts w:ascii="Arial" w:hAnsi="Arial"/>
          <w:b/>
          <w:sz w:val="20"/>
        </w:rPr>
        <w:t xml:space="preserve">ABOUT THIS PROSPECTUS </w:t>
      </w:r>
    </w:p>
    <w:p>
      <w:pPr>
        <w:pStyle w:val="TextBody"/>
        <w:bidi w:val="0"/>
        <w:spacing w:before="360" w:after="0"/>
        <w:jc w:val="left"/>
        <w:rPr>
          <w:rFonts w:ascii="Arial" w:hAnsi="Arial"/>
          <w:sz w:val="19"/>
        </w:rPr>
      </w:pPr>
      <w:r>
        <w:rPr>
          <w:rFonts w:ascii="Arial" w:hAnsi="Arial"/>
          <w:sz w:val="19"/>
        </w:rPr>
        <w:t xml:space="preserve">This prospectus is a part of a registration statement that we filed with the SEC using a “shelf” registration process. Under this shelf registration process, we may offer and sell from time to time, in one or more offerings, any combination of the securities described in this prospectus. This prospectus describes the general terms of these securities and the general manner in which these securities will be offered. Each time we offer or sell securities, we will provide the specific terms of these securities and the specific manner in which these securities will be offered and sold in supplements to this prospectus. The prospectus supplements may also supplement, update or amend information contained in this prospectus. </w:t>
      </w:r>
    </w:p>
    <w:p>
      <w:pPr>
        <w:pStyle w:val="TextBody"/>
        <w:bidi w:val="0"/>
        <w:spacing w:before="180" w:after="0"/>
        <w:jc w:val="left"/>
        <w:rPr>
          <w:rFonts w:ascii="Arial" w:hAnsi="Arial"/>
          <w:sz w:val="19"/>
        </w:rPr>
      </w:pPr>
      <w:r>
        <w:rPr>
          <w:rFonts w:ascii="Arial" w:hAnsi="Arial"/>
          <w:sz w:val="19"/>
        </w:rPr>
        <w:t xml:space="preserve">Before buying any of the securities offered by this prospectus, you should carefully read both this prospectus and any prospectus supplement, together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 </w:t>
      </w:r>
    </w:p>
    <w:p>
      <w:pPr>
        <w:pStyle w:val="TextBody"/>
        <w:bidi w:val="0"/>
        <w:spacing w:before="180" w:after="0"/>
        <w:jc w:val="left"/>
        <w:rPr>
          <w:rFonts w:ascii="Arial" w:hAnsi="Arial"/>
          <w:sz w:val="19"/>
        </w:rPr>
      </w:pPr>
      <w:r>
        <w:rPr>
          <w:rFonts w:ascii="Arial" w:hAnsi="Arial"/>
          <w:sz w:val="19"/>
        </w:rPr>
        <w:t xml:space="preserve">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 </w:t>
      </w:r>
    </w:p>
    <w:p>
      <w:pPr>
        <w:pStyle w:val="TextBody"/>
        <w:bidi w:val="0"/>
        <w:spacing w:before="180" w:after="0"/>
        <w:jc w:val="left"/>
        <w:rPr>
          <w:rFonts w:ascii="Arial" w:hAnsi="Arial"/>
          <w:sz w:val="19"/>
        </w:rPr>
      </w:pPr>
      <w:r>
        <w:rPr>
          <w:rFonts w:ascii="Arial" w:hAnsi="Arial"/>
          <w:sz w:val="19"/>
        </w:rPr>
        <w:t xml:space="preserve">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 </w:t>
      </w:r>
    </w:p>
    <w:p>
      <w:pPr>
        <w:pStyle w:val="TextBody"/>
        <w:bidi w:val="0"/>
        <w:spacing w:before="180" w:after="0"/>
        <w:jc w:val="left"/>
        <w:rPr>
          <w:rFonts w:ascii="Arial" w:hAnsi="Arial"/>
          <w:sz w:val="19"/>
        </w:rPr>
      </w:pPr>
      <w:r>
        <w:rPr>
          <w:rFonts w:ascii="Arial" w:hAnsi="Arial"/>
          <w:sz w:val="19"/>
        </w:rPr>
        <w:t xml:space="preserve">Neither we nor any underwriters, dealers or agents have authorized anyone to provide you with information that is different from that contained or incorporated by reference in this prospectus, any amendment or supplement to this prospectus, or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w:t>
      </w:r>
    </w:p>
    <w:p>
      <w:pPr>
        <w:pStyle w:val="TextBody"/>
        <w:bidi w:val="0"/>
        <w:spacing w:before="180" w:after="0"/>
        <w:jc w:val="left"/>
        <w:rPr>
          <w:rFonts w:ascii="Arial" w:hAnsi="Arial"/>
          <w:sz w:val="19"/>
        </w:rPr>
      </w:pPr>
      <w:r>
        <w:rPr>
          <w:rFonts w:ascii="Arial" w:hAnsi="Arial"/>
          <w:sz w:val="19"/>
        </w:rPr>
        <w:t xml:space="preserve">For investors outside the United States: Neither we nor any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 </w:t>
      </w:r>
    </w:p>
    <w:p>
      <w:pPr>
        <w:pStyle w:val="TextBody"/>
        <w:bidi w:val="0"/>
        <w:spacing w:before="180" w:after="0"/>
        <w:jc w:val="left"/>
        <w:rPr>
          <w:rFonts w:ascii="Arial" w:hAnsi="Arial"/>
          <w:sz w:val="19"/>
        </w:rPr>
      </w:pPr>
      <w:r>
        <w:rPr>
          <w:rFonts w:ascii="Arial" w:hAnsi="Arial"/>
          <w:sz w:val="19"/>
        </w:rPr>
        <w:t>Unless otherwise indicated or the context otherwise requires, (i) all references to the “company,” “we,” “our” or “us” or similar terms refer to Immatics N.V., together with its subsidiaries, including Immatics Biotechnologies GmbH and Immatics US, Inc., and (ii) references to “Immatics” refer solely to Immatics N.V. Immatics N.V. is a Dutch public limited liability company (</w:t>
      </w:r>
      <w:r>
        <w:rPr>
          <w:rFonts w:ascii="Arial" w:hAnsi="Arial"/>
          <w:i/>
          <w:sz w:val="19"/>
        </w:rPr>
        <w:t>naamloze vennootschap</w:t>
      </w:r>
      <w:r>
        <w:rPr>
          <w:rFonts w:ascii="Arial" w:hAnsi="Arial"/>
          <w:sz w:val="19"/>
        </w:rPr>
        <w:t xml:space="preserve">) incorporated on March 10, 2020 and the holding company of Immatics Biotechnologies GmbH, a German biopharmaceutical company incorporated in 2000 focused on the development of T cell receptor-based immunotherapies for the treatment of cancer. Immatics Biotechnologies GmbH holds all material assets and conducts all business activities and operations of Immatics N.V.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Trademarks </w:t>
      </w:r>
    </w:p>
    <w:p>
      <w:pPr>
        <w:pStyle w:val="TextBody"/>
        <w:bidi w:val="0"/>
        <w:spacing w:before="80" w:after="0"/>
        <w:jc w:val="left"/>
        <w:rPr>
          <w:rFonts w:ascii="Arial" w:hAnsi="Arial"/>
          <w:sz w:val="19"/>
        </w:rPr>
      </w:pPr>
      <w:r>
        <w:rPr>
          <w:rFonts w:ascii="Arial" w:hAnsi="Arial"/>
          <w:sz w:val="19"/>
        </w:rPr>
        <w:t xml:space="preserve">We own various trademark registrations and applications, and unregistered trademarks, including Immatics®, XPRESIDENT®, ACTengine®, ACTallo®, ACTolog®, XCEPTOR®, TCER®, AbsQuant®, IMADetect® and our corporate logo. All other trade names, trademarks and service marks of other companies appearing in this prospectus are the property of their respective owners. Solely for convenience, the trademarks and trade names in this prospectus may be referred to without the ® and TM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 </w:t>
      </w:r>
    </w:p>
    <w:p>
      <w:pPr>
        <w:pStyle w:val="TextBody"/>
        <w:bidi w:val="0"/>
        <w:spacing w:before="240" w:after="0"/>
        <w:jc w:val="left"/>
        <w:rPr>
          <w:rFonts w:ascii="Arial" w:hAnsi="Arial"/>
          <w:b/>
          <w:sz w:val="20"/>
        </w:rPr>
      </w:pPr>
      <w:r>
        <w:rPr>
          <w:rFonts w:ascii="Arial" w:hAnsi="Arial"/>
          <w:b/>
          <w:sz w:val="20"/>
        </w:rPr>
        <w:t xml:space="preserve">Presentation of Financial Information </w:t>
      </w:r>
    </w:p>
    <w:p>
      <w:pPr>
        <w:pStyle w:val="TextBody"/>
        <w:bidi w:val="0"/>
        <w:spacing w:before="80" w:after="0"/>
        <w:jc w:val="left"/>
        <w:rPr>
          <w:rFonts w:ascii="Arial" w:hAnsi="Arial"/>
          <w:sz w:val="19"/>
        </w:rPr>
      </w:pPr>
      <w:r>
        <w:rPr>
          <w:rFonts w:ascii="Arial" w:hAnsi="Arial"/>
          <w:sz w:val="19"/>
        </w:rPr>
        <w:t>Our consolidated financial statements are presented in euros and have been prepared in accordance with International Financial Reporting Standards as issued by the International Accounting Standards Board (“IFRS”). None of the consolidated financial statements were prepared in accordance with generally accepted accounting principles in the United States (“U.S. GAAP”). The terms “dollar,” “USD” or “$” refer to the U.S. dollar and the term “euro,” “EUR” or “</w:t>
      </w:r>
      <w:r>
        <w:rPr>
          <w:rFonts w:ascii="Times New Roman" w:hAnsi="Times New Roman"/>
          <w:sz w:val="19"/>
        </w:rPr>
        <w:t></w:t>
      </w:r>
      <w:r>
        <w:rPr>
          <w:rFonts w:ascii="Arial" w:hAnsi="Arial"/>
          <w:sz w:val="19"/>
        </w:rPr>
        <w:t xml:space="preserve">” refer to the euro, unless otherwise indicated. The exchange rate used for conversion between U.S. dollars and euros is based on the ECB euro reference exchange rate published by the European Central Bank. We have made rounding adjustments to some of the figures included in this prospectus. Accordingly, any numerical discrepancies in any table between totals and sums of the amounts listed are due to rounding. </w:t>
      </w:r>
    </w:p>
    <w:p>
      <w:pPr>
        <w:pStyle w:val="TextBody"/>
        <w:bidi w:val="0"/>
        <w:spacing w:before="240" w:after="0"/>
        <w:jc w:val="left"/>
        <w:rPr>
          <w:rFonts w:ascii="Arial" w:hAnsi="Arial"/>
          <w:b/>
          <w:sz w:val="20"/>
        </w:rPr>
      </w:pPr>
      <w:r>
        <w:rPr>
          <w:rFonts w:ascii="Arial" w:hAnsi="Arial"/>
          <w:b/>
          <w:sz w:val="20"/>
        </w:rPr>
        <w:t xml:space="preserve">Market and Industry Data </w:t>
      </w:r>
    </w:p>
    <w:p>
      <w:pPr>
        <w:pStyle w:val="TextBody"/>
        <w:bidi w:val="0"/>
        <w:spacing w:before="80" w:after="0"/>
        <w:jc w:val="left"/>
        <w:rPr>
          <w:rFonts w:ascii="Arial" w:hAnsi="Arial"/>
          <w:sz w:val="19"/>
        </w:rPr>
      </w:pPr>
      <w:r>
        <w:rPr>
          <w:rFonts w:ascii="Arial" w:hAnsi="Arial"/>
          <w:sz w:val="19"/>
        </w:rPr>
        <w:t xml:space="preserve">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While we are not aware of any misstatements regarding such third-party publications, surveys and studies, industry, market and competitive position data involve risks and uncertainties and are subject to change based on various factors, including those identified in the “Risk Factors” section of this prospectus and in any applicable prospectus supplement and the documents incorporated by reference in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8" w:name="toc149127_2"/>
      <w:bookmarkEnd w:id="18"/>
      <w:r>
        <w:rPr>
          <w:rFonts w:ascii="Arial" w:hAnsi="Arial"/>
          <w:b/>
          <w:sz w:val="20"/>
        </w:rPr>
        <w:t xml:space="preserve">OUR COMPANY </w:t>
      </w:r>
    </w:p>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 xml:space="preserve">We are a clinical-stage biotechnology company dedicated to the development of T cell receptor (“TCR”)- based immunotherapies for patients with solid tumors and high unmet medical needs. Our mission is to deliver a meaningful impact on the lives of these patients by producing novel TCR-based immunotherapies that provide tangible clinical benefits. We strive to become an industry-leading, fully integrated global biopharmaceutical company engaged in developing, manufacturing and commercializing TCR-based immunotherapies for the benefit of cancer patients, our shareholders, our employees and our partners. </w:t>
      </w:r>
    </w:p>
    <w:p>
      <w:pPr>
        <w:pStyle w:val="TextBody"/>
        <w:bidi w:val="0"/>
        <w:spacing w:before="180" w:after="0"/>
        <w:jc w:val="left"/>
        <w:rPr>
          <w:rFonts w:ascii="Arial" w:hAnsi="Arial"/>
          <w:sz w:val="19"/>
        </w:rPr>
      </w:pPr>
      <w:r>
        <w:rPr>
          <w:rFonts w:ascii="Arial" w:hAnsi="Arial"/>
          <w:sz w:val="19"/>
        </w:rPr>
        <w:t xml:space="preserve">By utilizing TCR-based therapeutics, we are able to direct T cells to intracellular cancer targets that are </w:t>
      </w:r>
      <w:r>
        <w:rPr>
          <w:rFonts w:ascii="Arial" w:hAnsi="Arial"/>
          <w:i/>
          <w:sz w:val="19"/>
        </w:rPr>
        <w:t>not</w:t>
      </w:r>
      <w:r>
        <w:rPr>
          <w:rFonts w:ascii="Arial" w:hAnsi="Arial"/>
          <w:sz w:val="19"/>
        </w:rPr>
        <w:t xml:space="preserve"> accessible through classical antibody-based or CAR-T therapies. We believe that by identifying what we call </w:t>
      </w:r>
      <w:r>
        <w:rPr>
          <w:rFonts w:ascii="Arial" w:hAnsi="Arial"/>
          <w:i/>
          <w:sz w:val="19"/>
        </w:rPr>
        <w:t>true</w:t>
      </w:r>
      <w:r>
        <w:rPr>
          <w:rFonts w:ascii="Arial" w:hAnsi="Arial"/>
          <w:sz w:val="19"/>
        </w:rPr>
        <w:t xml:space="preserve"> cancer targets and the </w:t>
      </w:r>
      <w:r>
        <w:rPr>
          <w:rFonts w:ascii="Arial" w:hAnsi="Arial"/>
          <w:i/>
          <w:sz w:val="19"/>
        </w:rPr>
        <w:t>right</w:t>
      </w:r>
      <w:r>
        <w:rPr>
          <w:rFonts w:ascii="Arial" w:hAnsi="Arial"/>
          <w:sz w:val="19"/>
        </w:rPr>
        <w:t xml:space="preserve"> TCRs, we are well positioned to transform current treatment paradigms. We develop product candidates in two therapeutic modalities: autologous TCR-engineered adoptive T cell therapies, also called TCR-T (“ACTengine”), and antibody-like TCR Bispecifics, also called T Cell Engaging Receptors (“TCER”). Each modality is designed with distinct attributes and mechanisms of action to produce the desired therapeutic effect for the targeted cancer patient populations. </w:t>
      </w:r>
    </w:p>
    <w:p>
      <w:pPr>
        <w:pStyle w:val="TextBody"/>
        <w:bidi w:val="0"/>
        <w:spacing w:before="240" w:after="0"/>
        <w:jc w:val="left"/>
        <w:rPr>
          <w:rFonts w:ascii="Arial" w:hAnsi="Arial"/>
          <w:b/>
          <w:sz w:val="20"/>
        </w:rPr>
      </w:pPr>
      <w:r>
        <w:rPr>
          <w:rFonts w:ascii="Arial" w:hAnsi="Arial"/>
          <w:b/>
          <w:sz w:val="20"/>
        </w:rPr>
        <w:t xml:space="preserve">Company and Corporate Information </w:t>
      </w:r>
    </w:p>
    <w:p>
      <w:pPr>
        <w:pStyle w:val="TextBody"/>
        <w:bidi w:val="0"/>
        <w:spacing w:before="80" w:after="0"/>
        <w:jc w:val="left"/>
        <w:rPr>
          <w:rFonts w:ascii="Arial" w:hAnsi="Arial"/>
          <w:sz w:val="19"/>
        </w:rPr>
      </w:pPr>
      <w:r>
        <w:rPr>
          <w:rFonts w:ascii="Arial" w:hAnsi="Arial"/>
          <w:sz w:val="19"/>
        </w:rPr>
        <w:t>We were incorporated as a Dutch private limited liability company (</w:t>
      </w:r>
      <w:r>
        <w:rPr>
          <w:rFonts w:ascii="Arial" w:hAnsi="Arial"/>
          <w:i/>
          <w:sz w:val="19"/>
        </w:rPr>
        <w:t>besloten vennootschap met beperkte aansprakelijkheid</w:t>
      </w:r>
      <w:r>
        <w:rPr>
          <w:rFonts w:ascii="Arial" w:hAnsi="Arial"/>
          <w:sz w:val="19"/>
        </w:rPr>
        <w:t>) under the name Immatics B.V. on March 10, 2020 solely for the purpose of effectuating the business combination (the “Business Combination”) between us, ARYA Sciences Acquisition Corp., a Cayman Islands exempted company, Immatics Biotechnologies GmbH, a German limited liability company, Immatics Merger Sub 1, a Cayman Islands exempted company, and Immatics Merger Sub 2, a Cayman Islands exempted company. Upon the closing of the Business Combination on July 1, 2020, we converted into a Dutch public limited liability company (</w:t>
      </w:r>
      <w:r>
        <w:rPr>
          <w:rFonts w:ascii="Arial" w:hAnsi="Arial"/>
          <w:i/>
          <w:sz w:val="19"/>
        </w:rPr>
        <w:t>naamloze vennootschap</w:t>
      </w:r>
      <w:r>
        <w:rPr>
          <w:rFonts w:ascii="Arial" w:hAnsi="Arial"/>
          <w:sz w:val="19"/>
        </w:rPr>
        <w:t xml:space="preserve">) and changed our name to Immatics N.V. </w:t>
      </w:r>
    </w:p>
    <w:p>
      <w:pPr>
        <w:pStyle w:val="TextBody"/>
        <w:bidi w:val="0"/>
        <w:spacing w:before="180" w:after="0"/>
        <w:jc w:val="left"/>
        <w:rPr>
          <w:rFonts w:ascii="Arial" w:hAnsi="Arial"/>
          <w:sz w:val="19"/>
        </w:rPr>
      </w:pPr>
      <w:r>
        <w:rPr>
          <w:rFonts w:ascii="Arial" w:hAnsi="Arial"/>
          <w:sz w:val="19"/>
        </w:rPr>
        <w:t>We are registered in the Commercial Register of the Chamber of Commerce (</w:t>
      </w:r>
      <w:r>
        <w:rPr>
          <w:rFonts w:ascii="Arial" w:hAnsi="Arial"/>
          <w:i/>
          <w:sz w:val="19"/>
        </w:rPr>
        <w:t>Kamer van Koophandel</w:t>
      </w:r>
      <w:r>
        <w:rPr>
          <w:rFonts w:ascii="Arial" w:hAnsi="Arial"/>
          <w:sz w:val="19"/>
        </w:rPr>
        <w:t xml:space="preserve">) in the Netherlands under number 77595726. We have our corporate seat in Amsterdam, the Netherlands and our registered office is at Paul-Ehrlich-Straße 15, 72076 Tübingen, Federal Republic of Germany, and our telephone number is +49 (7071) 5397-0. Our executive office in the United States is located at Immatics US, Inc., 13203 Murphy Rd., Suite 100, Stafford, Texas 77477 and our telephone number is +1 (346) 204-5400. Our website is </w:t>
      </w:r>
      <w:r>
        <w:rPr>
          <w:rFonts w:ascii="Arial" w:hAnsi="Arial"/>
          <w:i/>
          <w:sz w:val="19"/>
        </w:rPr>
        <w:t>www.immatics.com</w:t>
      </w:r>
      <w:r>
        <w:rPr>
          <w:rFonts w:ascii="Arial" w:hAnsi="Arial"/>
          <w:sz w:val="19"/>
        </w:rPr>
        <w:t xml:space="preserve">. The reference to our website is an inactive textual reference only, and information contained therein or connected thereto is not incorporated into this prospectus or the registration statement of which it forms a part. </w:t>
      </w:r>
    </w:p>
    <w:p>
      <w:pPr>
        <w:pStyle w:val="TextBody"/>
        <w:bidi w:val="0"/>
        <w:spacing w:before="240" w:after="0"/>
        <w:jc w:val="left"/>
        <w:rPr>
          <w:rFonts w:ascii="Arial" w:hAnsi="Arial"/>
          <w:b/>
          <w:sz w:val="20"/>
        </w:rPr>
      </w:pPr>
      <w:r>
        <w:rPr>
          <w:rFonts w:ascii="Arial" w:hAnsi="Arial"/>
          <w:b/>
          <w:sz w:val="20"/>
        </w:rPr>
        <w:t xml:space="preserve">Implications of Being a Foreign Private Issuer </w:t>
      </w:r>
    </w:p>
    <w:p>
      <w:pPr>
        <w:pStyle w:val="TextBody"/>
        <w:bidi w:val="0"/>
        <w:spacing w:before="80" w:after="0"/>
        <w:jc w:val="left"/>
        <w:rPr>
          <w:rFonts w:ascii="Arial" w:hAnsi="Arial"/>
          <w:sz w:val="19"/>
        </w:rPr>
      </w:pPr>
      <w:r>
        <w:rPr>
          <w:rFonts w:ascii="Arial" w:hAnsi="Arial"/>
          <w:sz w:val="19"/>
        </w:rPr>
        <w:t xml:space="preserve">We are a “foreign private issuer.” Accordingly, we report under the Exchange Act of 1934, as amended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bidi w:val="0"/>
        <w:spacing w:before="180" w:after="0"/>
        <w:jc w:val="left"/>
        <w:rPr>
          <w:rFonts w:ascii="Arial" w:hAnsi="Arial"/>
          <w:sz w:val="19"/>
        </w:rPr>
      </w:pPr>
      <w:r>
        <w:rPr>
          <w:rFonts w:ascii="Arial" w:hAnsi="Arial"/>
          <w:sz w:val="19"/>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this prospectus and in the documents incorporated by reference in this prospectus, we have taken advantage of certain of the reduced reporting requirements as a result of being a foreign private issuer. Accordingly, the information contained in this prospectus and in the documents incorporated by reference in this prospectus may be different than the information you receive from other public companies in which you hold equity securities.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9" w:name="toc149127_3"/>
      <w:bookmarkEnd w:id="19"/>
      <w:r>
        <w:rPr>
          <w:rFonts w:ascii="Arial" w:hAnsi="Arial"/>
          <w:b/>
          <w:sz w:val="20"/>
        </w:rPr>
        <w:t xml:space="preserve">RISK FACTORS </w:t>
      </w:r>
    </w:p>
    <w:p>
      <w:pPr>
        <w:pStyle w:val="TextBody"/>
        <w:bidi w:val="0"/>
        <w:spacing w:before="360" w:after="0"/>
        <w:jc w:val="left"/>
        <w:rPr>
          <w:rFonts w:ascii="Arial" w:hAnsi="Arial"/>
          <w:sz w:val="19"/>
        </w:rPr>
      </w:pPr>
      <w:r>
        <w:rPr>
          <w:rFonts w:ascii="Arial" w:hAnsi="Arial"/>
          <w:sz w:val="19"/>
        </w:rPr>
        <w:t xml:space="preserve">Investing in our securities involves risk. Before making a decision to invest in our securities, you should carefully consider the risks described under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0" w:name="toc149127_4"/>
      <w:bookmarkEnd w:id="20"/>
      <w:r>
        <w:rPr>
          <w:rFonts w:ascii="Arial" w:hAnsi="Arial"/>
          <w:b/>
          <w:sz w:val="20"/>
        </w:rPr>
        <w:t xml:space="preserve">CAUTIONARY STATEMENT REGARDING FORWARD-LOOKING STATEMENTS </w:t>
      </w:r>
    </w:p>
    <w:p>
      <w:pPr>
        <w:pStyle w:val="TextBody"/>
        <w:bidi w:val="0"/>
        <w:spacing w:before="360" w:after="0"/>
        <w:jc w:val="left"/>
        <w:rPr>
          <w:rFonts w:ascii="Arial" w:hAnsi="Arial"/>
          <w:sz w:val="19"/>
        </w:rPr>
      </w:pPr>
      <w:r>
        <w:rPr>
          <w:rFonts w:ascii="Arial" w:hAnsi="Arial"/>
          <w:sz w:val="19"/>
        </w:rPr>
        <w:t xml:space="preserve">This prospectus and the documents incorporated by reference in this prospectus contain statements that constitute forward-looking statements within the meaning of Section 21E of the Exchange Act and Section 27A of the Securities Act of 1933, as amended (the “Securities Act”). All statements other than statements of historical facts, including statements regarding our future results of operations and financial position, business and commercial strategy, potential market opportunities, products and product candidates, research pipeline, ongoing and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w:t>
      </w:r>
    </w:p>
    <w:p>
      <w:pPr>
        <w:pStyle w:val="TextBody"/>
        <w:bidi w:val="0"/>
        <w:spacing w:before="180" w:after="0"/>
        <w:jc w:val="left"/>
        <w:rPr>
          <w:rFonts w:ascii="Arial" w:hAnsi="Arial"/>
          <w:sz w:val="19"/>
        </w:rPr>
      </w:pPr>
      <w:r>
        <w:rPr>
          <w:rFonts w:ascii="Arial" w:hAnsi="Arial"/>
          <w:sz w:val="19"/>
        </w:rPr>
        <w:t xml:space="preserve">Forward-looking statements are based on our management’s beliefs and assumptions and on information available to our management at the time such statements are made. Such statements are subject to risks and uncertainties, and actual results may differ materially from those expressed or implied in the forward-looking statements due to various factors, including, but not limited to, those identified in the “Risk Factors” section of this prospectus and in the documents incorporated by reference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w:t>
      </w:r>
    </w:p>
    <w:p>
      <w:pPr>
        <w:pStyle w:val="TextBody"/>
        <w:bidi w:val="0"/>
        <w:spacing w:before="180" w:after="0"/>
        <w:jc w:val="left"/>
        <w:rPr>
          <w:rFonts w:ascii="Arial" w:hAnsi="Arial"/>
          <w:sz w:val="19"/>
        </w:rPr>
      </w:pPr>
      <w:r>
        <w:rPr>
          <w:rFonts w:ascii="Arial" w:hAnsi="Arial"/>
          <w:sz w:val="19"/>
        </w:rPr>
        <w:t xml:space="preserve">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1" w:name="toc149127_5"/>
      <w:bookmarkEnd w:id="21"/>
      <w:r>
        <w:rPr>
          <w:rFonts w:ascii="Arial" w:hAnsi="Arial"/>
          <w:b/>
          <w:sz w:val="20"/>
        </w:rPr>
        <w:t xml:space="preserve">USE OF PROCEEDS </w:t>
      </w:r>
    </w:p>
    <w:p>
      <w:pPr>
        <w:pStyle w:val="TextBody"/>
        <w:bidi w:val="0"/>
        <w:spacing w:before="360" w:after="0"/>
        <w:jc w:val="left"/>
        <w:rPr>
          <w:rFonts w:ascii="Arial" w:hAnsi="Arial"/>
          <w:sz w:val="19"/>
        </w:rPr>
      </w:pPr>
      <w:r>
        <w:rPr>
          <w:rFonts w:ascii="Arial" w:hAnsi="Arial"/>
          <w:sz w:val="19"/>
        </w:rPr>
        <w:t xml:space="preserve">Unless otherwise indicated in a prospectus supplement, the principal purpose of an offering of securities by us would be to increase our capitalization and financial flexibility and the net proceeds from our sale of the securities will be used for general corporate purposes and other business opportunities.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2" w:name="toc149127_6"/>
      <w:bookmarkEnd w:id="22"/>
      <w:r>
        <w:rPr>
          <w:rFonts w:ascii="Arial" w:hAnsi="Arial"/>
          <w:b/>
          <w:sz w:val="20"/>
        </w:rPr>
        <w:t xml:space="preserve">DIVIDEND POLICY </w:t>
      </w:r>
    </w:p>
    <w:p>
      <w:pPr>
        <w:pStyle w:val="TextBody"/>
        <w:bidi w:val="0"/>
        <w:spacing w:before="360" w:after="0"/>
        <w:jc w:val="left"/>
        <w:rPr>
          <w:rFonts w:ascii="Arial" w:hAnsi="Arial"/>
          <w:sz w:val="19"/>
        </w:rPr>
      </w:pPr>
      <w:r>
        <w:rPr>
          <w:rFonts w:ascii="Arial" w:hAnsi="Arial"/>
          <w:sz w:val="19"/>
        </w:rPr>
        <w:t xml:space="preserve">We have never declared or paid any cash dividends and have no plan to declare or pay any dividends on our ordinary shares in the foreseeable future. We currently intend to retain any earnings for future operations and expansion. </w:t>
      </w:r>
    </w:p>
    <w:p>
      <w:pPr>
        <w:pStyle w:val="TextBody"/>
        <w:bidi w:val="0"/>
        <w:spacing w:before="180" w:after="0"/>
        <w:jc w:val="left"/>
        <w:rPr>
          <w:rFonts w:ascii="Arial" w:hAnsi="Arial"/>
          <w:sz w:val="19"/>
        </w:rPr>
      </w:pPr>
      <w:r>
        <w:rPr>
          <w:rFonts w:ascii="Arial" w:hAnsi="Arial"/>
          <w:sz w:val="19"/>
        </w:rPr>
        <w:t xml:space="preserve">Since we are a holding company, our ability to pay dividends will be dependent upon the financial condition, liquidity and results of operations of, and the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w:t>
      </w:r>
    </w:p>
    <w:p>
      <w:pPr>
        <w:pStyle w:val="TextBody"/>
        <w:bidi w:val="0"/>
        <w:spacing w:before="180" w:after="0"/>
        <w:jc w:val="left"/>
        <w:rPr>
          <w:rFonts w:ascii="Arial" w:hAnsi="Arial"/>
          <w:sz w:val="19"/>
        </w:rPr>
      </w:pPr>
      <w:r>
        <w:rPr>
          <w:rFonts w:ascii="Arial" w:hAnsi="Arial"/>
          <w:sz w:val="19"/>
        </w:rPr>
        <w:t>Under Dutch law, we may only pay dividends and other distributions from our reserves to the extent our shareholders’ equity (</w:t>
      </w:r>
      <w:r>
        <w:rPr>
          <w:rFonts w:ascii="Arial" w:hAnsi="Arial"/>
          <w:i/>
          <w:sz w:val="19"/>
        </w:rPr>
        <w:t>eigen vermogen</w:t>
      </w:r>
      <w:r>
        <w:rPr>
          <w:rFonts w:ascii="Arial" w:hAnsi="Arial"/>
          <w:sz w:val="19"/>
        </w:rPr>
        <w:t xml:space="preserve">)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financial condition, future prospects, contractual restrictions, restrictions imposed by applicable law and other factors we deem relevant. </w:t>
      </w:r>
    </w:p>
    <w:p>
      <w:pPr>
        <w:pStyle w:val="TextBody"/>
        <w:bidi w:val="0"/>
        <w:spacing w:before="180" w:after="0"/>
        <w:jc w:val="left"/>
        <w:rPr>
          <w:rFonts w:ascii="Arial" w:hAnsi="Arial"/>
          <w:sz w:val="19"/>
        </w:rPr>
      </w:pPr>
      <w:r>
        <w:rPr>
          <w:rFonts w:ascii="Arial" w:hAnsi="Arial"/>
          <w:sz w:val="19"/>
        </w:rPr>
        <w:t>Under our articles of association, profits will be at the disposal of the general meeting at the proposal of our board of directors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four weeks after they have been declared unless our general meeting determines another date at the proposal of our board of directors. Claims to dividends and other distributions not made within five years from the date that such dividends or distributions became payable will lapse and any such amounts will be considered to have been forfeited to us (</w:t>
      </w:r>
      <w:r>
        <w:rPr>
          <w:rFonts w:ascii="Arial" w:hAnsi="Arial"/>
          <w:i/>
          <w:sz w:val="19"/>
        </w:rPr>
        <w:t>verjaring</w:t>
      </w:r>
      <w:r>
        <w:rPr>
          <w:rFonts w:ascii="Arial" w:hAnsi="Arial"/>
          <w:sz w:val="19"/>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3" w:name="toc149127_7"/>
      <w:bookmarkEnd w:id="23"/>
      <w:r>
        <w:rPr>
          <w:rFonts w:ascii="Arial" w:hAnsi="Arial"/>
          <w:b/>
          <w:sz w:val="20"/>
        </w:rPr>
        <w:t xml:space="preserve">DESCRIPTION OF SHARE CAPITAL AND ARTICLES OF ASSOCIATION </w:t>
      </w:r>
    </w:p>
    <w:p>
      <w:pPr>
        <w:pStyle w:val="TextBody"/>
        <w:bidi w:val="0"/>
        <w:spacing w:before="360" w:after="0"/>
        <w:jc w:val="left"/>
        <w:rPr>
          <w:rFonts w:ascii="Arial" w:hAnsi="Arial"/>
          <w:b/>
          <w:sz w:val="20"/>
        </w:rPr>
      </w:pPr>
      <w:r>
        <w:rPr>
          <w:rFonts w:ascii="Arial" w:hAnsi="Arial"/>
          <w:b/>
          <w:sz w:val="20"/>
        </w:rPr>
        <w:t xml:space="preserve">The Company </w:t>
      </w:r>
    </w:p>
    <w:p>
      <w:pPr>
        <w:pStyle w:val="TextBody"/>
        <w:bidi w:val="0"/>
        <w:spacing w:before="80" w:after="0"/>
        <w:jc w:val="left"/>
        <w:rPr>
          <w:rFonts w:ascii="Arial" w:hAnsi="Arial"/>
          <w:sz w:val="19"/>
        </w:rPr>
      </w:pPr>
      <w:r>
        <w:rPr>
          <w:rFonts w:ascii="Arial" w:hAnsi="Arial"/>
          <w:sz w:val="19"/>
        </w:rPr>
        <w:t>We were incorporated on March 10, 2020 as a private limited liability company (</w:t>
      </w:r>
      <w:r>
        <w:rPr>
          <w:rFonts w:ascii="Arial" w:hAnsi="Arial"/>
          <w:i/>
          <w:sz w:val="19"/>
        </w:rPr>
        <w:t>besloten vennootschap met beperkte aansprakelijkheid)</w:t>
      </w:r>
      <w:r>
        <w:rPr>
          <w:rFonts w:ascii="Arial" w:hAnsi="Arial"/>
          <w:sz w:val="19"/>
        </w:rPr>
        <w:t xml:space="preserve"> under Dutch law, and upon the consummation of the Business Combination, we converted into a Dutch public limited liability company (</w:t>
      </w:r>
      <w:r>
        <w:rPr>
          <w:rFonts w:ascii="Arial" w:hAnsi="Arial"/>
          <w:i/>
          <w:sz w:val="19"/>
        </w:rPr>
        <w:t>naamloze vennootschap</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We are registered in the Commercial Register of the Chamber of Commerce (</w:t>
      </w:r>
      <w:r>
        <w:rPr>
          <w:rFonts w:ascii="Arial" w:hAnsi="Arial"/>
          <w:i/>
          <w:sz w:val="19"/>
        </w:rPr>
        <w:t>Kamer van Koophandel</w:t>
      </w:r>
      <w:r>
        <w:rPr>
          <w:rFonts w:ascii="Arial" w:hAnsi="Arial"/>
          <w:sz w:val="19"/>
        </w:rPr>
        <w:t xml:space="preserve">) in the Netherlands under number 77595726. We have our corporate seat in Amsterdam, the Netherlands and our registered office is at Paul-Ehrlich-Straße 15, 72076 Tübingen, Federal Republic of Germany. </w:t>
      </w:r>
    </w:p>
    <w:p>
      <w:pPr>
        <w:pStyle w:val="TextBody"/>
        <w:bidi w:val="0"/>
        <w:spacing w:before="240" w:after="0"/>
        <w:jc w:val="left"/>
        <w:rPr>
          <w:rFonts w:ascii="Arial" w:hAnsi="Arial"/>
          <w:b/>
          <w:sz w:val="20"/>
        </w:rPr>
      </w:pPr>
      <w:r>
        <w:rPr>
          <w:rFonts w:ascii="Arial" w:hAnsi="Arial"/>
          <w:b/>
          <w:sz w:val="20"/>
        </w:rPr>
        <w:t xml:space="preserve">Share Capital </w:t>
      </w:r>
    </w:p>
    <w:p>
      <w:pPr>
        <w:pStyle w:val="TextBody"/>
        <w:bidi w:val="0"/>
        <w:spacing w:before="80" w:after="0"/>
        <w:jc w:val="left"/>
        <w:rPr>
          <w:rFonts w:ascii="Arial" w:hAnsi="Arial"/>
          <w:b/>
          <w:i/>
          <w:sz w:val="19"/>
        </w:rPr>
      </w:pPr>
      <w:r>
        <w:rPr>
          <w:rFonts w:ascii="Arial" w:hAnsi="Arial"/>
          <w:b/>
          <w:i/>
          <w:sz w:val="19"/>
        </w:rPr>
        <w:t xml:space="preserve">Authorized Share Capital </w:t>
      </w:r>
    </w:p>
    <w:p>
      <w:pPr>
        <w:pStyle w:val="TextBody"/>
        <w:bidi w:val="0"/>
        <w:spacing w:before="40" w:after="0"/>
        <w:jc w:val="left"/>
        <w:rPr>
          <w:rFonts w:ascii="Arial" w:hAnsi="Arial"/>
          <w:sz w:val="19"/>
        </w:rPr>
      </w:pPr>
      <w:r>
        <w:rPr>
          <w:rFonts w:ascii="Arial" w:hAnsi="Arial"/>
          <w:sz w:val="19"/>
        </w:rPr>
        <w:t xml:space="preserve">Our authorized share capital consists of 285,000,000 ordinary shares, nominal value of </w:t>
      </w:r>
      <w:r>
        <w:rPr>
          <w:rFonts w:ascii="Times New Roman" w:hAnsi="Times New Roman"/>
          <w:sz w:val="19"/>
        </w:rPr>
        <w:t></w:t>
      </w:r>
      <w:r>
        <w:rPr>
          <w:rFonts w:ascii="Arial" w:hAnsi="Arial"/>
          <w:sz w:val="19"/>
        </w:rPr>
        <w:t xml:space="preserve">0.01 per share, and 15,000,000 financing preferred shares. The financing preferred shares are divided into five series, each consisting of 3,000,000 financing preferred shares. </w:t>
      </w:r>
    </w:p>
    <w:p>
      <w:pPr>
        <w:pStyle w:val="TextBody"/>
        <w:bidi w:val="0"/>
        <w:spacing w:before="180" w:after="0"/>
        <w:jc w:val="left"/>
        <w:rPr>
          <w:rFonts w:ascii="Arial" w:hAnsi="Arial"/>
          <w:sz w:val="19"/>
        </w:rPr>
      </w:pPr>
      <w:r>
        <w:rPr>
          <w:rFonts w:ascii="Arial" w:hAnsi="Arial"/>
          <w:sz w:val="19"/>
        </w:rPr>
        <w:t xml:space="preserve">The financing preferred shares may, at the request of the holder, be converted into ordinary shares pursuant to a resolution of our board of directors. The conditions for conversion and the further terms and conditions related to the financing preferred shares will be determined by our board of directors, our general meeting and the meeting of holders of the series of financing preferred shares concerned, if such series of financing preferred shares has been issued and are held by persons other than us. The preceding sentence applies by analogy to any adjustment to the conditions. </w:t>
      </w:r>
    </w:p>
    <w:p>
      <w:pPr>
        <w:pStyle w:val="TextBody"/>
        <w:bidi w:val="0"/>
        <w:spacing w:before="80" w:after="0"/>
        <w:jc w:val="left"/>
        <w:rPr>
          <w:rFonts w:ascii="Arial" w:hAnsi="Arial"/>
          <w:b/>
          <w:i/>
          <w:sz w:val="19"/>
        </w:rPr>
      </w:pPr>
      <w:r>
        <w:rPr>
          <w:rFonts w:ascii="Arial" w:hAnsi="Arial"/>
          <w:b/>
          <w:i/>
          <w:sz w:val="19"/>
        </w:rPr>
        <w:t xml:space="preserve">Changes in Our Share Capital </w:t>
      </w:r>
    </w:p>
    <w:p>
      <w:pPr>
        <w:pStyle w:val="TextBody"/>
        <w:bidi w:val="0"/>
        <w:spacing w:before="40" w:after="0"/>
        <w:jc w:val="left"/>
        <w:rPr>
          <w:rFonts w:ascii="Arial" w:hAnsi="Arial"/>
          <w:sz w:val="19"/>
        </w:rPr>
      </w:pPr>
      <w:r>
        <w:rPr>
          <w:rFonts w:ascii="Arial" w:hAnsi="Arial"/>
          <w:sz w:val="19"/>
        </w:rPr>
        <w:t xml:space="preserve">In this section, share amounts are presented as of the date of the relevant transaction. Since January 1, 2022, our share capital has changed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On October 12, 2022, we completed an SEC-registered equity offering, pursuant to which we issued and sold 10,905,000 ordinary shares, resulting in increases in share capital of </w:t>
            </w:r>
            <w:r>
              <w:rPr>
                <w:rFonts w:ascii="Times New Roman" w:hAnsi="Times New Roman"/>
                <w:sz w:val="19"/>
              </w:rPr>
              <w:t></w:t>
            </w:r>
            <w:r>
              <w:rPr>
                <w:rFonts w:ascii="Arial" w:hAnsi="Arial"/>
                <w:sz w:val="19"/>
              </w:rPr>
              <w:t xml:space="preserve">109 thousand and share premium of </w:t>
            </w:r>
            <w:r>
              <w:rPr>
                <w:rFonts w:ascii="Times New Roman" w:hAnsi="Times New Roman"/>
                <w:sz w:val="19"/>
              </w:rPr>
              <w:t></w:t>
            </w:r>
            <w:r>
              <w:rPr>
                <w:rFonts w:ascii="Arial" w:hAnsi="Arial"/>
                <w:sz w:val="19"/>
              </w:rPr>
              <w:t xml:space="preserve">106.1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During the year ended December 31, 2022, we issued and sold approximately 2.8 million ordinary shares under the sales agreement with Leerink Partners LLC, resulting in increases in share capital of </w:t>
            </w:r>
            <w:r>
              <w:rPr>
                <w:rFonts w:ascii="Times New Roman" w:hAnsi="Times New Roman"/>
                <w:sz w:val="19"/>
              </w:rPr>
              <w:t></w:t>
            </w:r>
            <w:r>
              <w:rPr>
                <w:rFonts w:ascii="Arial" w:hAnsi="Arial"/>
                <w:sz w:val="19"/>
              </w:rPr>
              <w:t xml:space="preserve">28 thousand and share premium of </w:t>
            </w:r>
            <w:r>
              <w:rPr>
                <w:rFonts w:ascii="Times New Roman" w:hAnsi="Times New Roman"/>
                <w:sz w:val="19"/>
              </w:rPr>
              <w:t></w:t>
            </w:r>
            <w:r>
              <w:rPr>
                <w:rFonts w:ascii="Arial" w:hAnsi="Arial"/>
                <w:sz w:val="19"/>
              </w:rPr>
              <w:t xml:space="preserve">20.2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On July 21, 2023, we issued and sold 2,419,818 ordinary shares to Bristol-Myers Squibb Company, resulting in increases in share capital of </w:t>
            </w:r>
            <w:r>
              <w:rPr>
                <w:rFonts w:ascii="Times New Roman" w:hAnsi="Times New Roman"/>
                <w:sz w:val="19"/>
              </w:rPr>
              <w:t></w:t>
            </w:r>
            <w:r>
              <w:rPr>
                <w:rFonts w:ascii="Arial" w:hAnsi="Arial"/>
                <w:sz w:val="19"/>
              </w:rPr>
              <w:t xml:space="preserve">24 thousand and share premium of </w:t>
            </w:r>
            <w:r>
              <w:rPr>
                <w:rFonts w:ascii="Times New Roman" w:hAnsi="Times New Roman"/>
                <w:sz w:val="19"/>
              </w:rPr>
              <w:t></w:t>
            </w:r>
            <w:r>
              <w:rPr>
                <w:rFonts w:ascii="Arial" w:hAnsi="Arial"/>
                <w:sz w:val="19"/>
              </w:rPr>
              <w:t xml:space="preserve">31.2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During the year ended December 31, 2023, we issued and sold approximately 5.5 million ordinary shares under the sales agreement with Leerink Partners LLC, resulting in increases in share capital of </w:t>
            </w:r>
            <w:r>
              <w:rPr>
                <w:rFonts w:ascii="Times New Roman" w:hAnsi="Times New Roman"/>
                <w:sz w:val="19"/>
              </w:rPr>
              <w:t></w:t>
            </w:r>
            <w:r>
              <w:rPr>
                <w:rFonts w:ascii="Arial" w:hAnsi="Arial"/>
                <w:sz w:val="19"/>
              </w:rPr>
              <w:t xml:space="preserve">55 thousand and share premium of </w:t>
            </w:r>
            <w:r>
              <w:rPr>
                <w:rFonts w:ascii="Times New Roman" w:hAnsi="Times New Roman"/>
                <w:sz w:val="19"/>
              </w:rPr>
              <w:t></w:t>
            </w:r>
            <w:r>
              <w:rPr>
                <w:rFonts w:ascii="Arial" w:hAnsi="Arial"/>
                <w:sz w:val="19"/>
              </w:rPr>
              <w:t xml:space="preserve">57.0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On January 22, 2024, we completed an SEC-registered equity offering, pursuant to which we issued and sold 18,313,750 ordinary shares, resulting in increases in share capital of </w:t>
            </w:r>
            <w:r>
              <w:rPr>
                <w:rFonts w:ascii="Times New Roman" w:hAnsi="Times New Roman"/>
                <w:sz w:val="19"/>
              </w:rPr>
              <w:t></w:t>
            </w:r>
            <w:r>
              <w:rPr>
                <w:rFonts w:ascii="Arial" w:hAnsi="Arial"/>
                <w:sz w:val="19"/>
              </w:rPr>
              <w:t xml:space="preserve">183 thousand and share premium of </w:t>
            </w:r>
            <w:r>
              <w:rPr>
                <w:rFonts w:ascii="Times New Roman" w:hAnsi="Times New Roman"/>
                <w:sz w:val="19"/>
              </w:rPr>
              <w:t></w:t>
            </w:r>
            <w:r>
              <w:rPr>
                <w:rFonts w:ascii="Arial" w:hAnsi="Arial"/>
                <w:sz w:val="19"/>
              </w:rPr>
              <w:t xml:space="preserve">173.3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On October 15, 2024, we completed an SEC-registered equity offering, pursuant to which we issued and sold 16,250,000 ordinary shares, resulting in increases in share capital of </w:t>
            </w:r>
            <w:r>
              <w:rPr>
                <w:rFonts w:ascii="Times New Roman" w:hAnsi="Times New Roman"/>
                <w:sz w:val="19"/>
              </w:rPr>
              <w:t></w:t>
            </w:r>
            <w:r>
              <w:rPr>
                <w:rFonts w:ascii="Arial" w:hAnsi="Arial"/>
                <w:sz w:val="19"/>
              </w:rPr>
              <w:t xml:space="preserve">162 thousand and share premium of </w:t>
            </w:r>
            <w:r>
              <w:rPr>
                <w:rFonts w:ascii="Times New Roman" w:hAnsi="Times New Roman"/>
                <w:sz w:val="19"/>
              </w:rPr>
              <w:t></w:t>
            </w:r>
            <w:r>
              <w:rPr>
                <w:rFonts w:ascii="Arial" w:hAnsi="Arial"/>
                <w:sz w:val="19"/>
              </w:rPr>
              <w:t xml:space="preserve">129.1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On November 12, 2024, pursuant to the underwriters’ exercise of their option to purchase additional shares, we issued and sold 2,185,884 ordinary shares, resulting in increases in share capital of </w:t>
            </w:r>
            <w:r>
              <w:rPr>
                <w:rFonts w:ascii="Times New Roman" w:hAnsi="Times New Roman"/>
                <w:sz w:val="19"/>
              </w:rPr>
              <w:t></w:t>
            </w:r>
            <w:r>
              <w:rPr>
                <w:rFonts w:ascii="Arial" w:hAnsi="Arial"/>
                <w:sz w:val="19"/>
              </w:rPr>
              <w:t xml:space="preserve">22 thousand and share premium of </w:t>
            </w:r>
            <w:r>
              <w:rPr>
                <w:rFonts w:ascii="Times New Roman" w:hAnsi="Times New Roman"/>
                <w:sz w:val="19"/>
              </w:rPr>
              <w:t></w:t>
            </w:r>
            <w:r>
              <w:rPr>
                <w:rFonts w:ascii="Arial" w:hAnsi="Arial"/>
                <w:sz w:val="19"/>
              </w:rPr>
              <w:t xml:space="preserve">17.9 million.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Issuance of Ordinary Shares </w:t>
      </w:r>
    </w:p>
    <w:p>
      <w:pPr>
        <w:pStyle w:val="TextBody"/>
        <w:bidi w:val="0"/>
        <w:spacing w:before="40" w:after="0"/>
        <w:jc w:val="left"/>
        <w:rPr>
          <w:rFonts w:ascii="Arial" w:hAnsi="Arial"/>
          <w:sz w:val="19"/>
        </w:rPr>
      </w:pPr>
      <w:r>
        <w:rPr>
          <w:rFonts w:ascii="Arial" w:hAnsi="Arial"/>
          <w:sz w:val="19"/>
        </w:rPr>
        <w:t xml:space="preserve">Under Dutch law, shares are issued and rights to subscribe for shares are granted pursuant to a resolution of our general meeting. Our articles of association provide that the general meeting may only resolve to issue shares upon the proposal of our board of directors. The general meeting may authorize our board of directors to issue new ordinary shares or grant rights to subscribe for ordinary shares. The authorization can be granted and extended, in each case for a period not exceeding five years. For as long as, and to the extent, that such authorization is effective, our general meeting will not have the power to issue ordinary shares. </w:t>
      </w:r>
    </w:p>
    <w:p>
      <w:pPr>
        <w:pStyle w:val="TextBody"/>
        <w:bidi w:val="0"/>
        <w:spacing w:before="180" w:after="0"/>
        <w:jc w:val="left"/>
        <w:rPr>
          <w:rFonts w:ascii="Arial" w:hAnsi="Arial"/>
          <w:sz w:val="19"/>
        </w:rPr>
      </w:pPr>
      <w:r>
        <w:rPr>
          <w:rFonts w:ascii="Arial" w:hAnsi="Arial"/>
          <w:sz w:val="19"/>
        </w:rPr>
        <w:t xml:space="preserve">Pursuant to a resolution of the general meeting dated June 20, 2024, our board of directors is irrevocably authorized for a period of five years from such date, to issue ordinary shares in the Company’s capital and/or to grant rights to subscribe for ordinary shares in the Company’s capital up to the authorized share capital as included in the Company’s articles of association from time to time. </w:t>
      </w:r>
    </w:p>
    <w:p>
      <w:pPr>
        <w:pStyle w:val="TextBody"/>
        <w:bidi w:val="0"/>
        <w:spacing w:before="80" w:after="0"/>
        <w:jc w:val="left"/>
        <w:rPr>
          <w:rFonts w:ascii="Arial" w:hAnsi="Arial"/>
          <w:b/>
          <w:i/>
          <w:sz w:val="19"/>
        </w:rPr>
      </w:pPr>
      <w:r>
        <w:rPr>
          <w:rFonts w:ascii="Arial" w:hAnsi="Arial"/>
          <w:b/>
          <w:i/>
          <w:sz w:val="19"/>
        </w:rPr>
        <w:t xml:space="preserve">Preemptive Rights </w:t>
      </w:r>
    </w:p>
    <w:p>
      <w:pPr>
        <w:pStyle w:val="TextBody"/>
        <w:bidi w:val="0"/>
        <w:spacing w:before="40" w:after="0"/>
        <w:jc w:val="left"/>
        <w:rPr>
          <w:rFonts w:ascii="Arial" w:hAnsi="Arial"/>
          <w:sz w:val="19"/>
        </w:rPr>
      </w:pPr>
      <w:r>
        <w:rPr>
          <w:rFonts w:ascii="Arial" w:hAnsi="Arial"/>
          <w:sz w:val="19"/>
        </w:rPr>
        <w:t xml:space="preserve">Subject to restrictions in our articles of association, holders of ordinary shares have preemptive rights in relation to newly issued ordinary shares under Dutch law. </w:t>
      </w:r>
    </w:p>
    <w:p>
      <w:pPr>
        <w:pStyle w:val="TextBody"/>
        <w:bidi w:val="0"/>
        <w:spacing w:before="180" w:after="0"/>
        <w:jc w:val="left"/>
        <w:rPr>
          <w:rFonts w:ascii="Arial" w:hAnsi="Arial"/>
          <w:sz w:val="19"/>
        </w:rPr>
      </w:pPr>
      <w:r>
        <w:rPr>
          <w:rFonts w:ascii="Arial" w:hAnsi="Arial"/>
          <w:sz w:val="19"/>
        </w:rPr>
        <w:t xml:space="preserve">Under our articles of association, the preemptive rights in respect of newly issued ordinary shares may be restricted or excluded by a resolution of our general meeting upon the proposal of our board of directors, which resolution requires a two-thirds majority of the votes cast if less than half of the issued share capital is present or represented at the meeting. The general meeting may authorize our board of directors to limit or exclude the preemptive rights in respect of newly issued ordinary shares, which resolution requires a two-thirds majority of the votes cast if less than half of the issued share capital is present or represented at the meeting. Such authorization for our board of directors can be granted and extended, in each case for a period not exceeding five years. </w:t>
      </w:r>
    </w:p>
    <w:p>
      <w:pPr>
        <w:pStyle w:val="TextBody"/>
        <w:bidi w:val="0"/>
        <w:spacing w:before="180" w:after="0"/>
        <w:jc w:val="left"/>
        <w:rPr>
          <w:rFonts w:ascii="Arial" w:hAnsi="Arial"/>
          <w:sz w:val="19"/>
        </w:rPr>
      </w:pPr>
      <w:r>
        <w:rPr>
          <w:rFonts w:ascii="Arial" w:hAnsi="Arial"/>
          <w:sz w:val="19"/>
        </w:rPr>
        <w:t xml:space="preserve">Pursuant to a resolution of the general meeting dated June 20, 2024, our board of directors is irrevocably authorized for a period of five years from such date to limit or exclude preemptive rights in relation to any issuance of ordinary shares in the Company’s capital or granting of rights to subscribe for such ordinary shares the Company’s capital up to the authorized share capital as included in the Company’s articles of association from time to time. </w:t>
      </w:r>
    </w:p>
    <w:p>
      <w:pPr>
        <w:pStyle w:val="TextBody"/>
        <w:bidi w:val="0"/>
        <w:spacing w:before="180" w:after="0"/>
        <w:jc w:val="left"/>
        <w:rPr>
          <w:rFonts w:ascii="Arial" w:hAnsi="Arial"/>
          <w:sz w:val="19"/>
        </w:rPr>
      </w:pPr>
      <w:r>
        <w:rPr>
          <w:rFonts w:ascii="Arial" w:hAnsi="Arial"/>
          <w:sz w:val="19"/>
        </w:rPr>
        <w:t xml:space="preserve">Preemptive rights do not exist with respect to (a) the issuance of ordinary shares or grant of rights to subscribe for ordinary shares to our employees or a “group” company of ours, and (b) the issuance of ordinary shares against a contribution in kind. Preemptive rights do not exist with respect to the issuance of financing preferred shares and holders of financing preferred shares have no preemptive right to acquire newly issued ordinary shares. </w:t>
      </w:r>
    </w:p>
    <w:p>
      <w:pPr>
        <w:pStyle w:val="TextBody"/>
        <w:bidi w:val="0"/>
        <w:spacing w:before="80" w:after="0"/>
        <w:jc w:val="left"/>
        <w:rPr>
          <w:rFonts w:ascii="Arial" w:hAnsi="Arial"/>
          <w:b/>
          <w:i/>
          <w:sz w:val="19"/>
        </w:rPr>
      </w:pPr>
      <w:r>
        <w:rPr>
          <w:rFonts w:ascii="Arial" w:hAnsi="Arial"/>
          <w:b/>
          <w:i/>
          <w:sz w:val="19"/>
        </w:rPr>
        <w:t xml:space="preserve">Transfer of Ordinary Shares </w:t>
      </w:r>
    </w:p>
    <w:p>
      <w:pPr>
        <w:pStyle w:val="TextBody"/>
        <w:bidi w:val="0"/>
        <w:spacing w:before="40" w:after="0"/>
        <w:jc w:val="left"/>
        <w:rPr>
          <w:rFonts w:ascii="Arial" w:hAnsi="Arial"/>
          <w:sz w:val="19"/>
        </w:rPr>
      </w:pPr>
      <w:r>
        <w:rPr>
          <w:rFonts w:ascii="Arial" w:hAnsi="Arial"/>
          <w:sz w:val="19"/>
        </w:rPr>
        <w:t xml:space="preserve">Under Dutch law, transfers of ordinary shares (other than in book-entry form) require a written deed of transfer and, unless the company is a party to the deed of transfer, and acknowledgement by or proper service upon the company to be effective. </w:t>
      </w:r>
    </w:p>
    <w:p>
      <w:pPr>
        <w:pStyle w:val="TextBody"/>
        <w:bidi w:val="0"/>
        <w:spacing w:before="180" w:after="0"/>
        <w:jc w:val="left"/>
        <w:rPr>
          <w:rFonts w:ascii="Arial" w:hAnsi="Arial"/>
          <w:sz w:val="19"/>
        </w:rPr>
      </w:pPr>
      <w:r>
        <w:rPr>
          <w:rFonts w:ascii="Arial" w:hAnsi="Arial"/>
          <w:sz w:val="19"/>
        </w:rPr>
        <w:t xml:space="preserve">Under our articles of association, if one or more ordinary shares are admitted to trading on Nasdaq or any other regulated foreign stock exchange located in the United States, we may, by resolution of our board of directors, determine that the laws of the State of New York will apply to the property law aspects of the ordinary shares included in the part of the register of shareholders kept by the relevant transfer agent. Such resolution, as well as the revocation thereof, will be made public as required by law and will be made available for inspection at our office and the Dutch trade register. Our management has adopted such resolution effective as of July 1, 2020. </w:t>
      </w:r>
    </w:p>
    <w:p>
      <w:pPr>
        <w:pStyle w:val="TextBody"/>
        <w:bidi w:val="0"/>
        <w:spacing w:before="80" w:after="0"/>
        <w:jc w:val="left"/>
        <w:rPr>
          <w:rFonts w:ascii="Arial" w:hAnsi="Arial"/>
          <w:b/>
          <w:i/>
          <w:sz w:val="19"/>
        </w:rPr>
      </w:pPr>
      <w:r>
        <w:rPr>
          <w:rFonts w:ascii="Arial" w:hAnsi="Arial"/>
          <w:b/>
          <w:i/>
          <w:sz w:val="19"/>
        </w:rPr>
        <w:t xml:space="preserve">Form of Ordinary Shares </w:t>
      </w:r>
    </w:p>
    <w:p>
      <w:pPr>
        <w:pStyle w:val="TextBody"/>
        <w:bidi w:val="0"/>
        <w:spacing w:before="40" w:after="0"/>
        <w:jc w:val="left"/>
        <w:rPr>
          <w:rFonts w:ascii="Arial" w:hAnsi="Arial"/>
          <w:sz w:val="19"/>
        </w:rPr>
      </w:pPr>
      <w:r>
        <w:rPr>
          <w:rFonts w:ascii="Arial" w:hAnsi="Arial"/>
          <w:sz w:val="19"/>
        </w:rPr>
        <w:t xml:space="preserve">Pursuant to our articles of association, the ordinary shares are registered shares. </w:t>
      </w:r>
    </w:p>
    <w:p>
      <w:pPr>
        <w:pStyle w:val="TextBody"/>
        <w:bidi w:val="0"/>
        <w:spacing w:before="80" w:after="0"/>
        <w:jc w:val="left"/>
        <w:rPr>
          <w:rFonts w:ascii="Arial" w:hAnsi="Arial"/>
          <w:b/>
          <w:i/>
          <w:sz w:val="19"/>
        </w:rPr>
      </w:pPr>
      <w:r>
        <w:rPr>
          <w:rFonts w:ascii="Arial" w:hAnsi="Arial"/>
          <w:b/>
          <w:i/>
          <w:sz w:val="19"/>
        </w:rPr>
        <w:t xml:space="preserve">Purchase and Repurchase of Ordinary Shares </w:t>
      </w:r>
    </w:p>
    <w:p>
      <w:pPr>
        <w:pStyle w:val="TextBody"/>
        <w:bidi w:val="0"/>
        <w:spacing w:before="40" w:after="0"/>
        <w:jc w:val="left"/>
        <w:rPr>
          <w:rFonts w:ascii="Arial" w:hAnsi="Arial"/>
          <w:sz w:val="19"/>
        </w:rPr>
      </w:pPr>
      <w:r>
        <w:rPr>
          <w:rFonts w:ascii="Arial" w:hAnsi="Arial"/>
          <w:sz w:val="19"/>
        </w:rPr>
        <w:t xml:space="preserve">Under Dutch law, we may not subscribe for newly issued ordinary shares. We may acquire ordinary shares, subject to applicable provisions and restrictions of Dutch law and our articles of association, to the extent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such ordinary shares are fully paid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such repurchase would not cause our shareholders’ equity to fall below an amount equal to the sum of the paid-up and called-up part of the issued share capital and the reserves we are required to maintain pursuant to Dutch law or our articles of association; and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immediately after the acquisition of such ordinary shares, we and our subsidiaries would not hold, or would not hold as pledgees, shares having an aggregate nominal value that exceeds 50% of our then-current issued share capital. </w:t>
            </w:r>
          </w:p>
        </w:tc>
      </w:tr>
    </w:tbl>
    <w:p>
      <w:pPr>
        <w:pStyle w:val="TextBody"/>
        <w:bidi w:val="0"/>
        <w:spacing w:before="180" w:after="0"/>
        <w:jc w:val="left"/>
        <w:rPr>
          <w:rFonts w:ascii="Arial" w:hAnsi="Arial"/>
          <w:sz w:val="19"/>
        </w:rPr>
      </w:pPr>
      <w:r>
        <w:rPr>
          <w:rFonts w:ascii="Arial" w:hAnsi="Arial"/>
          <w:sz w:val="19"/>
        </w:rPr>
        <w:t>Other than ordinary shares acquired for no valuable consideration or under universal title of succession (</w:t>
      </w:r>
      <w:r>
        <w:rPr>
          <w:rFonts w:ascii="Arial" w:hAnsi="Arial"/>
          <w:i/>
          <w:sz w:val="19"/>
        </w:rPr>
        <w:t>onder algemene titel</w:t>
      </w:r>
      <w:r>
        <w:rPr>
          <w:rFonts w:ascii="Arial" w:hAnsi="Arial"/>
          <w:sz w:val="19"/>
        </w:rPr>
        <w:t xml:space="preserve">) (e.g., through a merger or spin-off) under statutory Dutch or other law, we may acquire ordinary shares only if our general meeting has authorized our board of directors to acquire ordinary shares. An authorization by our general meeting for the acquisition of ordinary shares can be granted for a maximum period of 18 months. Such authorization must specify the number of ordinary shares that may be acquired, the manner in which these shares may be acquired and the price range within which the shares may be acquired. No authorization of our general meeting is required if ordinary shares are acquired by us on Nasdaq with the intention of transferring such ordinary shares to our employees or employees of a group company pursuant to an arrangement applicable to them. We cannot derive any right to any distribution from ordinary shares, or voting rights attached to ordinary shares, acquired by us. </w:t>
      </w:r>
    </w:p>
    <w:p>
      <w:pPr>
        <w:pStyle w:val="TextBody"/>
        <w:bidi w:val="0"/>
        <w:spacing w:before="180" w:after="0"/>
        <w:jc w:val="left"/>
        <w:rPr>
          <w:rFonts w:ascii="Arial" w:hAnsi="Arial"/>
          <w:sz w:val="19"/>
        </w:rPr>
      </w:pPr>
      <w:r>
        <w:rPr>
          <w:rFonts w:ascii="Arial" w:hAnsi="Arial"/>
          <w:sz w:val="19"/>
        </w:rPr>
        <w:t xml:space="preserve">Pursuant to a resolution of the general meeting dated June 20, 2024, our board of directors is irrevocably authorized for a period of 18 months from such date to resolve for us to acquire fully paid-up ordinary shares or depositary receipts thereof up to the maximum number of ordinary shares permitted pursuant to applicable law and our articles of association from time to time, through repurchases negotiated in the open market or privately, in self-tender offers, or through accelerated repurchase arrangements, at prices ranging from the nominal value of the ordinary shares up to 110% of the market price of the ordinary shares, provided that: (i) for open market or privately negotiated repurchases, the market price shall be the price for ordinary shares on Nasdaq at the time the transaction is agreed upon by us, (ii) for self-tender offers, the market price shall be the volume weighted average price for the ordinary shares on Nasdaq during a period, determined by our board of directors, of no less than one and no more than five consecutive trading days immediately prior to the expiration of the tender offer, and (iii) for accelerated repurchase arrangements, the market price shall be the volume weighted average price of the ordinary shares on Nasdaq over the term of the arrangement; the volume weighted average price for any number of trading days shall be calculated as the arithmetic average of the daily volume weighted average price on those trading days. </w:t>
      </w:r>
    </w:p>
    <w:p>
      <w:pPr>
        <w:pStyle w:val="TextBody"/>
        <w:bidi w:val="0"/>
        <w:spacing w:before="80" w:after="0"/>
        <w:jc w:val="left"/>
        <w:rPr>
          <w:rFonts w:ascii="Arial" w:hAnsi="Arial"/>
          <w:b/>
          <w:i/>
          <w:sz w:val="19"/>
        </w:rPr>
      </w:pPr>
      <w:r>
        <w:rPr>
          <w:rFonts w:ascii="Arial" w:hAnsi="Arial"/>
          <w:b/>
          <w:i/>
          <w:sz w:val="19"/>
        </w:rPr>
        <w:t xml:space="preserve">Capital Reduction </w:t>
      </w:r>
    </w:p>
    <w:p>
      <w:pPr>
        <w:pStyle w:val="TextBody"/>
        <w:bidi w:val="0"/>
        <w:spacing w:before="40" w:after="0"/>
        <w:jc w:val="left"/>
        <w:rPr>
          <w:rFonts w:ascii="Arial" w:hAnsi="Arial"/>
          <w:sz w:val="19"/>
        </w:rPr>
      </w:pPr>
      <w:r>
        <w:rPr>
          <w:rFonts w:ascii="Arial" w:hAnsi="Arial"/>
          <w:sz w:val="19"/>
        </w:rPr>
        <w:t xml:space="preserve">At a general meeting, our shareholders may resolve on the proposal of our board of directors to reduce our issued share capital by (i) cancelling ordinary shares or (ii) reducing the nominal value of the ordinary shares by amending our articles of association. In either case, this reduction would be subject to applicable statutory provisions. A resolution to cancel ordinary shares may only relate to (i) ordinary shares held by us or in respect of which we hold the depository receipts, or (ii) all financing preferred shares of a class if approved by the holders of all shares of that class. In order to be approved by our general meeting, a resolution to reduce the capital requires a two-thirds majority of the votes cast if less than half of the issued share capital is present or represented at the meeting. A reduction of the nominal value of ordinary shares without repayment and without release from the obligation to pay up the ordinary shares must be effectuated proportionally on shares of the same class (unless all affected shareholders agree to a disproportional reduction). </w:t>
      </w:r>
    </w:p>
    <w:p>
      <w:pPr>
        <w:pStyle w:val="TextBody"/>
        <w:bidi w:val="0"/>
        <w:spacing w:before="180" w:after="0"/>
        <w:jc w:val="left"/>
        <w:rPr>
          <w:rFonts w:ascii="Arial" w:hAnsi="Arial"/>
          <w:sz w:val="19"/>
        </w:rPr>
      </w:pPr>
      <w:r>
        <w:rPr>
          <w:rFonts w:ascii="Arial" w:hAnsi="Arial"/>
          <w:sz w:val="19"/>
        </w:rPr>
        <w:t xml:space="preserve">A resolution that would result in a reduction of capital requires approval by a majority of the votes cast of each group of shareholders of the same class whose rights are prejudiced by the reduction. In addition, a reduction of capital involves a two-month waiting period during which creditors have the right to object to a reduction of capital under specified circumstances. </w:t>
      </w:r>
    </w:p>
    <w:p>
      <w:pPr>
        <w:pStyle w:val="TextBody"/>
        <w:bidi w:val="0"/>
        <w:spacing w:before="240" w:after="0"/>
        <w:jc w:val="left"/>
        <w:rPr>
          <w:rFonts w:ascii="Arial" w:hAnsi="Arial"/>
          <w:b/>
          <w:sz w:val="20"/>
        </w:rPr>
      </w:pPr>
      <w:r>
        <w:rPr>
          <w:rFonts w:ascii="Arial" w:hAnsi="Arial"/>
          <w:b/>
          <w:sz w:val="20"/>
        </w:rPr>
        <w:t xml:space="preserve">General Meeting of Shareholders and Voting Rights </w:t>
      </w:r>
    </w:p>
    <w:p>
      <w:pPr>
        <w:pStyle w:val="TextBody"/>
        <w:bidi w:val="0"/>
        <w:spacing w:before="80" w:after="0"/>
        <w:jc w:val="left"/>
        <w:rPr>
          <w:rFonts w:ascii="Arial" w:hAnsi="Arial"/>
          <w:b/>
          <w:i/>
          <w:sz w:val="19"/>
        </w:rPr>
      </w:pPr>
      <w:r>
        <w:rPr>
          <w:rFonts w:ascii="Arial" w:hAnsi="Arial"/>
          <w:b/>
          <w:i/>
          <w:sz w:val="19"/>
        </w:rPr>
        <w:t xml:space="preserve">General Meeting of Shareholders </w:t>
      </w:r>
    </w:p>
    <w:p>
      <w:pPr>
        <w:pStyle w:val="TextBody"/>
        <w:bidi w:val="0"/>
        <w:spacing w:before="40" w:after="0"/>
        <w:jc w:val="left"/>
        <w:rPr>
          <w:rFonts w:ascii="Arial" w:hAnsi="Arial"/>
          <w:sz w:val="19"/>
        </w:rPr>
      </w:pPr>
      <w:r>
        <w:rPr>
          <w:rFonts w:ascii="Arial" w:hAnsi="Arial"/>
          <w:sz w:val="19"/>
        </w:rPr>
        <w:t xml:space="preserve">General meetings are held in Amsterdam, Rotterdam, The Hague, Arnhem, Utrecht, or in the municipality of Haarlemmermeer (Schiphol Airport), the Netherlands. All of our shareholders and others entitled to attend our general meetings are authorized to address the meeting and, in so far as they have such right, to vote, either in person or by proxy.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will hold at least one general meeting each year, to be held within six months after the end of our financial year. A general meeting will also be held within three months after our board of directors has determined it to be likely that our equity has decreased to an amount equal to or lower than half of its paid-up and called-up capital, in order to discuss the measures to be taken if so required. If our board of directors fails to hold such general meeting in a timely manner, each shareholder and other person entitled to attend our general meeting may be authorized by the Dutch court to convene our general meeting. </w:t>
      </w:r>
    </w:p>
    <w:p>
      <w:pPr>
        <w:pStyle w:val="TextBody"/>
        <w:bidi w:val="0"/>
        <w:spacing w:before="180" w:after="0"/>
        <w:jc w:val="left"/>
        <w:rPr>
          <w:rFonts w:ascii="Arial" w:hAnsi="Arial"/>
          <w:sz w:val="19"/>
        </w:rPr>
      </w:pPr>
      <w:r>
        <w:rPr>
          <w:rFonts w:ascii="Arial" w:hAnsi="Arial"/>
          <w:sz w:val="19"/>
        </w:rPr>
        <w:t xml:space="preserve">Our board of directors may convene additional extraordinary general meetings of shareholders at its discretion, subject to the notice requirements described below. Pursuant to Dutch law, one or more shareholders and/or others entitled to attend general meetings of shareholders, alone or jointly representing at least 10% of our issued share capital, may on their application be authorized by the Dutch court to convene a general meeting. The Dutch court will disallow the application if (i) the applicants have not previously requested in writing that our board of directors convenes a shareholders’ meeting, (ii) our board of directors convenes a shareholders’ meeting or (iii) our board of directors has taken the necessary steps so that the shareholders’ meeting could be held within six weeks after such request. </w:t>
      </w:r>
    </w:p>
    <w:p>
      <w:pPr>
        <w:pStyle w:val="TextBody"/>
        <w:bidi w:val="0"/>
        <w:spacing w:before="180" w:after="0"/>
        <w:jc w:val="left"/>
        <w:rPr>
          <w:rFonts w:ascii="Arial" w:hAnsi="Arial"/>
          <w:sz w:val="19"/>
        </w:rPr>
      </w:pPr>
      <w:r>
        <w:rPr>
          <w:rFonts w:ascii="Arial" w:hAnsi="Arial"/>
          <w:sz w:val="19"/>
        </w:rPr>
        <w:t xml:space="preserve">The general meeting is convened by a notice, which includes an agenda stating the items to be discussed and the location and time of our general meeting. For the annual general meeting, the agenda will include, among other things, the adoption of our annual accounts, the appropriation of its profits or losses and proposals relating to the composition of and filling of any vacancies on our board of directors. In addition, the agenda for a general meeting includes such additional items as determined by our board of directors.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and may include a proposal for a shareholder resolution, and must be received by us no later than on the sixtieth (60th) day before the day the relevant shareholders’ meeting is held. No resolutions will be adopted on items other than those which have been included in the agenda. Under our articles of association, certain items can only be put on the agenda as a voting item by our board of directors. Shareholders meeting the relevant requirements may still request the inclusion of such items on the agenda as a discussion item. </w:t>
      </w:r>
    </w:p>
    <w:p>
      <w:pPr>
        <w:pStyle w:val="TextBody"/>
        <w:bidi w:val="0"/>
        <w:spacing w:before="180" w:after="0"/>
        <w:jc w:val="left"/>
        <w:rPr>
          <w:rFonts w:ascii="Arial" w:hAnsi="Arial"/>
          <w:sz w:val="19"/>
        </w:rPr>
      </w:pPr>
      <w:r>
        <w:rPr>
          <w:rFonts w:ascii="Arial" w:hAnsi="Arial"/>
          <w:sz w:val="19"/>
        </w:rPr>
        <w:t xml:space="preserve">In accordance with the Dutch Corporate Governance Code,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of directors must be given the opportunity to invoke a reasonable period of up to 180 days to respond to the shareholders’ intentions. If invoked, our board of directors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a response period or a cooling-off period (as discussed below) has been previously invoked or (ii) if a shareholder holds at least 75% of our issued share capital as a consequence of a successful public bid. </w:t>
      </w:r>
    </w:p>
    <w:p>
      <w:pPr>
        <w:pStyle w:val="TextBody"/>
        <w:bidi w:val="0"/>
        <w:spacing w:before="120" w:after="0"/>
        <w:jc w:val="left"/>
        <w:rPr>
          <w:rFonts w:ascii="Arial" w:hAnsi="Arial"/>
          <w:sz w:val="19"/>
        </w:rPr>
      </w:pPr>
      <w:r>
        <w:rPr>
          <w:rFonts w:ascii="Arial" w:hAnsi="Arial"/>
          <w:sz w:val="19"/>
        </w:rPr>
        <w:t xml:space="preserve">Moreover, our board of directors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 During a cooling-off period, our board of directors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of the cooling-off period, our board of directors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board of directors, in light of the circumstances at hand when the cooling-off period was invoked, could not reasonably have concluded that the relevant proposal or hostile offer constituted a material conflict with the interests of our company and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board of directors cannot reasonably believe that a continuation of the cooling-off period would contribute to careful policy-making;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 </w:t>
            </w:r>
          </w:p>
        </w:tc>
      </w:tr>
    </w:tbl>
    <w:p>
      <w:pPr>
        <w:pStyle w:val="TextBody"/>
        <w:bidi w:val="0"/>
        <w:spacing w:before="180" w:after="0"/>
        <w:jc w:val="left"/>
        <w:rPr>
          <w:rFonts w:ascii="Arial" w:hAnsi="Arial"/>
          <w:sz w:val="19"/>
        </w:rPr>
      </w:pPr>
      <w:r>
        <w:rPr>
          <w:rFonts w:ascii="Arial" w:hAnsi="Arial"/>
          <w:sz w:val="19"/>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Holders of registered shares may further be provided notice of the meeting in writing at their addresses as stated in its shareholders’ register. </w:t>
      </w:r>
    </w:p>
    <w:p>
      <w:pPr>
        <w:pStyle w:val="TextBody"/>
        <w:bidi w:val="0"/>
        <w:spacing w:before="180" w:after="0"/>
        <w:jc w:val="left"/>
        <w:rPr>
          <w:rFonts w:ascii="Arial" w:hAnsi="Arial"/>
          <w:sz w:val="19"/>
        </w:rPr>
      </w:pPr>
      <w:r>
        <w:rPr>
          <w:rFonts w:ascii="Arial" w:hAnsi="Arial"/>
          <w:sz w:val="19"/>
        </w:rPr>
        <w:t>Pursuant to our articles of association and Dutch law, our board of directors may determine a record date (</w:t>
      </w:r>
      <w:r>
        <w:rPr>
          <w:rFonts w:ascii="Arial" w:hAnsi="Arial"/>
          <w:i/>
          <w:sz w:val="19"/>
        </w:rPr>
        <w:t>registratiedatum</w:t>
      </w:r>
      <w:r>
        <w:rPr>
          <w:rFonts w:ascii="Arial" w:hAnsi="Arial"/>
          <w:sz w:val="19"/>
        </w:rPr>
        <w:t xml:space="preserve">) of 28 calendar days prior to a general meeting to establish which shareholders and others with meeting rights are entitled to attend and, if applicable, vote at our general meeting. The record date, if any, and the manner in which shareholders can register and exercise their rights will be set out in the notice of our general meeting. Our articles of association provide that a shareholder must notify us in writing of his or her identity and his or her intention to attend (or be represented at) our general meeting, such notice to be received by us on the date set by our board of directors in accordance with our articles of association and as set forth in the convening notice. If this requirement is not complied with or if upon request no proper identification is provided by any person wishing to enter our general meeting, the chairman of our general meeting may, in his or her sole discretion, refuse entry to the shareholder or his or her proxy holder. </w:t>
      </w:r>
    </w:p>
    <w:p>
      <w:pPr>
        <w:pStyle w:val="TextBody"/>
        <w:bidi w:val="0"/>
        <w:spacing w:before="180" w:after="0"/>
        <w:jc w:val="left"/>
        <w:rPr>
          <w:rFonts w:ascii="Arial" w:hAnsi="Arial"/>
          <w:sz w:val="19"/>
        </w:rPr>
      </w:pPr>
      <w:r>
        <w:rPr>
          <w:rFonts w:ascii="Arial" w:hAnsi="Arial"/>
          <w:sz w:val="19"/>
        </w:rPr>
        <w:t xml:space="preserve">Pursuant to our articles of association, our general meeting is chaired by the chairman of our board of directors, who, nevertheless, may charge another person to preside over the meeting in his place even if he himself is present at the meeting. If the chairman of our board of directors is absent and he has not charged another person to preside over the meeting in his place, our directors present at the meeting will appoint one of them to be chairman. In the absence of all directors, our general meeting will appoint its chairman. </w:t>
      </w:r>
    </w:p>
    <w:p>
      <w:pPr>
        <w:pStyle w:val="TextBody"/>
        <w:bidi w:val="0"/>
        <w:spacing w:before="80" w:after="0"/>
        <w:jc w:val="left"/>
        <w:rPr>
          <w:rFonts w:ascii="Arial" w:hAnsi="Arial"/>
          <w:b/>
          <w:i/>
          <w:sz w:val="19"/>
        </w:rPr>
      </w:pPr>
      <w:r>
        <w:rPr>
          <w:rFonts w:ascii="Arial" w:hAnsi="Arial"/>
          <w:b/>
          <w:i/>
          <w:sz w:val="19"/>
        </w:rPr>
        <w:t xml:space="preserve">Voting Rights and Quorum </w:t>
      </w:r>
    </w:p>
    <w:p>
      <w:pPr>
        <w:pStyle w:val="TextBody"/>
        <w:bidi w:val="0"/>
        <w:spacing w:before="40" w:after="0"/>
        <w:jc w:val="left"/>
        <w:rPr>
          <w:rFonts w:ascii="Arial" w:hAnsi="Arial"/>
          <w:sz w:val="19"/>
        </w:rPr>
      </w:pPr>
      <w:r>
        <w:rPr>
          <w:rFonts w:ascii="Arial" w:hAnsi="Arial"/>
          <w:sz w:val="19"/>
        </w:rPr>
        <w:t xml:space="preserve">In accordance with Dutch law and our articles of association, each ordinary share, irrespective of which class it concerns, confers the right on the holder thereof to cast one vote at our general meeting. The voting rights attached to any ordinary shares held by us or our direct or indirect subsidiaries are suspended, unless the ordinary shares were encumbered with a right of usufruct or a pledge in favor of a party other than us or a direct or indirect subsidiary before such ordinary shares were acquired by us or such a subsidiary, in which case, the other party may be entitled to exercise the voting rights on the ordinary shares. We may not exercise voting rights for ordinary shares in respect of which we or a direct or indirect subsidiary has a right of usufruct or a pledge. </w:t>
      </w:r>
    </w:p>
    <w:p>
      <w:pPr>
        <w:pStyle w:val="TextBody"/>
        <w:bidi w:val="0"/>
        <w:spacing w:before="180" w:after="0"/>
        <w:jc w:val="left"/>
        <w:rPr>
          <w:rFonts w:ascii="Arial" w:hAnsi="Arial"/>
          <w:sz w:val="19"/>
        </w:rPr>
      </w:pPr>
      <w:r>
        <w:rPr>
          <w:rFonts w:ascii="Arial" w:hAnsi="Arial"/>
          <w:sz w:val="19"/>
        </w:rPr>
        <w:t xml:space="preserve">Voting rights may be exercised by shareholders or by a duly appointed proxy holder (the written proxy being acceptable to the chairman of our general meeting) of a shareholder, which proxy holder need not be a shareholder. The holder of a usufruct or pledge on shares will have the voting rights attached thereto if so provided for when the usufruct or pledge was created. </w:t>
      </w:r>
    </w:p>
    <w:p>
      <w:pPr>
        <w:pStyle w:val="TextBody"/>
        <w:bidi w:val="0"/>
        <w:spacing w:before="180" w:after="0"/>
        <w:jc w:val="left"/>
        <w:rPr>
          <w:rFonts w:ascii="Arial" w:hAnsi="Arial"/>
          <w:sz w:val="19"/>
        </w:rPr>
      </w:pPr>
      <w:r>
        <w:rPr>
          <w:rFonts w:ascii="Arial" w:hAnsi="Arial"/>
          <w:sz w:val="19"/>
        </w:rPr>
        <w:t xml:space="preserve">Under our articles of association, blank votes (votes where no choice has been made), abstentions and invalid votes will not be counted as votes cast. However, shares in respect of which a blank vote or invalid vote has been cast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shares in respect of which the person with meeting rights who is present or represented at the meeting has abstained from voting are counted when determining the part of the issued share capital that is present or represented at a general meeting. The chairman of our general meeting will determine the manner of voting and whether voting may take place by acclamation. </w:t>
      </w:r>
    </w:p>
    <w:p>
      <w:pPr>
        <w:pStyle w:val="TextBody"/>
        <w:bidi w:val="0"/>
        <w:spacing w:before="180" w:after="0"/>
        <w:jc w:val="left"/>
        <w:rPr>
          <w:rFonts w:ascii="Arial" w:hAnsi="Arial"/>
          <w:sz w:val="19"/>
        </w:rPr>
      </w:pPr>
      <w:r>
        <w:rPr>
          <w:rFonts w:ascii="Arial" w:hAnsi="Arial"/>
          <w:sz w:val="19"/>
        </w:rPr>
        <w:t xml:space="preserve">Resolutions of the shareholders are adopted at a general meeting by a majority of votes cast, except where Dutch law or our articles of association provide for a special majority in relation to specified resolutions. Our articles of association do not provide for a quorum requirement, subject to any provision of mandatory Dutch law. </w:t>
      </w:r>
    </w:p>
    <w:p>
      <w:pPr>
        <w:pStyle w:val="TextBody"/>
        <w:bidi w:val="0"/>
        <w:spacing w:before="180" w:after="0"/>
        <w:jc w:val="left"/>
        <w:rPr>
          <w:rFonts w:ascii="Arial" w:hAnsi="Arial"/>
          <w:sz w:val="19"/>
        </w:rPr>
      </w:pPr>
      <w:r>
        <w:rPr>
          <w:rFonts w:ascii="Arial" w:hAnsi="Arial"/>
          <w:sz w:val="19"/>
        </w:rPr>
        <w:t xml:space="preserve">Subject to certain restrictions in our articles of association, the determination during our general meeting made by the chairman of that general meeting with regard to the results of a vote will be decisive. Our board of directors will keep a record of the resolutions passed at each general meeting. </w:t>
      </w:r>
    </w:p>
    <w:p>
      <w:pPr>
        <w:pStyle w:val="TextBody"/>
        <w:bidi w:val="0"/>
        <w:spacing w:before="240" w:after="0"/>
        <w:jc w:val="left"/>
        <w:rPr>
          <w:rFonts w:ascii="Arial" w:hAnsi="Arial"/>
          <w:b/>
          <w:sz w:val="20"/>
        </w:rPr>
      </w:pPr>
      <w:r>
        <w:rPr>
          <w:rFonts w:ascii="Arial" w:hAnsi="Arial"/>
          <w:b/>
          <w:sz w:val="20"/>
        </w:rPr>
        <w:t xml:space="preserve">Amendment of Articles of Association </w:t>
      </w:r>
    </w:p>
    <w:p>
      <w:pPr>
        <w:pStyle w:val="TextBody"/>
        <w:bidi w:val="0"/>
        <w:spacing w:before="80" w:after="0"/>
        <w:jc w:val="left"/>
        <w:rPr>
          <w:rFonts w:ascii="Arial" w:hAnsi="Arial"/>
          <w:sz w:val="19"/>
        </w:rPr>
      </w:pPr>
      <w:r>
        <w:rPr>
          <w:rFonts w:ascii="Arial" w:hAnsi="Arial"/>
          <w:sz w:val="19"/>
        </w:rPr>
        <w:t xml:space="preserve">At a general meeting, at the proposal of our board of directors, our general meeting may resolve to amend the articles of association. A resolution by the shareholders to amend the articles of association requires a majority of the votes cast. </w:t>
      </w:r>
    </w:p>
    <w:p>
      <w:pPr>
        <w:pStyle w:val="TextBody"/>
        <w:bidi w:val="0"/>
        <w:spacing w:before="240" w:after="0"/>
        <w:jc w:val="left"/>
        <w:rPr>
          <w:rFonts w:ascii="Arial" w:hAnsi="Arial"/>
          <w:b/>
          <w:sz w:val="20"/>
        </w:rPr>
      </w:pPr>
      <w:r>
        <w:rPr>
          <w:rFonts w:ascii="Arial" w:hAnsi="Arial"/>
          <w:b/>
          <w:sz w:val="20"/>
        </w:rPr>
        <w:t xml:space="preserve">Merger, Demerger and Dissolution </w:t>
      </w:r>
    </w:p>
    <w:p>
      <w:pPr>
        <w:pStyle w:val="TextBody"/>
        <w:bidi w:val="0"/>
        <w:spacing w:before="80" w:after="0"/>
        <w:jc w:val="left"/>
        <w:rPr>
          <w:rFonts w:ascii="Arial" w:hAnsi="Arial"/>
          <w:sz w:val="19"/>
        </w:rPr>
      </w:pPr>
      <w:r>
        <w:rPr>
          <w:rFonts w:ascii="Arial" w:hAnsi="Arial"/>
          <w:sz w:val="19"/>
        </w:rPr>
        <w:t xml:space="preserve">At the proposal of our board of directors, our general meeting may resolve with a majority of the votes cast (subject to certain exceptions), or with at least two-thirds of the votes cast if less than half of the issued capital is present or represented at our general meeting, to legally merge or demerge the company within the meaning of Title 7, Book 2 of the Dutch Civil Code. </w:t>
      </w:r>
    </w:p>
    <w:p>
      <w:pPr>
        <w:pStyle w:val="TextBody"/>
        <w:bidi w:val="0"/>
        <w:spacing w:before="180" w:after="0"/>
        <w:jc w:val="left"/>
        <w:rPr>
          <w:rFonts w:ascii="Arial" w:hAnsi="Arial"/>
          <w:sz w:val="19"/>
        </w:rPr>
      </w:pPr>
      <w:r>
        <w:rPr>
          <w:rFonts w:ascii="Arial" w:hAnsi="Arial"/>
          <w:sz w:val="19"/>
        </w:rPr>
        <w:t xml:space="preserve">Our shareholders may at a general meeting, based on a proposal by our board of directors, by means of a resolution passed by a majority of the votes cast, resolve that the company will be dissolved. In the event of dissolution of the company, the liquidation will be effected by our executive directors, under the supervision of our non-executive directors, unless our general meeting decides otherwise. </w:t>
      </w:r>
    </w:p>
    <w:p>
      <w:pPr>
        <w:pStyle w:val="TextBody"/>
        <w:bidi w:val="0"/>
        <w:spacing w:before="240" w:after="0"/>
        <w:jc w:val="left"/>
        <w:rPr>
          <w:rFonts w:ascii="Arial" w:hAnsi="Arial"/>
          <w:b/>
          <w:sz w:val="20"/>
        </w:rPr>
      </w:pPr>
      <w:r>
        <w:rPr>
          <w:rFonts w:ascii="Arial" w:hAnsi="Arial"/>
          <w:b/>
          <w:sz w:val="20"/>
        </w:rPr>
        <w:t xml:space="preserve">Squeeze-Out </w:t>
      </w:r>
    </w:p>
    <w:p>
      <w:pPr>
        <w:pStyle w:val="TextBody"/>
        <w:bidi w:val="0"/>
        <w:spacing w:before="80" w:after="0"/>
        <w:jc w:val="left"/>
        <w:rPr>
          <w:rFonts w:ascii="Arial" w:hAnsi="Arial"/>
          <w:sz w:val="19"/>
        </w:rPr>
      </w:pPr>
      <w:r>
        <w:rPr>
          <w:rFonts w:ascii="Arial" w:hAnsi="Arial"/>
          <w:sz w:val="19"/>
        </w:rPr>
        <w:t>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of the Amsterdam Court of Appeal (</w:t>
      </w:r>
      <w:r>
        <w:rPr>
          <w:rFonts w:ascii="Arial" w:hAnsi="Arial"/>
          <w:i/>
          <w:sz w:val="19"/>
        </w:rPr>
        <w:t>Ondernemingskamer van het Gerechtshof Amsterdam</w:t>
      </w:r>
      <w:r>
        <w:rPr>
          <w:rFonts w:ascii="Arial" w:hAnsi="Arial"/>
          <w:sz w:val="19"/>
        </w:rPr>
        <w:t>) (the “Enterprise Chamber”) and can be instituted by means of a writ of summons served upon each of the minority shareholders in accordance with the provisions of the Dutch Code of Civil Procedure (</w:t>
      </w:r>
      <w:r>
        <w:rPr>
          <w:rFonts w:ascii="Arial" w:hAnsi="Arial"/>
          <w:i/>
          <w:sz w:val="19"/>
        </w:rPr>
        <w:t>Wetboek van Burgerlijke Rechtsvordering</w:t>
      </w:r>
      <w:r>
        <w:rPr>
          <w:rFonts w:ascii="Arial" w:hAnsi="Arial"/>
          <w:sz w:val="19"/>
        </w:rPr>
        <w:t xml:space="preserve">).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will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in a newspaper with a national circulation. </w:t>
      </w:r>
    </w:p>
    <w:p>
      <w:pPr>
        <w:pStyle w:val="TextBody"/>
        <w:bidi w:val="0"/>
        <w:spacing w:before="180" w:after="0"/>
        <w:jc w:val="left"/>
        <w:rPr>
          <w:rFonts w:ascii="Arial" w:hAnsi="Arial"/>
          <w:sz w:val="19"/>
        </w:rPr>
      </w:pPr>
      <w:r>
        <w:rPr>
          <w:rFonts w:ascii="Arial" w:hAnsi="Arial"/>
          <w:sz w:val="19"/>
        </w:rPr>
        <w:t xml:space="preserve">A shareholder that holds a majority of our issued share capital, but less than the 95% required to institute the squeeze-out proceedings described above, may seek to propose and implement one or more restructuring transactions with the objective of obtaining at least 95% of our issued share capital so the shareholder may initiate squeeze-out proceedings. Those restructuring transactions could, among other things, include a merger or demerger involving the company, a contribution of cash and/or assets against issuance of ordinary shares, the issuance of new ordinary shares to the majority shareholder without preemptive rights for minority shareholders or an asset sale transaction.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Depending on the circumstances, an asset sale of a Dutch public limited liability company (</w:t>
      </w:r>
      <w:r>
        <w:rPr>
          <w:rFonts w:ascii="Arial" w:hAnsi="Arial"/>
          <w:i/>
          <w:sz w:val="19"/>
        </w:rPr>
        <w:t>naamloze vennootschap</w:t>
      </w:r>
      <w:r>
        <w:rPr>
          <w:rFonts w:ascii="Arial" w:hAnsi="Arial"/>
          <w:sz w:val="19"/>
        </w:rPr>
        <w:t>) or a triangular legal merger (</w:t>
      </w:r>
      <w:r>
        <w:rPr>
          <w:rFonts w:ascii="Arial" w:hAnsi="Arial"/>
          <w:i/>
          <w:sz w:val="19"/>
        </w:rPr>
        <w:t>driehoeksfusie</w:t>
      </w:r>
      <w:r>
        <w:rPr>
          <w:rFonts w:ascii="Arial" w:hAnsi="Arial"/>
          <w:sz w:val="19"/>
        </w:rPr>
        <w:t>) of a Dutch public limited liability company (</w:t>
      </w:r>
      <w:r>
        <w:rPr>
          <w:rFonts w:ascii="Arial" w:hAnsi="Arial"/>
          <w:i/>
          <w:sz w:val="19"/>
        </w:rPr>
        <w:t>naamloze vennootschap</w:t>
      </w:r>
      <w:r>
        <w:rPr>
          <w:rFonts w:ascii="Arial" w:hAnsi="Arial"/>
          <w:sz w:val="19"/>
        </w:rPr>
        <w:t>) with and into a subsidiary followed by a share sale of that subsidiary (as legal successor to the Dutch public limited liability company (</w:t>
      </w:r>
      <w:r>
        <w:rPr>
          <w:rFonts w:ascii="Arial" w:hAnsi="Arial"/>
          <w:i/>
          <w:sz w:val="19"/>
        </w:rPr>
        <w:t>naamloze vennootschap</w:t>
      </w:r>
      <w:r>
        <w:rPr>
          <w:rFonts w:ascii="Arial" w:hAnsi="Arial"/>
          <w:sz w:val="19"/>
        </w:rPr>
        <w:t xml:space="preserve">) concerned) is sometimes used as a way to squeeze out minority shareholders, for example, after a successful tender offer through which a third party acquires a supermajority, but less than all, of the company’s shares. In such scenarios, either (a) the business of the target company is sold to a third party or a special purpose vehicle, followed by the liquidation of the target company or (b) the shares in the legal successor to the target company is sold to a third party or a special purpose vehicle, followed by the liquidation of the holding vehicle of such legal successor. The purchase price is distributed to all shareholders in proportion to their respective shareholding as liquidation proceeds, thus separating the business from the company in which minority shareholders had an interest. </w:t>
      </w:r>
    </w:p>
    <w:p>
      <w:pPr>
        <w:pStyle w:val="TextBody"/>
        <w:bidi w:val="0"/>
        <w:spacing w:before="180" w:after="0"/>
        <w:jc w:val="left"/>
        <w:rPr>
          <w:rFonts w:ascii="Arial" w:hAnsi="Arial"/>
          <w:sz w:val="19"/>
        </w:rPr>
      </w:pPr>
      <w:r>
        <w:rPr>
          <w:rFonts w:ascii="Arial" w:hAnsi="Arial"/>
          <w:sz w:val="19"/>
        </w:rPr>
        <w:t xml:space="preserve">Any sale or transfer of all of our assets and our dissolution or liquidation is subject to approval by a majority of the votes cast in our general meeting. Our articles of association provide that our general meeting may only adopt such resolution upon a proposal of our board of directors. </w:t>
      </w:r>
    </w:p>
    <w:p>
      <w:pPr>
        <w:pStyle w:val="TextBody"/>
        <w:bidi w:val="0"/>
        <w:spacing w:before="240" w:after="0"/>
        <w:jc w:val="left"/>
        <w:rPr>
          <w:rFonts w:ascii="Arial" w:hAnsi="Arial"/>
          <w:b/>
          <w:sz w:val="20"/>
        </w:rPr>
      </w:pPr>
      <w:r>
        <w:rPr>
          <w:rFonts w:ascii="Arial" w:hAnsi="Arial"/>
          <w:b/>
          <w:sz w:val="20"/>
        </w:rPr>
        <w:t xml:space="preserve">Certain Other Major Transactions </w:t>
      </w:r>
    </w:p>
    <w:p>
      <w:pPr>
        <w:pStyle w:val="TextBody"/>
        <w:bidi w:val="0"/>
        <w:spacing w:before="80" w:after="0"/>
        <w:jc w:val="left"/>
        <w:rPr>
          <w:rFonts w:ascii="Arial" w:hAnsi="Arial"/>
          <w:sz w:val="19"/>
        </w:rPr>
      </w:pPr>
      <w:r>
        <w:rPr>
          <w:rFonts w:ascii="Arial" w:hAnsi="Arial"/>
          <w:sz w:val="19"/>
        </w:rPr>
        <w:t xml:space="preserve">Our articles of association and Dutch law provide that resolutions of our board of directors concerning a material change in our identity, character or business are subject to the approval of our general meeting. Such changes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transfer of all or materially all of our business to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entry into or termination of a long-lasting alliance of the company or of a subsidiary either with another entity or company, or as a fully liable partner of a limited partnership or partnership, if this alliance or termination is of significant importance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acquisition or disposition of an interest in the capital of a company by the company or by its subsidiary with a value of at least one-third of the value of our assets, according to the balance sheet with explanatory notes or, if the company prepares a consolidated balance sheet, according to the consolidated balance sheet with explanatory notes in our most recently adopted annual accounts. </w:t>
            </w:r>
          </w:p>
        </w:tc>
      </w:tr>
    </w:tbl>
    <w:p>
      <w:pPr>
        <w:pStyle w:val="TextBody"/>
        <w:bidi w:val="0"/>
        <w:spacing w:before="240" w:after="0"/>
        <w:jc w:val="left"/>
        <w:rPr>
          <w:rFonts w:ascii="Arial" w:hAnsi="Arial"/>
          <w:b/>
          <w:sz w:val="20"/>
        </w:rPr>
      </w:pPr>
      <w:r>
        <w:rPr>
          <w:rFonts w:ascii="Arial" w:hAnsi="Arial"/>
          <w:b/>
          <w:sz w:val="20"/>
        </w:rPr>
        <w:t xml:space="preserve">Dividends and Other Distributions </w:t>
      </w:r>
    </w:p>
    <w:p>
      <w:pPr>
        <w:pStyle w:val="TextBody"/>
        <w:bidi w:val="0"/>
        <w:spacing w:before="80" w:after="0"/>
        <w:jc w:val="left"/>
        <w:rPr>
          <w:rFonts w:ascii="Arial" w:hAnsi="Arial"/>
          <w:sz w:val="19"/>
        </w:rPr>
      </w:pPr>
      <w:r>
        <w:rPr>
          <w:rFonts w:ascii="Arial" w:hAnsi="Arial"/>
          <w:sz w:val="19"/>
        </w:rPr>
        <w:t xml:space="preserve">We may only make distributions to our shareholders if our equity exceeds the aggregate amount of the issued share capital and the reserves that must be maintained pursuant to Dutch law or our articles of association. We may not make any distribution of profits on shares held by the company as treasury shares and such treasury shares will not be taken into account when determining the profit entitlement of our shareholders, unless such treasury shares are encumbered with a right of usufruct or a right of pledge. Under our articles of association, any profits or distributable reserves must first be applied to pay a dividend on the financing preferred shares, if outstanding. </w:t>
      </w:r>
    </w:p>
    <w:p>
      <w:pPr>
        <w:pStyle w:val="TextBody"/>
        <w:bidi w:val="0"/>
        <w:spacing w:before="180" w:after="0"/>
        <w:jc w:val="left"/>
        <w:rPr>
          <w:rFonts w:ascii="Arial" w:hAnsi="Arial"/>
          <w:sz w:val="19"/>
        </w:rPr>
      </w:pPr>
      <w:r>
        <w:rPr>
          <w:rFonts w:ascii="Arial" w:hAnsi="Arial"/>
          <w:sz w:val="19"/>
        </w:rPr>
        <w:t xml:space="preserve">Any remaining profits may be reserved by our board of directors. After reservation by our board of directors of any distributable profits, our general meeting will be authorized to declare distributions on the proposal of our board of directors. Our board of directors is permitted, subject to certain requirements, to declare interim dividends without the approval of the shareholders. Interim dividends may be declared as provided in our articles of association and may be distributed to the extent that the shareholders’ equity, based on interim financial statements, exceeds the paid-up and called-up share capital and the reserves that must be maintained under Dutch law or our articles of association. We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we are not able to pay its due and collectable debts, then our shareholders or directors who at the time of the distribution knew or reasonably should have foreseen that result may be liable to its creditors. </w:t>
      </w:r>
    </w:p>
    <w:p>
      <w:pPr>
        <w:pStyle w:val="TextBody"/>
        <w:bidi w:val="0"/>
        <w:spacing w:before="180" w:after="0"/>
        <w:jc w:val="left"/>
        <w:rPr>
          <w:rFonts w:ascii="Arial" w:hAnsi="Arial"/>
          <w:sz w:val="19"/>
        </w:rPr>
      </w:pPr>
      <w:r>
        <w:rPr>
          <w:rFonts w:ascii="Arial" w:hAnsi="Arial"/>
          <w:sz w:val="19"/>
        </w:rPr>
        <w:t xml:space="preserve">Upon proposal of our board of directors, the general meeting may determine that distributions will be made in whole or in part in a currency other than the euro. We shall announce any proposal for a distribution and the date when and the place where the distribution will be payable to all shareholders by electronic means of communication with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due observance of the applicable law and stock exchange rules. Claims for payment of dividends and other distributions not made within five years from the date that such dividends or distributions became payable will lapse, and any such amounts will be considered to have been forfeited to the company (</w:t>
      </w:r>
      <w:r>
        <w:rPr>
          <w:rFonts w:ascii="Arial" w:hAnsi="Arial"/>
          <w:i/>
          <w:sz w:val="19"/>
        </w:rPr>
        <w:t>verjaring</w:t>
      </w:r>
      <w:r>
        <w:rPr>
          <w:rFonts w:ascii="Arial" w:hAnsi="Arial"/>
          <w:sz w:val="19"/>
        </w:rPr>
        <w:t xml:space="preserve">). </w:t>
      </w:r>
    </w:p>
    <w:p>
      <w:pPr>
        <w:pStyle w:val="TextBody"/>
        <w:bidi w:val="0"/>
        <w:spacing w:before="240" w:after="0"/>
        <w:jc w:val="left"/>
        <w:rPr>
          <w:rFonts w:ascii="Arial" w:hAnsi="Arial"/>
          <w:b/>
          <w:sz w:val="20"/>
        </w:rPr>
      </w:pPr>
      <w:r>
        <w:rPr>
          <w:rFonts w:ascii="Arial" w:hAnsi="Arial"/>
          <w:b/>
          <w:sz w:val="20"/>
        </w:rPr>
        <w:t xml:space="preserve">Notices </w:t>
      </w:r>
    </w:p>
    <w:p>
      <w:pPr>
        <w:pStyle w:val="TextBody"/>
        <w:bidi w:val="0"/>
        <w:spacing w:before="80" w:after="0"/>
        <w:jc w:val="left"/>
        <w:rPr>
          <w:rFonts w:ascii="Arial" w:hAnsi="Arial"/>
          <w:sz w:val="19"/>
        </w:rPr>
      </w:pPr>
      <w:r>
        <w:rPr>
          <w:rFonts w:ascii="Arial" w:hAnsi="Arial"/>
          <w:sz w:val="19"/>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Holders of registered shares may further be provided notice of the meeting in writing at their addresses as stated in our shareholders’ register.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We have granted to certain of our securityholders registration rights pursuant to an Investor Rights and Lock-Up Agreement, dated July 1, 2020, among us and the investors party thereto. Such securityholders are entitled to the following rights with respect to the registration of their ordinary shares for public resale under the Securities Act. </w:t>
      </w:r>
    </w:p>
    <w:p>
      <w:pPr>
        <w:pStyle w:val="TextBody"/>
        <w:bidi w:val="0"/>
        <w:spacing w:before="180" w:after="0"/>
        <w:jc w:val="left"/>
        <w:rPr>
          <w:rFonts w:ascii="Arial" w:hAnsi="Arial"/>
          <w:sz w:val="19"/>
        </w:rPr>
      </w:pPr>
      <w:r>
        <w:rPr>
          <w:rFonts w:ascii="Arial" w:hAnsi="Arial"/>
          <w:i/>
          <w:sz w:val="19"/>
        </w:rPr>
        <w:t>Shelf Registration</w:t>
      </w:r>
      <w:r>
        <w:rPr>
          <w:rFonts w:ascii="Arial" w:hAnsi="Arial"/>
          <w:sz w:val="19"/>
        </w:rPr>
        <w:t xml:space="preserve">. We are obligated to file and keep effective a shelf registration statement pursuant to Rule 415 under the Securities Act with respect to all securities subject to registration rights, subject to certain exceptions. </w:t>
      </w:r>
    </w:p>
    <w:p>
      <w:pPr>
        <w:pStyle w:val="TextBody"/>
        <w:bidi w:val="0"/>
        <w:spacing w:before="180" w:after="0"/>
        <w:jc w:val="left"/>
        <w:rPr>
          <w:rFonts w:ascii="Arial" w:hAnsi="Arial"/>
          <w:sz w:val="19"/>
        </w:rPr>
      </w:pPr>
      <w:r>
        <w:rPr>
          <w:rFonts w:ascii="Arial" w:hAnsi="Arial"/>
          <w:i/>
          <w:sz w:val="19"/>
        </w:rPr>
        <w:t>Demand Registration</w:t>
      </w:r>
      <w:r>
        <w:rPr>
          <w:rFonts w:ascii="Arial" w:hAnsi="Arial"/>
          <w:sz w:val="19"/>
        </w:rPr>
        <w:t xml:space="preserve">. Upon the demand of certain securityholders, we are obligated to effect a resale registration under the Securities Act with respect to all or any portion of their shares subject to registration rights, subject to certain exceptions. Demand registration rights will not be triggered if there is an effective resale shelf registration statement. </w:t>
      </w:r>
    </w:p>
    <w:p>
      <w:pPr>
        <w:pStyle w:val="TextBody"/>
        <w:bidi w:val="0"/>
        <w:spacing w:before="180" w:after="0"/>
        <w:jc w:val="left"/>
        <w:rPr>
          <w:rFonts w:ascii="Arial" w:hAnsi="Arial"/>
          <w:sz w:val="19"/>
        </w:rPr>
      </w:pPr>
      <w:r>
        <w:rPr>
          <w:rFonts w:ascii="Arial" w:hAnsi="Arial"/>
          <w:i/>
          <w:sz w:val="19"/>
        </w:rPr>
        <w:t>Piggyback Registration</w:t>
      </w:r>
      <w:r>
        <w:rPr>
          <w:rFonts w:ascii="Arial" w:hAnsi="Arial"/>
          <w:sz w:val="19"/>
        </w:rPr>
        <w:t xml:space="preserve">. In the event that we propose to register any of our securities under the Securities Act, either for our account or for the account of our other securityholders, holders will be entitled to certain piggyback registration rights allowing each to include its shares in the registration, subject to certain marketing and other limitations. As a result, whenever we propose to file a registration statement under the Securities Act, other than with respect to a demand registration, a registration statement on Form S-4, F-4 or S-8 or a registration of convertible debt securities, these holders will be entitled to notice of the registration and will have the right to include their registrable securities in the registration, subject to certain limitations. Piggyback registration rights will not be triggered if there is an effective resale shelf registration statement, the registration is solely for an offering of securities by us and no other securityholder is entitled to participate in such registration. </w:t>
      </w:r>
    </w:p>
    <w:p>
      <w:pPr>
        <w:pStyle w:val="TextBody"/>
        <w:bidi w:val="0"/>
        <w:spacing w:before="180" w:after="0"/>
        <w:jc w:val="left"/>
        <w:rPr>
          <w:rFonts w:ascii="Arial" w:hAnsi="Arial"/>
          <w:sz w:val="19"/>
        </w:rPr>
      </w:pPr>
      <w:r>
        <w:rPr>
          <w:rFonts w:ascii="Arial" w:hAnsi="Arial"/>
          <w:i/>
          <w:sz w:val="19"/>
        </w:rPr>
        <w:t>Expenses; Indemnification</w:t>
      </w:r>
      <w:r>
        <w:rPr>
          <w:rFonts w:ascii="Arial" w:hAnsi="Arial"/>
          <w:sz w:val="19"/>
        </w:rPr>
        <w:t xml:space="preserve">. We must pay all registration expenses in connection with effecting any demand registration, piggyback registration or shelf registration. We are also subject to customary indemnification and contribution provisions. </w:t>
      </w:r>
    </w:p>
    <w:p>
      <w:pPr>
        <w:pStyle w:val="TextBody"/>
        <w:bidi w:val="0"/>
        <w:spacing w:before="240" w:after="0"/>
        <w:jc w:val="left"/>
        <w:rPr>
          <w:rFonts w:ascii="Arial" w:hAnsi="Arial"/>
          <w:b/>
          <w:sz w:val="20"/>
        </w:rPr>
      </w:pPr>
      <w:r>
        <w:rPr>
          <w:rFonts w:ascii="Arial" w:hAnsi="Arial"/>
          <w:b/>
          <w:sz w:val="20"/>
        </w:rPr>
        <w:t xml:space="preserve">Stock Exchange Listing </w:t>
      </w:r>
    </w:p>
    <w:p>
      <w:pPr>
        <w:pStyle w:val="TextBody"/>
        <w:bidi w:val="0"/>
        <w:spacing w:before="80" w:after="0"/>
        <w:jc w:val="left"/>
        <w:rPr>
          <w:rFonts w:ascii="Arial" w:hAnsi="Arial"/>
          <w:sz w:val="19"/>
        </w:rPr>
      </w:pPr>
      <w:r>
        <w:rPr>
          <w:rFonts w:ascii="Arial" w:hAnsi="Arial"/>
          <w:sz w:val="19"/>
        </w:rPr>
        <w:t xml:space="preserve">Our ordinary shares are listed on Nasdaq under the symbol “IMTX.” </w:t>
      </w:r>
    </w:p>
    <w:p>
      <w:pPr>
        <w:pStyle w:val="TextBody"/>
        <w:bidi w:val="0"/>
        <w:spacing w:before="240" w:after="0"/>
        <w:jc w:val="left"/>
        <w:rPr>
          <w:rFonts w:ascii="Arial" w:hAnsi="Arial"/>
          <w:b/>
          <w:sz w:val="20"/>
        </w:rPr>
      </w:pPr>
      <w:r>
        <w:rPr>
          <w:rFonts w:ascii="Arial" w:hAnsi="Arial"/>
          <w:b/>
          <w:sz w:val="20"/>
        </w:rPr>
        <w:t xml:space="preserve">Transfer Agent </w:t>
      </w:r>
    </w:p>
    <w:p>
      <w:pPr>
        <w:pStyle w:val="TextBody"/>
        <w:bidi w:val="0"/>
        <w:spacing w:before="80" w:after="0"/>
        <w:jc w:val="left"/>
        <w:rPr>
          <w:rFonts w:ascii="Arial" w:hAnsi="Arial"/>
          <w:sz w:val="19"/>
        </w:rPr>
      </w:pPr>
      <w:r>
        <w:rPr>
          <w:rFonts w:ascii="Arial" w:hAnsi="Arial"/>
          <w:sz w:val="19"/>
        </w:rPr>
        <w:t xml:space="preserve">Continental Stock Transfer &amp; Trust Company serves as our agent in New York to maintain our shareholders’ register on behalf of our board of directors and acts as transfer agent and registrar for the ordinary shares. </w:t>
      </w:r>
    </w:p>
    <w:p>
      <w:pPr>
        <w:pStyle w:val="TextBody"/>
        <w:bidi w:val="0"/>
        <w:spacing w:before="240" w:after="0"/>
        <w:jc w:val="left"/>
        <w:rPr>
          <w:rFonts w:ascii="Arial" w:hAnsi="Arial"/>
          <w:b/>
          <w:sz w:val="20"/>
        </w:rPr>
      </w:pPr>
      <w:r>
        <w:rPr>
          <w:rFonts w:ascii="Arial" w:hAnsi="Arial"/>
          <w:b/>
          <w:sz w:val="20"/>
        </w:rPr>
        <w:t xml:space="preserve">Exchange Controls </w:t>
      </w:r>
    </w:p>
    <w:p>
      <w:pPr>
        <w:pStyle w:val="TextBody"/>
        <w:bidi w:val="0"/>
        <w:spacing w:before="80" w:after="0"/>
        <w:jc w:val="left"/>
        <w:rPr>
          <w:rFonts w:ascii="Arial" w:hAnsi="Arial"/>
          <w:sz w:val="19"/>
        </w:rPr>
      </w:pPr>
      <w:r>
        <w:rPr>
          <w:rFonts w:ascii="Arial" w:hAnsi="Arial"/>
          <w:sz w:val="19"/>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applicable resolutions adopted by the United Nations, regulations of the European Union, the Dutch Sanctions Act 1977 (</w:t>
      </w:r>
      <w:r>
        <w:rPr>
          <w:rFonts w:ascii="Arial" w:hAnsi="Arial"/>
          <w:i/>
          <w:sz w:val="19"/>
        </w:rPr>
        <w:t>Sanctiewet 1977</w:t>
      </w:r>
      <w:r>
        <w:rPr>
          <w:rFonts w:ascii="Arial" w:hAnsi="Arial"/>
          <w:sz w:val="19"/>
        </w:rPr>
        <w:t xml:space="preserve">), national emergency legislation, or other legislation, applicable anti-boycott regulations, applicable anti-money laundering regulations and similar rules and provided that, under certain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circumstances, payments of such dividends or other distributions must be reported to the Dutch Central Bank at their request for statistical purposes. There are no special restrictions in our articles of association or Dutch law that limit the right of shareholders who are not citizens or residents of the Netherlands to hold or vote shares. The European Directive Mandatory Disclosure Rules (2011/16/EU) in relation to cross-border tax arrangements can provide for future notification requirements. </w:t>
      </w:r>
    </w:p>
    <w:p>
      <w:pPr>
        <w:pStyle w:val="TextBody"/>
        <w:bidi w:val="0"/>
        <w:spacing w:before="180" w:after="0"/>
        <w:jc w:val="left"/>
        <w:rPr>
          <w:rFonts w:ascii="Arial" w:hAnsi="Arial"/>
          <w:sz w:val="19"/>
        </w:rPr>
      </w:pPr>
      <w:r>
        <w:rPr>
          <w:rFonts w:ascii="Arial" w:hAnsi="Arial"/>
          <w:sz w:val="19"/>
        </w:rPr>
        <w:t xml:space="preserve">Under German law, there are no exchange controls restricting the transfer of funds between Germany and other countries or individuals, subject to applicable restrictions concerning import or export control or sanctions and measures against certain persons, entities and countries subject to embargoes in accordance with German law and applicable resolutions adopted by the United Nations and the European Union. </w:t>
      </w:r>
    </w:p>
    <w:p>
      <w:pPr>
        <w:pStyle w:val="TextBody"/>
        <w:bidi w:val="0"/>
        <w:spacing w:before="180" w:after="0"/>
        <w:jc w:val="left"/>
        <w:rPr>
          <w:rFonts w:ascii="Arial" w:hAnsi="Arial"/>
          <w:sz w:val="19"/>
        </w:rPr>
      </w:pPr>
      <w:r>
        <w:rPr>
          <w:rFonts w:ascii="Arial" w:hAnsi="Arial"/>
          <w:sz w:val="19"/>
        </w:rPr>
        <w:t xml:space="preserve">Under German foreign trade regulation, with certain exceptions, every corporation or individual residing in Germany must report to the German Central Bank on any payment received from or made to a non-resident corporation or individual if the payment exceeds </w:t>
      </w:r>
      <w:r>
        <w:rPr>
          <w:rFonts w:ascii="Times New Roman" w:hAnsi="Times New Roman"/>
          <w:sz w:val="19"/>
        </w:rPr>
        <w:t></w:t>
      </w:r>
      <w:r>
        <w:rPr>
          <w:rFonts w:ascii="Arial" w:hAnsi="Arial"/>
          <w:sz w:val="19"/>
        </w:rPr>
        <w:t xml:space="preserve">12,500 (or the equivalent in a foreign currency). Additionally, corporations and individuals residing in Germany must report to the German Central Bank on any claims of a resident against, or liabilities payable to, a non-resident corporation or individual exceeding an aggregate of </w:t>
      </w:r>
      <w:r>
        <w:rPr>
          <w:rFonts w:ascii="Times New Roman" w:hAnsi="Times New Roman"/>
          <w:sz w:val="19"/>
        </w:rPr>
        <w:t></w:t>
      </w:r>
      <w:r>
        <w:rPr>
          <w:rFonts w:ascii="Arial" w:hAnsi="Arial"/>
          <w:sz w:val="19"/>
        </w:rPr>
        <w:t xml:space="preserve">5 million (or the equivalent in a foreign currency) at the end of any calendar month. Resident corporations and individuals are also required to report annually to the German Central Bank on any stakes of 10% or more they hold in the equity of non-resident corporations with total assets of more than </w:t>
      </w:r>
      <w:r>
        <w:rPr>
          <w:rFonts w:ascii="Times New Roman" w:hAnsi="Times New Roman"/>
          <w:sz w:val="19"/>
        </w:rPr>
        <w:t></w:t>
      </w:r>
      <w:r>
        <w:rPr>
          <w:rFonts w:ascii="Arial" w:hAnsi="Arial"/>
          <w:sz w:val="19"/>
        </w:rPr>
        <w:t xml:space="preserve">3 million. Corporations residing in Germany with assets in excess of </w:t>
      </w:r>
      <w:r>
        <w:rPr>
          <w:rFonts w:ascii="Times New Roman" w:hAnsi="Times New Roman"/>
          <w:sz w:val="19"/>
        </w:rPr>
        <w:t></w:t>
      </w:r>
      <w:r>
        <w:rPr>
          <w:rFonts w:ascii="Arial" w:hAnsi="Arial"/>
          <w:sz w:val="19"/>
        </w:rPr>
        <w:t xml:space="preserve">3 million must report annually to the German Central Bank on any stake of 10% or more in the company held by an individual or a corporation located outside Germany.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4" w:name="toc149127_8"/>
      <w:bookmarkEnd w:id="24"/>
      <w:r>
        <w:rPr>
          <w:rFonts w:ascii="Arial" w:hAnsi="Arial"/>
          <w:b/>
          <w:sz w:val="20"/>
        </w:rPr>
        <w:t xml:space="preserve">DESCRIPTION OF DEBT SECURITIES </w:t>
      </w:r>
    </w:p>
    <w:p>
      <w:pPr>
        <w:pStyle w:val="TextBody"/>
        <w:bidi w:val="0"/>
        <w:spacing w:before="360" w:after="0"/>
        <w:jc w:val="left"/>
        <w:rPr>
          <w:rFonts w:ascii="Arial" w:hAnsi="Arial"/>
          <w:sz w:val="19"/>
        </w:rPr>
      </w:pPr>
      <w:r>
        <w:rPr>
          <w:rFonts w:ascii="Arial" w:hAnsi="Arial"/>
          <w:sz w:val="19"/>
        </w:rPr>
        <w:t xml:space="preserve">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 </w:t>
      </w:r>
    </w:p>
    <w:p>
      <w:pPr>
        <w:pStyle w:val="TextBody"/>
        <w:bidi w:val="0"/>
        <w:spacing w:before="180" w:after="0"/>
        <w:jc w:val="left"/>
        <w:rPr>
          <w:rFonts w:ascii="Arial" w:hAnsi="Arial"/>
          <w:sz w:val="19"/>
        </w:rPr>
      </w:pPr>
      <w:r>
        <w:rPr>
          <w:rFonts w:ascii="Arial" w:hAnsi="Arial"/>
          <w:sz w:val="19"/>
        </w:rPr>
        <w:t xml:space="preserve">The applicable prospectus supplement will set forth, to the extent required, the following terms of the debt securities in respect of which the prospectus supplement is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issue price or prices, expressed as a percentage of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limit on 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date or dates on which principal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interest rate or rates (which may be fixed or variable) or, if applicable, the method used to determine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date or dates on which interest, if any, will be payable and any regular record date for the interest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place or places where principal and, if applicable, premium and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terms and conditions upon which we may, or the holders may require us to, redeem or repurchase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denominations in which such debt securities may be issuable, if other than denomination of $1,000 or any integral multiple of that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whether the debt securities are to be issuable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portion of principal amount that will be payable upon declaration of acceleration of the maturity date if other than the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currency of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designation of the currency, currencies or currency units in which payment of principal and, if applicable, premium and interest,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payments of principal and, if applicable, premium or interest, on the debt securities are to be made in one or more currencies or currency units other than the currency of denominations, the manner in which exchange rate with respect to such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provisions, if any, relating to any collateral provided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terms and conditions, if any, for conversion into or exchange for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depositaries, interest rate calculation agents, exchange rate calculation agents, or other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terms and conditions, if any, upon which the debt securities shall be subordinated in right of payment to other indebtedness of our company.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5" w:name="toc149127_9"/>
      <w:bookmarkEnd w:id="25"/>
      <w:r>
        <w:rPr>
          <w:rFonts w:ascii="Arial" w:hAnsi="Arial"/>
          <w:b/>
          <w:sz w:val="20"/>
        </w:rPr>
        <w:t xml:space="preserve">DESCRIPTION OF WARRANTS </w:t>
      </w:r>
    </w:p>
    <w:p>
      <w:pPr>
        <w:pStyle w:val="TextBody"/>
        <w:bidi w:val="0"/>
        <w:spacing w:before="360" w:after="0"/>
        <w:jc w:val="left"/>
        <w:rPr>
          <w:rFonts w:ascii="Arial" w:hAnsi="Arial"/>
          <w:sz w:val="19"/>
        </w:rPr>
      </w:pPr>
      <w:r>
        <w:rPr>
          <w:rFonts w:ascii="Arial" w:hAnsi="Arial"/>
          <w:sz w:val="19"/>
        </w:rPr>
        <w:t xml:space="preserve">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 </w:t>
      </w:r>
    </w:p>
    <w:p>
      <w:pPr>
        <w:pStyle w:val="TextBody"/>
        <w:bidi w:val="0"/>
        <w:spacing w:before="180" w:after="0"/>
        <w:jc w:val="left"/>
        <w:rPr>
          <w:rFonts w:ascii="Arial" w:hAnsi="Arial"/>
          <w:sz w:val="19"/>
        </w:rPr>
      </w:pPr>
      <w:r>
        <w:rPr>
          <w:rFonts w:ascii="Arial" w:hAnsi="Arial"/>
          <w:sz w:val="19"/>
        </w:rPr>
        <w:t xml:space="preserve">The applicable prospectus supplement will set forth, to the extent required, the following terms of the warrants in respect of which the prospectus supplement is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currency or currencies in which the price of such warrants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price at which and the currency or currencies in which the securities or other rights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applicable, a discussion of any material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6" w:name="toc149127_10"/>
      <w:bookmarkEnd w:id="26"/>
      <w:r>
        <w:rPr>
          <w:rFonts w:ascii="Arial" w:hAnsi="Arial"/>
          <w:b/>
          <w:sz w:val="20"/>
        </w:rPr>
        <w:t xml:space="preserve">DESCRIPTION OF SUBSCRIPTION RIGHTS </w:t>
      </w:r>
    </w:p>
    <w:p>
      <w:pPr>
        <w:pStyle w:val="TextBody"/>
        <w:bidi w:val="0"/>
        <w:spacing w:before="360" w:after="0"/>
        <w:jc w:val="left"/>
        <w:rPr>
          <w:rFonts w:ascii="Arial" w:hAnsi="Arial"/>
          <w:sz w:val="19"/>
        </w:rPr>
      </w:pPr>
      <w:r>
        <w:rPr>
          <w:rFonts w:ascii="Arial" w:hAnsi="Arial"/>
          <w:sz w:val="19"/>
        </w:rPr>
        <w:t xml:space="preserve">We may issue subscription rights to purchase our debt or equity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 </w:t>
      </w:r>
    </w:p>
    <w:p>
      <w:pPr>
        <w:pStyle w:val="TextBody"/>
        <w:bidi w:val="0"/>
        <w:spacing w:before="180" w:after="0"/>
        <w:jc w:val="left"/>
        <w:rPr>
          <w:rFonts w:ascii="Arial" w:hAnsi="Arial"/>
          <w:sz w:val="19"/>
        </w:rPr>
      </w:pPr>
      <w:r>
        <w:rPr>
          <w:rFonts w:ascii="Arial" w:hAnsi="Arial"/>
          <w:sz w:val="19"/>
        </w:rPr>
        <w:t xml:space="preserve">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 </w:t>
      </w:r>
    </w:p>
    <w:p>
      <w:pPr>
        <w:pStyle w:val="TextBody"/>
        <w:bidi w:val="0"/>
        <w:spacing w:before="180" w:after="0"/>
        <w:jc w:val="left"/>
        <w:rPr>
          <w:rFonts w:ascii="Arial" w:hAnsi="Arial"/>
          <w:sz w:val="19"/>
        </w:rPr>
      </w:pPr>
      <w:r>
        <w:rPr>
          <w:rFonts w:ascii="Arial" w:hAnsi="Arial"/>
          <w:sz w:val="19"/>
        </w:rPr>
        <w:t xml:space="preserve">The applicable prospectus supplement will set forth, to the extent required, the following terms of the subscription rights in respect of which the prospectus supplement is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aggregate number of rights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type and number of securities purchasable upon exercise of each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procedures and limitations relating to the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date upon which the exercise of rights will commence;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record date, if any, to determine who is entitled to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extent to which the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information regarding the trading of rights, including the stock exchanges, if any, on which the rights will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extent to which the subscription rights may include an over-subscription privilege with respect to unsubscribed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appropriate,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applicable, the material terms of any standby underwriting or purchase arrangement entered into by us in connection with the offering of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other material terms of the rights.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7" w:name="toc149127_11"/>
      <w:bookmarkEnd w:id="27"/>
      <w:r>
        <w:rPr>
          <w:rFonts w:ascii="Arial" w:hAnsi="Arial"/>
          <w:b/>
          <w:sz w:val="20"/>
        </w:rPr>
        <w:t xml:space="preserve">DESCRIPTION OF PURCHASE CONTRACTS </w:t>
      </w:r>
    </w:p>
    <w:p>
      <w:pPr>
        <w:pStyle w:val="TextBody"/>
        <w:bidi w:val="0"/>
        <w:spacing w:before="360" w:after="0"/>
        <w:jc w:val="left"/>
        <w:rPr>
          <w:rFonts w:ascii="Arial" w:hAnsi="Arial"/>
          <w:sz w:val="19"/>
        </w:rPr>
      </w:pPr>
      <w:r>
        <w:rPr>
          <w:rFonts w:ascii="Arial" w:hAnsi="Arial"/>
          <w:sz w:val="19"/>
        </w:rPr>
        <w:t xml:space="preserve">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 currencies or commodities. </w:t>
      </w:r>
    </w:p>
    <w:p>
      <w:pPr>
        <w:pStyle w:val="TextBody"/>
        <w:bidi w:val="0"/>
        <w:spacing w:before="180" w:after="0"/>
        <w:jc w:val="left"/>
        <w:rPr>
          <w:rFonts w:ascii="Arial" w:hAnsi="Arial"/>
          <w:sz w:val="19"/>
        </w:rPr>
      </w:pPr>
      <w:r>
        <w:rPr>
          <w:rFonts w:ascii="Arial" w:hAnsi="Arial"/>
          <w:sz w:val="19"/>
        </w:rPr>
        <w:t xml:space="preserve">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Dutch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 </w:t>
      </w:r>
    </w:p>
    <w:p>
      <w:pPr>
        <w:pStyle w:val="TextBody"/>
        <w:bidi w:val="0"/>
        <w:spacing w:before="180" w:after="0"/>
        <w:jc w:val="left"/>
        <w:rPr>
          <w:rFonts w:ascii="Arial" w:hAnsi="Arial"/>
          <w:sz w:val="19"/>
        </w:rPr>
      </w:pPr>
      <w:r>
        <w:rPr>
          <w:rFonts w:ascii="Arial" w:hAnsi="Arial"/>
          <w:sz w:val="19"/>
        </w:rPr>
        <w:t xml:space="preserve">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8" w:name="toc149127_12"/>
      <w:bookmarkEnd w:id="28"/>
      <w:r>
        <w:rPr>
          <w:rFonts w:ascii="Arial" w:hAnsi="Arial"/>
          <w:b/>
          <w:sz w:val="20"/>
        </w:rPr>
        <w:t xml:space="preserve">DESCRIPTION OF UNITS </w:t>
      </w:r>
    </w:p>
    <w:p>
      <w:pPr>
        <w:pStyle w:val="TextBody"/>
        <w:bidi w:val="0"/>
        <w:spacing w:before="360" w:after="0"/>
        <w:jc w:val="left"/>
        <w:rPr>
          <w:rFonts w:ascii="Arial" w:hAnsi="Arial"/>
          <w:sz w:val="19"/>
        </w:rPr>
      </w:pPr>
      <w:r>
        <w:rPr>
          <w:rFonts w:ascii="Arial" w:hAnsi="Arial"/>
          <w:sz w:val="19"/>
        </w:rPr>
        <w:t xml:space="preserve">As specified in the applicable prospectus supplement, we may issue units consisting of one or more purchase contracts, warrants, debt securities, ordinary shares or any combination of such securities. The applicable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terms of the units and of the warrants, debt securities and/or ordinary shares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9" w:name="toc149127_13"/>
      <w:bookmarkEnd w:id="29"/>
      <w:r>
        <w:rPr>
          <w:rFonts w:ascii="Arial" w:hAnsi="Arial"/>
          <w:b/>
          <w:sz w:val="20"/>
        </w:rPr>
        <w:t xml:space="preserve">FORMS OF SECURITIES </w:t>
      </w:r>
    </w:p>
    <w:p>
      <w:pPr>
        <w:pStyle w:val="TextBody"/>
        <w:bidi w:val="0"/>
        <w:spacing w:before="360" w:after="0"/>
        <w:jc w:val="left"/>
        <w:rPr>
          <w:rFonts w:ascii="Arial" w:hAnsi="Arial"/>
          <w:sz w:val="19"/>
        </w:rPr>
      </w:pPr>
      <w:r>
        <w:rPr>
          <w:rFonts w:ascii="Arial" w:hAnsi="Arial"/>
          <w:sz w:val="19"/>
        </w:rPr>
        <w:t xml:space="preserve">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240" w:after="0"/>
        <w:jc w:val="left"/>
        <w:rPr>
          <w:rFonts w:ascii="Arial" w:hAnsi="Arial"/>
          <w:b/>
          <w:sz w:val="20"/>
        </w:rPr>
      </w:pPr>
      <w:r>
        <w:rPr>
          <w:rFonts w:ascii="Arial" w:hAnsi="Arial"/>
          <w:b/>
          <w:sz w:val="20"/>
        </w:rPr>
        <w:t xml:space="preserve">Registered Global Securities </w:t>
      </w:r>
    </w:p>
    <w:p>
      <w:pPr>
        <w:pStyle w:val="TextBody"/>
        <w:bidi w:val="0"/>
        <w:spacing w:before="80" w:after="0"/>
        <w:jc w:val="left"/>
        <w:rPr>
          <w:rFonts w:ascii="Arial" w:hAnsi="Arial"/>
          <w:sz w:val="19"/>
        </w:rPr>
      </w:pPr>
      <w:r>
        <w:rPr>
          <w:rFonts w:ascii="Arial" w:hAnsi="Arial"/>
          <w:sz w:val="19"/>
        </w:rPr>
        <w:t xml:space="preserve">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180" w:after="0"/>
        <w:jc w:val="left"/>
        <w:rPr>
          <w:rFonts w:ascii="Arial" w:hAnsi="Arial"/>
          <w:sz w:val="19"/>
        </w:rPr>
      </w:pPr>
      <w:r>
        <w:rPr>
          <w:rFonts w:ascii="Arial" w:hAnsi="Arial"/>
          <w:sz w:val="19"/>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180" w:after="0"/>
        <w:jc w:val="left"/>
        <w:rPr>
          <w:rFonts w:ascii="Arial" w:hAnsi="Arial"/>
          <w:sz w:val="19"/>
        </w:rPr>
      </w:pPr>
      <w:r>
        <w:rPr>
          <w:rFonts w:ascii="Arial" w:hAnsi="Arial"/>
          <w:sz w:val="19"/>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180" w:after="0"/>
        <w:jc w:val="left"/>
        <w:rPr>
          <w:rFonts w:ascii="Arial" w:hAnsi="Arial"/>
          <w:sz w:val="19"/>
        </w:rPr>
      </w:pPr>
      <w:r>
        <w:rPr>
          <w:rFonts w:ascii="Arial" w:hAnsi="Arial"/>
          <w:sz w:val="19"/>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and the participants would authorize beneficial owners owning through them to give or take that action or would otherwise act upon the instructions of beneficial owners holding through them. </w:t>
      </w:r>
    </w:p>
    <w:p>
      <w:pPr>
        <w:pStyle w:val="TextBody"/>
        <w:bidi w:val="0"/>
        <w:spacing w:before="180" w:after="0"/>
        <w:jc w:val="left"/>
        <w:rPr>
          <w:rFonts w:ascii="Arial" w:hAnsi="Arial"/>
          <w:sz w:val="19"/>
        </w:rPr>
      </w:pPr>
      <w:r>
        <w:rPr>
          <w:rFonts w:ascii="Arial" w:hAnsi="Arial"/>
          <w:sz w:val="19"/>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Immatics N.V., the trustees, the warrant agents, the unit agents or any other agent of Immatics N.V.,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180" w:after="0"/>
        <w:jc w:val="left"/>
        <w:rPr>
          <w:rFonts w:ascii="Arial" w:hAnsi="Arial"/>
          <w:sz w:val="19"/>
        </w:rPr>
      </w:pPr>
      <w:r>
        <w:rPr>
          <w:rFonts w:ascii="Arial" w:hAnsi="Arial"/>
          <w:sz w:val="19"/>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180" w:after="0"/>
        <w:jc w:val="left"/>
        <w:rPr>
          <w:rFonts w:ascii="Arial" w:hAnsi="Arial"/>
          <w:sz w:val="19"/>
        </w:rPr>
      </w:pPr>
      <w:r>
        <w:rPr>
          <w:rFonts w:ascii="Arial" w:hAnsi="Arial"/>
          <w:sz w:val="19"/>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0" w:name="toc149127_14"/>
      <w:bookmarkEnd w:id="30"/>
      <w:r>
        <w:rPr>
          <w:rFonts w:ascii="Arial" w:hAnsi="Arial"/>
          <w:b/>
          <w:sz w:val="20"/>
        </w:rPr>
        <w:t xml:space="preserve">PLAN OF DISTRIBUTION </w:t>
      </w:r>
    </w:p>
    <w:p>
      <w:pPr>
        <w:pStyle w:val="TextBody"/>
        <w:bidi w:val="0"/>
        <w:spacing w:before="360" w:after="0"/>
        <w:jc w:val="left"/>
        <w:rPr>
          <w:rFonts w:ascii="Arial" w:hAnsi="Arial"/>
          <w:sz w:val="19"/>
        </w:rPr>
      </w:pPr>
      <w:r>
        <w:rPr>
          <w:rFonts w:ascii="Arial" w:hAnsi="Arial"/>
          <w:sz w:val="19"/>
        </w:rPr>
        <w:t xml:space="preserve">We may sell the securities in one or more of the following ways (or in any combination)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through any other method permitted by applicable law and described in the applicable prospectus supplement. </w:t>
            </w:r>
          </w:p>
        </w:tc>
      </w:tr>
    </w:tbl>
    <w:p>
      <w:pPr>
        <w:pStyle w:val="TextBody"/>
        <w:bidi w:val="0"/>
        <w:spacing w:before="180" w:after="0"/>
        <w:jc w:val="left"/>
        <w:rPr>
          <w:rFonts w:ascii="Arial" w:hAnsi="Arial"/>
          <w:sz w:val="19"/>
        </w:rPr>
      </w:pPr>
      <w:r>
        <w:rPr>
          <w:rFonts w:ascii="Arial" w:hAnsi="Arial"/>
          <w:sz w:val="19"/>
        </w:rPr>
        <w:t xml:space="preserve">The prospectus supplement will state the terms of the offering of the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 price of such securities and the proceeds to be received by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underwriting discounts or agency fees and other items constituting underwriters’ or agents’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securities exchanges on which the securities may be listed. </w:t>
            </w:r>
          </w:p>
        </w:tc>
      </w:tr>
    </w:tbl>
    <w:p>
      <w:pPr>
        <w:pStyle w:val="TextBody"/>
        <w:bidi w:val="0"/>
        <w:spacing w:before="180" w:after="0"/>
        <w:jc w:val="left"/>
        <w:rPr>
          <w:rFonts w:ascii="Arial" w:hAnsi="Arial"/>
          <w:sz w:val="19"/>
        </w:rPr>
      </w:pPr>
      <w:r>
        <w:rPr>
          <w:rFonts w:ascii="Arial" w:hAnsi="Arial"/>
          <w:sz w:val="19"/>
        </w:rPr>
        <w:t xml:space="preserve">Any public offering price and any discounts or concessions allowed or reallowed or paid to dealers may be changed from time to time. </w:t>
      </w:r>
    </w:p>
    <w:p>
      <w:pPr>
        <w:pStyle w:val="TextBody"/>
        <w:bidi w:val="0"/>
        <w:spacing w:before="180" w:after="0"/>
        <w:jc w:val="left"/>
        <w:rPr>
          <w:rFonts w:ascii="Arial" w:hAnsi="Arial"/>
          <w:sz w:val="19"/>
        </w:rPr>
      </w:pPr>
      <w:r>
        <w:rPr>
          <w:rFonts w:ascii="Arial" w:hAnsi="Arial"/>
          <w:sz w:val="19"/>
        </w:rPr>
        <w:t xml:space="preserve">If underwriters are used in the sale, the securities will be acquired by the underwriters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at a fixed public offering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at prices related to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at negotiated prices. </w:t>
            </w:r>
          </w:p>
        </w:tc>
      </w:tr>
    </w:tbl>
    <w:p>
      <w:pPr>
        <w:pStyle w:val="TextBody"/>
        <w:bidi w:val="0"/>
        <w:spacing w:before="180" w:after="0"/>
        <w:jc w:val="left"/>
        <w:rPr>
          <w:rFonts w:ascii="Arial" w:hAnsi="Arial"/>
          <w:sz w:val="19"/>
        </w:rPr>
      </w:pPr>
      <w:r>
        <w:rPr>
          <w:rFonts w:ascii="Arial" w:hAnsi="Arial"/>
          <w:sz w:val="19"/>
        </w:rPr>
        <w:t xml:space="preserve">Unless otherwise stated in a prospectus supplement, the obligations of the underwriters to purchase any securities will be conditioned on customary closing conditions and the underwriters will be obligated to purchase all of such series of securities, if any are purchased. </w:t>
      </w:r>
    </w:p>
    <w:p>
      <w:pPr>
        <w:pStyle w:val="TextBody"/>
        <w:bidi w:val="0"/>
        <w:spacing w:before="180" w:after="0"/>
        <w:jc w:val="left"/>
        <w:rPr>
          <w:rFonts w:ascii="Arial" w:hAnsi="Arial"/>
          <w:sz w:val="19"/>
        </w:rPr>
      </w:pPr>
      <w:r>
        <w:rPr>
          <w:rFonts w:ascii="Arial" w:hAnsi="Arial"/>
          <w:sz w:val="19"/>
        </w:rPr>
        <w:t xml:space="preserve">The securities may be sold through agents from time to time. The prospectus supplement will name any agent involved in the offer or sale of the securities and any commissions paid to them. Generally, any agent will be acting on a commercially reasonable efforts basis for the period of its appointment. </w:t>
      </w:r>
    </w:p>
    <w:p>
      <w:pPr>
        <w:pStyle w:val="TextBody"/>
        <w:bidi w:val="0"/>
        <w:spacing w:before="180" w:after="0"/>
        <w:jc w:val="left"/>
        <w:rPr>
          <w:rFonts w:ascii="Arial" w:hAnsi="Arial"/>
          <w:sz w:val="19"/>
        </w:rPr>
      </w:pPr>
      <w:r>
        <w:rPr>
          <w:rFonts w:ascii="Arial" w:hAnsi="Arial"/>
          <w:sz w:val="19"/>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 </w:t>
      </w:r>
    </w:p>
    <w:p>
      <w:pPr>
        <w:pStyle w:val="TextBody"/>
        <w:bidi w:val="0"/>
        <w:spacing w:before="180" w:after="0"/>
        <w:jc w:val="left"/>
        <w:rPr>
          <w:rFonts w:ascii="Arial" w:hAnsi="Arial"/>
          <w:sz w:val="19"/>
        </w:rPr>
      </w:pPr>
      <w:r>
        <w:rPr>
          <w:rFonts w:ascii="Arial" w:hAnsi="Arial"/>
          <w:sz w:val="19"/>
        </w:rPr>
        <w:t xml:space="preserve">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w:t>
      </w:r>
    </w:p>
    <w:p>
      <w:pPr>
        <w:pStyle w:val="TextBody"/>
        <w:bidi w:val="0"/>
        <w:spacing w:before="180" w:after="0"/>
        <w:jc w:val="left"/>
        <w:rPr>
          <w:rFonts w:ascii="Arial" w:hAnsi="Arial"/>
          <w:sz w:val="19"/>
        </w:rPr>
      </w:pPr>
      <w:r>
        <w:rPr>
          <w:rFonts w:ascii="Arial" w:hAnsi="Arial"/>
          <w:sz w:val="19"/>
        </w:rPr>
        <w:t xml:space="preserve">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180" w:after="0"/>
        <w:jc w:val="left"/>
        <w:rPr>
          <w:rFonts w:ascii="Arial" w:hAnsi="Arial"/>
          <w:sz w:val="19"/>
        </w:rPr>
      </w:pPr>
      <w:r>
        <w:rPr>
          <w:rFonts w:ascii="Arial" w:hAnsi="Arial"/>
          <w:sz w:val="19"/>
        </w:rPr>
        <w:t xml:space="preserve">Underwriters and agents may be customers of, engage in transactions with, or perform services for us and our affiliates in the ordinary course of business. </w:t>
      </w:r>
    </w:p>
    <w:p>
      <w:pPr>
        <w:pStyle w:val="TextBody"/>
        <w:bidi w:val="0"/>
        <w:spacing w:before="180" w:after="0"/>
        <w:jc w:val="left"/>
        <w:rPr>
          <w:rFonts w:ascii="Arial" w:hAnsi="Arial"/>
          <w:sz w:val="19"/>
        </w:rPr>
      </w:pPr>
      <w:r>
        <w:rPr>
          <w:rFonts w:ascii="Arial" w:hAnsi="Arial"/>
          <w:sz w:val="19"/>
        </w:rPr>
        <w:t xml:space="preserve">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1" w:name="toc149127_15"/>
      <w:bookmarkEnd w:id="31"/>
      <w:r>
        <w:rPr>
          <w:rFonts w:ascii="Arial" w:hAnsi="Arial"/>
          <w:b/>
          <w:sz w:val="20"/>
        </w:rPr>
        <w:t xml:space="preserve">EXPENSES OF THE OFFERING </w:t>
      </w:r>
    </w:p>
    <w:p>
      <w:pPr>
        <w:pStyle w:val="TextBody"/>
        <w:bidi w:val="0"/>
        <w:spacing w:before="360" w:after="0"/>
        <w:jc w:val="left"/>
        <w:rPr>
          <w:rFonts w:ascii="Arial" w:hAnsi="Arial"/>
          <w:sz w:val="19"/>
        </w:rPr>
      </w:pPr>
      <w:r>
        <w:rPr>
          <w:rFonts w:ascii="Arial" w:hAnsi="Arial"/>
          <w:sz w:val="19"/>
        </w:rPr>
        <w:t xml:space="preserve">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55"/>
        <w:gridCol w:w="335"/>
        <w:gridCol w:w="192"/>
        <w:gridCol w:w="968"/>
        <w:gridCol w:w="355"/>
      </w:tblGrid>
      <w:tr>
        <w:trPr/>
        <w:tc>
          <w:tcPr>
            <w:tcW w:w="8355"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835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EXPENSES</w:t>
            </w:r>
          </w:p>
        </w:tc>
        <w:tc>
          <w:tcPr>
            <w:tcW w:w="335"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AMOUNT </w:t>
            </w:r>
          </w:p>
        </w:tc>
        <w:tc>
          <w:tcPr>
            <w:tcW w:w="355" w:type="dxa"/>
            <w:tcBorders/>
            <w:vAlign w:val="bottom"/>
          </w:tcPr>
          <w:p>
            <w:pPr>
              <w:pStyle w:val="TableContents"/>
              <w:bidi w:val="0"/>
              <w:spacing w:before="0" w:after="283"/>
              <w:jc w:val="left"/>
              <w:rPr/>
            </w:pPr>
            <w:r>
              <w:rPr/>
              <w:t> </w:t>
            </w:r>
          </w:p>
        </w:tc>
      </w:tr>
      <w:tr>
        <w:trPr/>
        <w:tc>
          <w:tcPr>
            <w:tcW w:w="8355" w:type="dxa"/>
            <w:tcBorders/>
            <w:shd w:fill="CCEEFF" w:val="clear"/>
          </w:tcPr>
          <w:p>
            <w:pPr>
              <w:pStyle w:val="TableContents"/>
              <w:bidi w:val="0"/>
              <w:spacing w:before="0" w:after="0"/>
              <w:jc w:val="left"/>
              <w:rPr>
                <w:rFonts w:ascii="Arial" w:hAnsi="Arial"/>
                <w:sz w:val="19"/>
              </w:rPr>
            </w:pPr>
            <w:r>
              <w:rPr>
                <w:rFonts w:ascii="Arial" w:hAnsi="Arial"/>
                <w:sz w:val="19"/>
              </w:rPr>
              <w:t>SEC registration fee</w:t>
            </w:r>
          </w:p>
        </w:tc>
        <w:tc>
          <w:tcPr>
            <w:tcW w:w="33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76,550</w:t>
            </w:r>
          </w:p>
        </w:tc>
        <w:tc>
          <w:tcPr>
            <w:tcW w:w="355" w:type="dxa"/>
            <w:tcBorders/>
            <w:shd w:fill="CCEEFF" w:val="clear"/>
            <w:vAlign w:val="bottom"/>
          </w:tcPr>
          <w:p>
            <w:pPr>
              <w:pStyle w:val="TableContents"/>
              <w:bidi w:val="0"/>
              <w:spacing w:before="0" w:after="283"/>
              <w:jc w:val="left"/>
              <w:rPr/>
            </w:pPr>
            <w:r>
              <w:rPr/>
              <w:t> </w:t>
            </w:r>
          </w:p>
        </w:tc>
      </w:tr>
      <w:tr>
        <w:trPr/>
        <w:tc>
          <w:tcPr>
            <w:tcW w:w="8355" w:type="dxa"/>
            <w:tcBorders/>
          </w:tcPr>
          <w:p>
            <w:pPr>
              <w:pStyle w:val="TableContents"/>
              <w:bidi w:val="0"/>
              <w:spacing w:before="0" w:after="0"/>
              <w:jc w:val="left"/>
              <w:rPr>
                <w:rFonts w:ascii="Arial" w:hAnsi="Arial"/>
                <w:sz w:val="19"/>
              </w:rPr>
            </w:pPr>
            <w:r>
              <w:rPr>
                <w:rFonts w:ascii="Arial" w:hAnsi="Arial"/>
                <w:sz w:val="19"/>
              </w:rPr>
              <w:t>Printing and engraving expenses</w:t>
            </w:r>
          </w:p>
        </w:tc>
        <w:tc>
          <w:tcPr>
            <w:tcW w:w="33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(1) </w:t>
            </w:r>
          </w:p>
        </w:tc>
      </w:tr>
      <w:tr>
        <w:trPr/>
        <w:tc>
          <w:tcPr>
            <w:tcW w:w="8355" w:type="dxa"/>
            <w:tcBorders/>
            <w:shd w:fill="CCEEFF" w:val="clear"/>
          </w:tcPr>
          <w:p>
            <w:pPr>
              <w:pStyle w:val="TableContents"/>
              <w:bidi w:val="0"/>
              <w:spacing w:before="0" w:after="0"/>
              <w:jc w:val="left"/>
              <w:rPr>
                <w:rFonts w:ascii="Arial" w:hAnsi="Arial"/>
                <w:sz w:val="19"/>
              </w:rPr>
            </w:pPr>
            <w:r>
              <w:rPr>
                <w:rFonts w:ascii="Arial" w:hAnsi="Arial"/>
                <w:sz w:val="19"/>
              </w:rPr>
              <w:t>Legal fees and expenses</w:t>
            </w:r>
          </w:p>
        </w:tc>
        <w:tc>
          <w:tcPr>
            <w:tcW w:w="33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283"/>
              <w:jc w:val="left"/>
              <w:rPr/>
            </w:pPr>
            <w:r>
              <w:rPr/>
              <w:t>(1) </w:t>
            </w:r>
          </w:p>
        </w:tc>
      </w:tr>
      <w:tr>
        <w:trPr/>
        <w:tc>
          <w:tcPr>
            <w:tcW w:w="8355" w:type="dxa"/>
            <w:tcBorders/>
          </w:tcPr>
          <w:p>
            <w:pPr>
              <w:pStyle w:val="TableContents"/>
              <w:bidi w:val="0"/>
              <w:spacing w:before="0" w:after="0"/>
              <w:jc w:val="left"/>
              <w:rPr>
                <w:rFonts w:ascii="Arial" w:hAnsi="Arial"/>
                <w:sz w:val="19"/>
              </w:rPr>
            </w:pPr>
            <w:r>
              <w:rPr>
                <w:rFonts w:ascii="Arial" w:hAnsi="Arial"/>
                <w:sz w:val="19"/>
              </w:rPr>
              <w:t>Accounting fees and expenses</w:t>
            </w:r>
          </w:p>
        </w:tc>
        <w:tc>
          <w:tcPr>
            <w:tcW w:w="33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(1) </w:t>
            </w:r>
          </w:p>
        </w:tc>
      </w:tr>
      <w:tr>
        <w:trPr/>
        <w:tc>
          <w:tcPr>
            <w:tcW w:w="8355" w:type="dxa"/>
            <w:tcBorders/>
            <w:shd w:fill="CCEEFF" w:val="clear"/>
          </w:tcPr>
          <w:p>
            <w:pPr>
              <w:pStyle w:val="TableContents"/>
              <w:bidi w:val="0"/>
              <w:spacing w:before="0" w:after="0"/>
              <w:jc w:val="left"/>
              <w:rPr>
                <w:rFonts w:ascii="Arial" w:hAnsi="Arial"/>
                <w:sz w:val="19"/>
              </w:rPr>
            </w:pPr>
            <w:r>
              <w:rPr>
                <w:rFonts w:ascii="Arial" w:hAnsi="Arial"/>
                <w:sz w:val="19"/>
              </w:rPr>
              <w:t>Miscellaneous costs</w:t>
            </w:r>
          </w:p>
        </w:tc>
        <w:tc>
          <w:tcPr>
            <w:tcW w:w="335"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283"/>
              <w:jc w:val="left"/>
              <w:rPr/>
            </w:pPr>
            <w:r>
              <w:rPr/>
              <w:t>(1) </w:t>
            </w:r>
          </w:p>
        </w:tc>
      </w:tr>
      <w:tr>
        <w:trPr/>
        <w:tc>
          <w:tcPr>
            <w:tcW w:w="835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r>
      <w:tr>
        <w:trPr/>
        <w:tc>
          <w:tcPr>
            <w:tcW w:w="8355" w:type="dxa"/>
            <w:tcBorders/>
          </w:tcPr>
          <w:p>
            <w:pPr>
              <w:pStyle w:val="TableContents"/>
              <w:bidi w:val="0"/>
              <w:spacing w:before="0" w:after="0"/>
              <w:jc w:val="left"/>
              <w:rPr>
                <w:rFonts w:ascii="Arial" w:hAnsi="Arial"/>
                <w:b/>
                <w:sz w:val="19"/>
              </w:rPr>
            </w:pPr>
            <w:r>
              <w:rPr>
                <w:rFonts w:ascii="Arial" w:hAnsi="Arial"/>
                <w:b/>
                <w:sz w:val="19"/>
              </w:rPr>
              <w:t>Total</w:t>
            </w:r>
          </w:p>
        </w:tc>
        <w:tc>
          <w:tcPr>
            <w:tcW w:w="33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(1) </w:t>
            </w:r>
          </w:p>
        </w:tc>
      </w:tr>
      <w:tr>
        <w:trPr/>
        <w:tc>
          <w:tcPr>
            <w:tcW w:w="835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68" w:type="dxa"/>
            <w:tcBorders/>
            <w:vAlign w:val="bottom"/>
          </w:tcPr>
          <w:p>
            <w:pPr>
              <w:pStyle w:val="TableContents"/>
              <w:pBdr>
                <w:top w:val="double" w:sz="6"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These fees and expenses depend on the securities offered and the number of offerings, and accordingly cannot be estimated at this time and will be reflected in the applicable prospectus supplement.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2" w:name="toc149127_16"/>
      <w:bookmarkEnd w:id="32"/>
      <w:r>
        <w:rPr>
          <w:rFonts w:ascii="Arial" w:hAnsi="Arial"/>
          <w:b/>
          <w:sz w:val="20"/>
        </w:rPr>
        <w:t xml:space="preserve">LEGAL MATTERS </w:t>
      </w:r>
    </w:p>
    <w:p>
      <w:pPr>
        <w:pStyle w:val="TextBody"/>
        <w:bidi w:val="0"/>
        <w:spacing w:before="360" w:after="0"/>
        <w:jc w:val="left"/>
        <w:rPr>
          <w:rFonts w:ascii="Arial" w:hAnsi="Arial"/>
          <w:sz w:val="19"/>
        </w:rPr>
      </w:pPr>
      <w:r>
        <w:rPr>
          <w:rFonts w:ascii="Arial" w:hAnsi="Arial"/>
          <w:sz w:val="19"/>
        </w:rPr>
        <w:t xml:space="preserve">The validity of certain securities and certain other matters with respect to Dutch law will be passed upon for us by NautaDutilh N.V., Amsterdam, the Netherlands. The validity of certain securities and certain matters with respect to U.S. federal and New York State law will be passed upon for us by Davis Polk &amp; Wardwell LLP, New York, New York. Any underwriters, dealers or agents will be advised by their own legal counsel concerning issues relating to any offering.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3" w:name="toc149127_17"/>
      <w:bookmarkEnd w:id="33"/>
      <w:r>
        <w:rPr>
          <w:rFonts w:ascii="Arial" w:hAnsi="Arial"/>
          <w:b/>
          <w:sz w:val="20"/>
        </w:rPr>
        <w:t xml:space="preserve">EXPERTS </w:t>
      </w:r>
    </w:p>
    <w:p>
      <w:pPr>
        <w:pStyle w:val="TextBody"/>
        <w:bidi w:val="0"/>
        <w:spacing w:before="360" w:after="0"/>
        <w:jc w:val="left"/>
        <w:rPr>
          <w:rFonts w:ascii="Arial" w:hAnsi="Arial"/>
          <w:sz w:val="19"/>
        </w:rPr>
      </w:pPr>
      <w:r>
        <w:rPr>
          <w:rFonts w:ascii="Arial" w:hAnsi="Arial"/>
          <w:sz w:val="19"/>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2024 have been so incorporated in reliance on the report (which contains an explanatory paragraph relating to the Company’s restatement of its financial statements as described in Note 2.2 to the financial statements and which contains an adverse opinion on the effectiveness of the Company’s internal control over financial reporting) of PricewaterhouseCoopers GmbH Wirtschaftsprüfungsgesellschaft, an independent registered public accounting firm, given on the authority of said firm as experts in auditing and accounting. PricewaterhouseCoopers GmbH Wirtschaftsprüfungsgesellschaft is a member of the Chamber of Public Accountants (</w:t>
      </w:r>
      <w:r>
        <w:rPr>
          <w:rFonts w:ascii="Arial" w:hAnsi="Arial"/>
          <w:i/>
          <w:sz w:val="19"/>
        </w:rPr>
        <w:t>Wirtschaftsprüferkammer</w:t>
      </w:r>
      <w:r>
        <w:rPr>
          <w:rFonts w:ascii="Arial" w:hAnsi="Arial"/>
          <w:sz w:val="19"/>
        </w:rPr>
        <w:t xml:space="preserve">), Berlin, Germany.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4" w:name="toc149127_18"/>
      <w:bookmarkEnd w:id="34"/>
      <w:r>
        <w:rPr>
          <w:rFonts w:ascii="Arial" w:hAnsi="Arial"/>
          <w:b/>
          <w:sz w:val="20"/>
        </w:rPr>
        <w:t xml:space="preserve">ENFORCEMENT OF CIVIL LIABILITIES </w:t>
      </w:r>
    </w:p>
    <w:p>
      <w:pPr>
        <w:pStyle w:val="TextBody"/>
        <w:bidi w:val="0"/>
        <w:spacing w:before="360" w:after="0"/>
        <w:jc w:val="left"/>
        <w:rPr>
          <w:rFonts w:ascii="Arial" w:hAnsi="Arial"/>
          <w:sz w:val="19"/>
        </w:rPr>
      </w:pPr>
      <w:r>
        <w:rPr>
          <w:rFonts w:ascii="Arial" w:hAnsi="Arial"/>
          <w:sz w:val="19"/>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Arial" w:hAnsi="Arial"/>
          <w:i/>
          <w:sz w:val="19"/>
        </w:rPr>
        <w:t>functionarissen</w:t>
      </w:r>
      <w:r>
        <w:rPr>
          <w:rFonts w:ascii="Arial" w:hAnsi="Arial"/>
          <w:sz w:val="19"/>
        </w:rPr>
        <w:t xml:space="preserve">) (including our directors and executive officers) are governed in certain respects by the laws of the Netherlands. </w:t>
      </w:r>
    </w:p>
    <w:p>
      <w:pPr>
        <w:pStyle w:val="TextBody"/>
        <w:bidi w:val="0"/>
        <w:spacing w:before="180" w:after="0"/>
        <w:jc w:val="left"/>
        <w:rPr>
          <w:rFonts w:ascii="Arial" w:hAnsi="Arial"/>
          <w:sz w:val="19"/>
        </w:rPr>
      </w:pPr>
      <w:r>
        <w:rPr>
          <w:rFonts w:ascii="Arial" w:hAnsi="Arial"/>
          <w:sz w:val="19"/>
        </w:rPr>
        <w:t xml:space="preserve">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 </w:t>
      </w:r>
    </w:p>
    <w:p>
      <w:pPr>
        <w:pStyle w:val="TextBody"/>
        <w:bidi w:val="0"/>
        <w:spacing w:before="180" w:after="0"/>
        <w:jc w:val="left"/>
        <w:rPr>
          <w:rFonts w:ascii="Arial" w:hAnsi="Arial"/>
          <w:sz w:val="19"/>
        </w:rPr>
      </w:pPr>
      <w:r>
        <w:rPr>
          <w:rFonts w:ascii="Arial" w:hAnsi="Arial"/>
          <w:sz w:val="19"/>
        </w:rPr>
        <w:t xml:space="preserve">Also, service of process against non-residents of the United States can in principle (absent, for example, a valid choice of domicile) not be effected in the United States. </w:t>
      </w:r>
    </w:p>
    <w:p>
      <w:pPr>
        <w:pStyle w:val="TextBody"/>
        <w:bidi w:val="0"/>
        <w:spacing w:before="180" w:after="0"/>
        <w:jc w:val="left"/>
        <w:rPr>
          <w:rFonts w:ascii="Arial" w:hAnsi="Arial"/>
          <w:sz w:val="19"/>
        </w:rPr>
      </w:pPr>
      <w:r>
        <w:rPr>
          <w:rFonts w:ascii="Arial" w:hAnsi="Arial"/>
          <w:sz w:val="19"/>
        </w:rPr>
        <w:t>Furthermore, a substantial amount of our assets are located outside the United States. As of the date of this prospectus,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hAnsi="Arial"/>
          <w:i/>
          <w:sz w:val="19"/>
        </w:rPr>
        <w:t>behoorlijke rechtspleging</w:t>
      </w:r>
      <w:r>
        <w:rPr>
          <w:rFonts w:ascii="Arial" w:hAnsi="Arial"/>
          <w:sz w:val="19"/>
        </w:rPr>
        <w:t>), (iii) binding effect of such United States judgment is not contrary to Dutch public order (</w:t>
      </w:r>
      <w:r>
        <w:rPr>
          <w:rFonts w:ascii="Arial" w:hAnsi="Arial"/>
          <w:i/>
          <w:sz w:val="19"/>
        </w:rPr>
        <w:t>openbare orde</w:t>
      </w:r>
      <w:r>
        <w:rPr>
          <w:rFonts w:ascii="Arial" w:hAnsi="Arial"/>
          <w:sz w:val="19"/>
        </w:rPr>
        <w:t xml:space="preserv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 </w:t>
      </w:r>
    </w:p>
    <w:p>
      <w:pPr>
        <w:pStyle w:val="TextBody"/>
        <w:bidi w:val="0"/>
        <w:spacing w:before="180" w:after="0"/>
        <w:jc w:val="left"/>
        <w:rPr>
          <w:rFonts w:ascii="Arial" w:hAnsi="Arial"/>
          <w:sz w:val="19"/>
        </w:rPr>
      </w:pPr>
      <w:r>
        <w:rPr>
          <w:rFonts w:ascii="Arial" w:hAnsi="Arial"/>
          <w:sz w:val="19"/>
        </w:rPr>
        <w:t xml:space="preserve">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Thus, United States investors may not be able to enforce, or may experience difficulty in enforcing, a judgment obtained in a United States court against us or our officers.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5" w:name="toc149127_19"/>
      <w:bookmarkEnd w:id="35"/>
      <w:r>
        <w:rPr>
          <w:rFonts w:ascii="Arial" w:hAnsi="Arial"/>
          <w:b/>
          <w:sz w:val="20"/>
        </w:rPr>
        <w:t xml:space="preserve">WHERE YOU CAN FIND MORE INFORMATION </w:t>
      </w:r>
    </w:p>
    <w:p>
      <w:pPr>
        <w:pStyle w:val="TextBody"/>
        <w:bidi w:val="0"/>
        <w:spacing w:before="360" w:after="0"/>
        <w:jc w:val="left"/>
        <w:rPr>
          <w:rFonts w:ascii="Arial" w:hAnsi="Arial"/>
          <w:sz w:val="19"/>
        </w:rPr>
      </w:pPr>
      <w:r>
        <w:rPr>
          <w:rFonts w:ascii="Arial" w:hAnsi="Arial"/>
          <w:sz w:val="19"/>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Arial" w:hAnsi="Arial"/>
          <w:i/>
          <w:sz w:val="19"/>
        </w:rPr>
        <w:t>www.sec.gov</w:t>
      </w:r>
      <w:r>
        <w:rPr>
          <w:rFonts w:ascii="Arial" w:hAnsi="Arial"/>
          <w:sz w:val="19"/>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w:t>
      </w:r>
    </w:p>
    <w:p>
      <w:pPr>
        <w:pStyle w:val="TextBody"/>
        <w:bidi w:val="0"/>
        <w:spacing w:before="180" w:after="0"/>
        <w:jc w:val="left"/>
        <w:rPr>
          <w:rFonts w:ascii="Arial" w:hAnsi="Arial"/>
          <w:sz w:val="19"/>
        </w:rPr>
      </w:pPr>
      <w:r>
        <w:rPr>
          <w:rFonts w:ascii="Arial" w:hAnsi="Arial"/>
          <w:sz w:val="19"/>
        </w:rPr>
        <w:t xml:space="preserve">We have filed with the SEC a “shelf” registration statement (including exhibits to the registration statement) on Form F-3 under the Securities Act. 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more detail about us and the securities that may be offered by this prospectus, you may examine the registration statement on Form F-3 and the exhibits filed with it at the website provided in the previous paragraph. </w:t>
      </w:r>
    </w:p>
    <w:p>
      <w:pPr>
        <w:pStyle w:val="TextBody"/>
        <w:bidi w:val="0"/>
        <w:spacing w:before="180" w:after="0"/>
        <w:jc w:val="left"/>
        <w:rPr>
          <w:rFonts w:ascii="Arial" w:hAnsi="Arial"/>
          <w:sz w:val="19"/>
        </w:rPr>
      </w:pPr>
      <w:r>
        <w:rPr>
          <w:rFonts w:ascii="Arial" w:hAnsi="Arial"/>
          <w:sz w:val="19"/>
        </w:rPr>
        <w:t xml:space="preserve">We maintain a corporate website at </w:t>
      </w:r>
      <w:r>
        <w:rPr>
          <w:rFonts w:ascii="Arial" w:hAnsi="Arial"/>
          <w:i/>
          <w:sz w:val="19"/>
        </w:rPr>
        <w:t>www.immatics.com</w:t>
      </w:r>
      <w:r>
        <w:rPr>
          <w:rFonts w:ascii="Arial" w:hAnsi="Arial"/>
          <w:sz w:val="19"/>
        </w:rPr>
        <w:t xml:space="preserve">. The reference to our website is an inactive textual reference only, and information contained therein or connected thereto is not incorporated into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6" w:name="toc149127_20"/>
      <w:bookmarkEnd w:id="36"/>
      <w:r>
        <w:rPr>
          <w:rFonts w:ascii="Arial" w:hAnsi="Arial"/>
          <w:b/>
          <w:sz w:val="20"/>
        </w:rPr>
        <w:t xml:space="preserve">INFORMATION INCORPORATED BY REFERENCE </w:t>
      </w:r>
    </w:p>
    <w:p>
      <w:pPr>
        <w:pStyle w:val="TextBody"/>
        <w:bidi w:val="0"/>
        <w:spacing w:before="360" w:after="0"/>
        <w:jc w:val="left"/>
        <w:rPr>
          <w:rFonts w:ascii="Arial" w:hAnsi="Arial"/>
          <w:sz w:val="19"/>
        </w:rPr>
      </w:pPr>
      <w:r>
        <w:rPr>
          <w:rFonts w:ascii="Arial" w:hAnsi="Arial"/>
          <w:sz w:val="19"/>
        </w:rPr>
        <w:t xml:space="preserve">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19"/>
              </w:rPr>
              <w:t xml:space="preserve">our </w:t>
            </w:r>
            <w:hyperlink r:id="rId10">
              <w:r>
                <w:rPr>
                  <w:rStyle w:val="InternetLink"/>
                  <w:rFonts w:ascii="Arial" w:hAnsi="Arial"/>
                  <w:sz w:val="19"/>
                </w:rPr>
                <w:t>Annual Report on Form 20-F for the year ended December 31, 2024</w:t>
              </w:r>
            </w:hyperlink>
            <w:r>
              <w:rPr>
                <w:rFonts w:ascii="Arial" w:hAnsi="Arial"/>
                <w:sz w:val="19"/>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Arial" w:hAnsi="Arial"/>
                <w:sz w:val="19"/>
              </w:rPr>
              <w:t xml:space="preserve">our </w:t>
            </w:r>
            <w:hyperlink r:id="rId11">
              <w:r>
                <w:rPr>
                  <w:rStyle w:val="InternetLink"/>
                  <w:rFonts w:ascii="Arial" w:hAnsi="Arial"/>
                  <w:sz w:val="19"/>
                </w:rPr>
                <w:t>Registration Statement on Form 8-A filed with the SEC on July 1, 2020</w:t>
              </w:r>
            </w:hyperlink>
            <w:r>
              <w:rPr>
                <w:rFonts w:ascii="Arial" w:hAnsi="Arial"/>
                <w:sz w:val="19"/>
              </w:rPr>
              <w:t xml:space="preserve"> and any amendment or report filed for the purpose of updating such description. </w:t>
            </w:r>
          </w:p>
        </w:tc>
      </w:tr>
    </w:tbl>
    <w:p>
      <w:pPr>
        <w:pStyle w:val="TextBody"/>
        <w:bidi w:val="0"/>
        <w:spacing w:before="180" w:after="0"/>
        <w:jc w:val="left"/>
        <w:rPr>
          <w:rFonts w:ascii="Arial" w:hAnsi="Arial"/>
          <w:sz w:val="19"/>
        </w:rPr>
      </w:pPr>
      <w:r>
        <w:rPr>
          <w:rFonts w:ascii="Arial" w:hAnsi="Arial"/>
          <w:sz w:val="19"/>
        </w:rPr>
        <w:t xml:space="preserve">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on or after the date of the initial filing of the registration statement of which this prospectus forms a part and prior to the effectiveness of such registration statement and (ii) on or after the date hereof and prior to the completion of an offering of securities under this prospectus. </w:t>
      </w:r>
    </w:p>
    <w:p>
      <w:pPr>
        <w:pStyle w:val="TextBody"/>
        <w:bidi w:val="0"/>
        <w:spacing w:before="180" w:after="0"/>
        <w:jc w:val="left"/>
        <w:rPr>
          <w:rFonts w:ascii="Arial" w:hAnsi="Arial"/>
          <w:sz w:val="19"/>
        </w:rPr>
      </w:pPr>
      <w:r>
        <w:rPr>
          <w:rFonts w:ascii="Arial" w:hAnsi="Arial"/>
          <w:sz w:val="19"/>
        </w:rPr>
        <w:t xml:space="preserve">You can obtain any of the filings incorporated by reference in this prospectus through us or from the SEC through the SEC’s website at </w:t>
      </w:r>
      <w:r>
        <w:rPr>
          <w:rFonts w:ascii="Arial" w:hAnsi="Arial"/>
          <w:i/>
          <w:sz w:val="19"/>
        </w:rPr>
        <w:t>www.sec.gov</w:t>
      </w:r>
      <w:r>
        <w:rPr>
          <w:rFonts w:ascii="Arial" w:hAnsi="Arial"/>
          <w:sz w:val="19"/>
        </w:rPr>
        <w:t>. Our filings with the SEC, including our Annual Reports on Form 20-F and Reports on Form 6-K and exhibits incorporated in and amendments to those reports, are also available free of charge on our website (</w:t>
      </w:r>
      <w:r>
        <w:rPr>
          <w:rFonts w:ascii="Arial" w:hAnsi="Arial"/>
          <w:i/>
          <w:sz w:val="19"/>
        </w:rPr>
        <w:t>www.immatics.com</w:t>
      </w:r>
      <w:r>
        <w:rPr>
          <w:rFonts w:ascii="Arial" w:hAnsi="Arial"/>
          <w:sz w:val="19"/>
        </w:rPr>
        <w:t xml:space="preserve">)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 </w:t>
      </w:r>
    </w:p>
    <w:p>
      <w:pPr>
        <w:pStyle w:val="TextBody"/>
        <w:bidi w:val="0"/>
        <w:spacing w:before="180" w:after="0"/>
        <w:jc w:val="center"/>
        <w:rPr>
          <w:rFonts w:ascii="Arial" w:hAnsi="Arial"/>
          <w:sz w:val="19"/>
        </w:rPr>
      </w:pPr>
      <w:r>
        <w:rPr>
          <w:rFonts w:ascii="Arial" w:hAnsi="Arial"/>
          <w:sz w:val="19"/>
        </w:rPr>
        <w:t xml:space="preserve">Investor Relations </w:t>
      </w:r>
    </w:p>
    <w:p>
      <w:pPr>
        <w:pStyle w:val="TextBody"/>
        <w:bidi w:val="0"/>
        <w:spacing w:before="0" w:after="0"/>
        <w:jc w:val="center"/>
        <w:rPr>
          <w:rFonts w:ascii="Arial" w:hAnsi="Arial"/>
          <w:sz w:val="19"/>
        </w:rPr>
      </w:pPr>
      <w:r>
        <w:rPr>
          <w:rFonts w:ascii="Arial" w:hAnsi="Arial"/>
          <w:sz w:val="19"/>
        </w:rPr>
        <w:t xml:space="preserve">Immatics N.V. </w:t>
      </w:r>
    </w:p>
    <w:p>
      <w:pPr>
        <w:pStyle w:val="TextBody"/>
        <w:bidi w:val="0"/>
        <w:spacing w:before="0" w:after="0"/>
        <w:jc w:val="center"/>
        <w:rPr>
          <w:rFonts w:ascii="Arial" w:hAnsi="Arial"/>
          <w:sz w:val="19"/>
        </w:rPr>
      </w:pPr>
      <w:r>
        <w:rPr>
          <w:rFonts w:ascii="Arial" w:hAnsi="Arial"/>
          <w:sz w:val="19"/>
        </w:rPr>
        <w:t xml:space="preserve">c/o Immatics US, Inc. </w:t>
      </w:r>
    </w:p>
    <w:p>
      <w:pPr>
        <w:pStyle w:val="TextBody"/>
        <w:bidi w:val="0"/>
        <w:spacing w:before="0" w:after="0"/>
        <w:jc w:val="center"/>
        <w:rPr>
          <w:rFonts w:ascii="Arial" w:hAnsi="Arial"/>
          <w:sz w:val="19"/>
        </w:rPr>
      </w:pPr>
      <w:r>
        <w:rPr>
          <w:rFonts w:ascii="Arial" w:hAnsi="Arial"/>
          <w:sz w:val="19"/>
        </w:rPr>
        <w:t xml:space="preserve">13203 Murphy Rd., Suite 100 </w:t>
      </w:r>
    </w:p>
    <w:p>
      <w:pPr>
        <w:pStyle w:val="TextBody"/>
        <w:bidi w:val="0"/>
        <w:spacing w:before="0" w:after="0"/>
        <w:jc w:val="center"/>
        <w:rPr>
          <w:rFonts w:ascii="Arial" w:hAnsi="Arial"/>
          <w:sz w:val="19"/>
        </w:rPr>
      </w:pPr>
      <w:r>
        <w:rPr>
          <w:rFonts w:ascii="Arial" w:hAnsi="Arial"/>
          <w:sz w:val="19"/>
        </w:rPr>
        <w:t xml:space="preserve">Stafford, Texas 77477 </w:t>
      </w:r>
    </w:p>
    <w:p>
      <w:pPr>
        <w:pStyle w:val="TextBody"/>
        <w:bidi w:val="0"/>
        <w:spacing w:before="0" w:after="0"/>
        <w:jc w:val="center"/>
        <w:rPr>
          <w:rFonts w:ascii="Arial" w:hAnsi="Arial"/>
          <w:sz w:val="19"/>
        </w:rPr>
      </w:pPr>
      <w:r>
        <w:rPr>
          <w:rFonts w:ascii="Arial" w:hAnsi="Arial"/>
          <w:sz w:val="19"/>
        </w:rPr>
        <w:t xml:space="preserve">(281) 810-7545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23795" cy="8896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423795" cy="889635"/>
                    </a:xfrm>
                    <a:prstGeom prst="rect">
                      <a:avLst/>
                    </a:prstGeom>
                  </pic:spPr>
                </pic:pic>
              </a:graphicData>
            </a:graphic>
          </wp:inline>
        </w:drawing>
      </w:r>
      <w:r>
        <w:rPr/>
        <w:t xml:space="preserve"> </w:t>
      </w:r>
    </w:p>
    <w:p>
      <w:pPr>
        <w:pStyle w:val="TextBody"/>
        <w:bidi w:val="0"/>
        <w:spacing w:before="1200" w:after="0"/>
        <w:jc w:val="center"/>
        <w:rPr>
          <w:rFonts w:ascii="Arial" w:hAnsi="Arial"/>
          <w:b/>
          <w:sz w:val="40"/>
        </w:rPr>
      </w:pPr>
      <w:r>
        <w:rPr>
          <w:rFonts w:ascii="Arial" w:hAnsi="Arial"/>
          <w:b/>
          <w:sz w:val="40"/>
        </w:rPr>
        <w:t xml:space="preserve">IMMATICS N.V. </w:t>
      </w:r>
    </w:p>
    <w:p>
      <w:pPr>
        <w:pStyle w:val="TextBody"/>
        <w:bidi w:val="0"/>
        <w:spacing w:before="1200" w:after="0"/>
        <w:jc w:val="center"/>
        <w:rPr>
          <w:rFonts w:ascii="Arial" w:hAnsi="Arial"/>
          <w:b/>
          <w:sz w:val="32"/>
        </w:rPr>
      </w:pPr>
      <w:r>
        <w:rPr>
          <w:rFonts w:ascii="Arial" w:hAnsi="Arial"/>
          <w:b/>
          <w:sz w:val="32"/>
        </w:rPr>
        <w:t xml:space="preserve">12,945,916 Ordinary Shares </w:t>
      </w:r>
    </w:p>
    <w:p>
      <w:pPr>
        <w:pStyle w:val="TextBody"/>
        <w:bidi w:val="0"/>
        <w:spacing w:before="120" w:after="0"/>
        <w:jc w:val="center"/>
        <w:rPr>
          <w:rFonts w:ascii="Arial" w:hAnsi="Arial"/>
          <w:b/>
          <w:sz w:val="32"/>
        </w:rPr>
      </w:pPr>
      <w:r>
        <w:rPr>
          <w:rFonts w:ascii="Arial" w:hAnsi="Arial"/>
          <w:b/>
          <w:sz w:val="32"/>
        </w:rPr>
        <w:t xml:space="preserve">Pre-Funded Warrants to Purchase 4,315,304 Ordinary Shares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center"/>
        <w:rPr>
          <w:rFonts w:ascii="Arial" w:hAnsi="Arial"/>
          <w:b/>
          <w:sz w:val="20"/>
        </w:rPr>
      </w:pPr>
      <w:r>
        <w:rPr>
          <w:rFonts w:ascii="Arial" w:hAnsi="Arial"/>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0"/>
        <w:gridCol w:w="102"/>
        <w:gridCol w:w="5206"/>
        <w:gridCol w:w="101"/>
        <w:gridCol w:w="2246"/>
      </w:tblGrid>
      <w:tr>
        <w:trPr/>
        <w:tc>
          <w:tcPr>
            <w:tcW w:w="255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5206" w:type="dxa"/>
            <w:tcBorders/>
          </w:tcPr>
          <w:p>
            <w:pPr>
              <w:pStyle w:val="TableContents"/>
              <w:bidi w:val="0"/>
              <w:spacing w:before="0" w:after="283"/>
              <w:jc w:val="center"/>
              <w:rPr>
                <w:b/>
              </w:rPr>
            </w:pPr>
            <w:r>
              <w:rPr>
                <w:b/>
              </w:rPr>
              <w:t>Leerink Partners</w:t>
            </w:r>
          </w:p>
        </w:tc>
        <w:tc>
          <w:tcPr>
            <w:tcW w:w="101"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right"/>
              <w:rPr>
                <w:b/>
              </w:rPr>
            </w:pPr>
            <w:r>
              <w:rPr>
                <w:b/>
              </w:rPr>
              <w:t>Cantor</w:t>
            </w:r>
          </w:p>
        </w:tc>
      </w:tr>
    </w:tbl>
    <w:p>
      <w:pPr>
        <w:pStyle w:val="TextBody"/>
        <w:bidi w:val="0"/>
        <w:spacing w:before="2400" w:after="0"/>
        <w:jc w:val="center"/>
        <w:rPr>
          <w:rFonts w:ascii="Arial" w:hAnsi="Arial"/>
          <w:sz w:val="20"/>
        </w:rPr>
      </w:pPr>
      <w:r>
        <w:rPr>
          <w:rFonts w:ascii="Arial" w:hAnsi="Arial"/>
          <w:sz w:val="20"/>
        </w:rPr>
        <w:t xml:space="preserve">August 24,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09196/000119312526092529/imtx-20251231.htm" TargetMode="External"/><Relationship Id="rId4" Type="http://schemas.openxmlformats.org/officeDocument/2006/relationships/hyperlink" Target="http://www.sec.gov/Archives/edgar/data/1809196/000119312526218152/immatics_n.v._6-k_q126.htm" TargetMode="External"/><Relationship Id="rId5" Type="http://schemas.openxmlformats.org/officeDocument/2006/relationships/hyperlink" Target="http://www.sec.gov/Archives/edgar/data/1809196/000095010326008113/dp247360_6k.htm" TargetMode="External"/><Relationship Id="rId6" Type="http://schemas.openxmlformats.org/officeDocument/2006/relationships/hyperlink" Target="http://www.sec.gov/Archives/edgar/data/1809196/000095010326009230/dp248681_6k.htm" TargetMode="External"/><Relationship Id="rId7" Type="http://schemas.openxmlformats.org/officeDocument/2006/relationships/hyperlink" Target="http://www.sec.gov/Archives/edgar/data/../../../ix?doc=/Archives/edgar/data/1809196/000119312526354715/imtx-20260630.htm" TargetMode="External"/><Relationship Id="rId8" Type="http://schemas.openxmlformats.org/officeDocument/2006/relationships/hyperlink" Target="http://www.sec.gov/Archives/edgar/data/1809196/000119312520184871/d936803d8a12b.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0001809196/000095017025045724/imtx-20241231.htm" TargetMode="External"/><Relationship Id="rId11" Type="http://schemas.openxmlformats.org/officeDocument/2006/relationships/hyperlink" Target="http://www.sec.gov/Archives/edgar/data/1809196/000119312520184871/d936803d8a12b.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43414</Words>
  <Characters>231700</Characters>
  <CharactersWithSpaces>275716</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