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1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192405</wp:posOffset>
            </wp:positionH>
            <wp:positionV relativeFrom="page">
              <wp:posOffset>378460</wp:posOffset>
            </wp:positionV>
            <wp:extent cx="71640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26035"/>
                    </a:xfrm>
                    <a:prstGeom prst="rect">
                      <a:avLst/>
                    </a:prstGeom>
                    <a:noFill/>
                  </pic:spPr>
                </pic:pic>
              </a:graphicData>
            </a:graphic>
          </wp:anchor>
        </w:drawing>
        <w:drawing>
          <wp:anchor simplePos="0" relativeHeight="251657728" behindDoc="1" locked="0" layoutInCell="0" allowOverlap="1">
            <wp:simplePos x="0" y="0"/>
            <wp:positionH relativeFrom="page">
              <wp:posOffset>192405</wp:posOffset>
            </wp:positionH>
            <wp:positionV relativeFrom="page">
              <wp:posOffset>411480</wp:posOffset>
            </wp:positionV>
            <wp:extent cx="71640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6350"/>
                    </a:xfrm>
                    <a:prstGeom prst="rect">
                      <a:avLst/>
                    </a:prstGeom>
                    <a:noFill/>
                  </pic:spPr>
                </pic:pic>
              </a:graphicData>
            </a:graphic>
          </wp:anchor>
        </w:drawing>
        <w:t>UNITED STATES</w:t>
      </w:r>
    </w:p>
    <w:p>
      <w:pPr>
        <w:spacing w:after="0" w:line="36"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0"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98"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88"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5"/>
          <w:szCs w:val="15"/>
          <w:b w:val="1"/>
          <w:bCs w:val="1"/>
          <w:color w:val="auto"/>
        </w:rPr>
        <w:t>REPORT OF FOREIGN PRIVATE ISSUER PURSUANT TO RULE 13a-16 OR 15d-16 UNDER THE SECURITIES EXCHANGE ACT OF 1934</w:t>
      </w:r>
    </w:p>
    <w:p>
      <w:pPr>
        <w:spacing w:after="0" w:line="284"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7"/>
          <w:szCs w:val="17"/>
          <w:color w:val="auto"/>
        </w:rPr>
        <w:t>October 18,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2866390</wp:posOffset>
            </wp:positionH>
            <wp:positionV relativeFrom="paragraph">
              <wp:posOffset>152400</wp:posOffset>
            </wp:positionV>
            <wp:extent cx="143573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5735" cy="635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919"/>
        <w:spacing w:after="0"/>
        <w:rPr>
          <w:sz w:val="20"/>
          <w:szCs w:val="20"/>
          <w:color w:val="auto"/>
        </w:rPr>
      </w:pPr>
      <w:r>
        <w:rPr>
          <w:rFonts w:ascii="Times New Roman" w:cs="Times New Roman" w:eastAsia="Times New Roman" w:hAnsi="Times New Roman"/>
          <w:sz w:val="17"/>
          <w:szCs w:val="17"/>
          <w:b w:val="1"/>
          <w:bCs w:val="1"/>
          <w:color w:val="auto"/>
        </w:rPr>
        <w:t>Commission File Number: 001-39363</w:t>
      </w:r>
    </w:p>
    <w:p>
      <w:pPr>
        <w:spacing w:after="0" w:line="161"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30"/>
          <w:szCs w:val="30"/>
          <w:b w:val="1"/>
          <w:bCs w:val="1"/>
          <w:color w:val="auto"/>
        </w:rPr>
        <w:t>IMMATICS N.V.</w:t>
      </w:r>
    </w:p>
    <w:p>
      <w:pPr>
        <w:spacing w:after="0" w:line="201"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7"/>
          <w:szCs w:val="17"/>
          <w:b w:val="1"/>
          <w:bCs w:val="1"/>
          <w:color w:val="auto"/>
        </w:rPr>
        <w:t>Paul-Ehrlich-Straße 15</w:t>
      </w:r>
    </w:p>
    <w:p>
      <w:pPr>
        <w:spacing w:after="0" w:line="8" w:lineRule="exact"/>
        <w:rPr>
          <w:sz w:val="24"/>
          <w:szCs w:val="24"/>
          <w:color w:val="auto"/>
        </w:rPr>
      </w:pPr>
    </w:p>
    <w:p>
      <w:pPr>
        <w:jc w:val="center"/>
        <w:ind w:right="-879"/>
        <w:spacing w:after="0"/>
        <w:rPr>
          <w:sz w:val="20"/>
          <w:szCs w:val="20"/>
          <w:color w:val="auto"/>
        </w:rPr>
      </w:pPr>
      <w:r>
        <w:rPr>
          <w:rFonts w:ascii="Times New Roman" w:cs="Times New Roman" w:eastAsia="Times New Roman" w:hAnsi="Times New Roman"/>
          <w:sz w:val="17"/>
          <w:szCs w:val="17"/>
          <w:b w:val="1"/>
          <w:bCs w:val="1"/>
          <w:color w:val="auto"/>
        </w:rPr>
        <w:t>72076 Tübingen, Federal Republic of Germany</w:t>
      </w:r>
    </w:p>
    <w:p>
      <w:pPr>
        <w:jc w:val="center"/>
        <w:ind w:right="-9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155"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of Form 20-F or Form 40-F:</w:t>
      </w:r>
    </w:p>
    <w:p>
      <w:pPr>
        <w:spacing w:after="0" w:line="150" w:lineRule="exact"/>
        <w:rPr>
          <w:sz w:val="24"/>
          <w:szCs w:val="24"/>
          <w:color w:val="auto"/>
        </w:rPr>
      </w:pPr>
    </w:p>
    <w:p>
      <w:pPr>
        <w:ind w:left="3320"/>
        <w:spacing w:after="0" w:line="161" w:lineRule="exact"/>
        <w:tabs>
          <w:tab w:leader="none" w:pos="5240" w:val="left"/>
          <w:tab w:leader="none" w:pos="6680" w:val="left"/>
          <w:tab w:leader="none" w:pos="8600" w:val="left"/>
        </w:tabs>
        <w:rPr>
          <w:sz w:val="20"/>
          <w:szCs w:val="20"/>
          <w:color w:val="auto"/>
        </w:rPr>
      </w:pPr>
      <w:r>
        <w:rPr>
          <w:rFonts w:ascii="Times New Roman" w:cs="Times New Roman" w:eastAsia="Times New Roman" w:hAnsi="Times New Roman"/>
          <w:sz w:val="14"/>
          <w:szCs w:val="14"/>
          <w:color w:val="auto"/>
        </w:rPr>
        <w:t>Form 20-F</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Form 40-F</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5302250</wp:posOffset>
            </wp:positionH>
            <wp:positionV relativeFrom="paragraph">
              <wp:posOffset>26035</wp:posOffset>
            </wp:positionV>
            <wp:extent cx="42799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7990" cy="6350"/>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26035</wp:posOffset>
            </wp:positionV>
            <wp:extent cx="43434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34340" cy="6350"/>
                    </a:xfrm>
                    <a:prstGeom prst="rect">
                      <a:avLst/>
                    </a:prstGeom>
                    <a:noFill/>
                  </pic:spPr>
                </pic:pic>
              </a:graphicData>
            </a:graphic>
          </wp:anchor>
        </w:drawing>
      </w:r>
    </w:p>
    <w:p>
      <w:pPr>
        <w:spacing w:after="0" w:line="18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submitting the Form 6-K in paper as permitted by Regulation S-T Rule 101(b)(1): </w:t>
      </w:r>
      <w:r>
        <w:rPr>
          <w:rFonts w:ascii="MS PGothic" w:cs="MS PGothic" w:eastAsia="MS PGothic" w:hAnsi="MS PGothic"/>
          <w:sz w:val="14"/>
          <w:szCs w:val="14"/>
          <w:color w:val="auto"/>
        </w:rPr>
        <w:t>☐</w:t>
      </w:r>
    </w:p>
    <w:p>
      <w:pPr>
        <w:spacing w:after="0" w:line="17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submitting the Form 6-K in paper as permitted by Regulation S-T Rule 101(b)(7):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144145</wp:posOffset>
            </wp:positionV>
            <wp:extent cx="716407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157480</wp:posOffset>
            </wp:positionV>
            <wp:extent cx="71640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592455</wp:posOffset>
            </wp:positionV>
            <wp:extent cx="716407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0" w:num="1">
            <w:col w:w="10380"/>
          </w:cols>
          <w:pgMar w:left="300" w:top="823" w:right="12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4"/>
          <w:szCs w:val="14"/>
          <w:b w:val="1"/>
          <w:bCs w:val="1"/>
          <w:color w:val="auto"/>
        </w:rPr>
        <w:t>INFORMATION CONTAINED IN THIS REPORT ON FORM 6-K</w:t>
      </w:r>
    </w:p>
    <w:p>
      <w:pPr>
        <w:spacing w:after="0" w:line="173" w:lineRule="exact"/>
        <w:rPr>
          <w:sz w:val="20"/>
          <w:szCs w:val="20"/>
          <w:color w:val="auto"/>
        </w:rPr>
      </w:pPr>
    </w:p>
    <w:p>
      <w:pPr>
        <w:ind w:right="180" w:firstLine="498"/>
        <w:spacing w:after="0" w:line="291" w:lineRule="auto"/>
        <w:rPr>
          <w:sz w:val="20"/>
          <w:szCs w:val="20"/>
          <w:color w:val="auto"/>
        </w:rPr>
      </w:pPr>
      <w:r>
        <w:rPr>
          <w:rFonts w:ascii="Times New Roman" w:cs="Times New Roman" w:eastAsia="Times New Roman" w:hAnsi="Times New Roman"/>
          <w:sz w:val="13"/>
          <w:szCs w:val="13"/>
          <w:color w:val="auto"/>
        </w:rPr>
        <w:t>On October 18, 2022, Immatics N.V. (the “Company”) made available an updated investor presentation on its website, a copy of which is attached hereto as Exhibit 99.1. The fact that this presentation is being made available and filed herewith is not an admission as to the materiality of any information contained in the presentation. The information contained in the presentation is being provided as of October 18, 2022 and the Company does not undertake any obligation to update the presentation in the future or to update forward-looking statements to reflect subsequent actual results.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EXHIBIT INDEX</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3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81"/>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103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Presentation dated October 18, 2022</w:t>
            </w:r>
          </w:p>
        </w:tc>
      </w:tr>
      <w:tr>
        <w:trPr>
          <w:trHeight w:val="269"/>
        </w:trPr>
        <w:tc>
          <w:tcPr>
            <w:tcW w:w="900" w:type="dxa"/>
            <w:vAlign w:val="bottom"/>
            <w:tcBorders>
              <w:bottom w:val="single" w:sz="8" w:color="auto"/>
            </w:tcBorders>
          </w:tcPr>
          <w:p>
            <w:pPr>
              <w:spacing w:after="0"/>
              <w:rPr>
                <w:sz w:val="23"/>
                <w:szCs w:val="23"/>
                <w:color w:val="auto"/>
              </w:rPr>
            </w:pPr>
          </w:p>
        </w:tc>
        <w:tc>
          <w:tcPr>
            <w:tcW w:w="10380" w:type="dxa"/>
            <w:vAlign w:val="bottom"/>
            <w:tcBorders>
              <w:bottom w:val="single" w:sz="8" w:color="auto"/>
            </w:tcBorders>
          </w:tcPr>
          <w:p>
            <w:pPr>
              <w:spacing w:after="0"/>
              <w:rPr>
                <w:sz w:val="23"/>
                <w:szCs w:val="23"/>
                <w:color w:val="auto"/>
              </w:rPr>
            </w:pPr>
          </w:p>
        </w:tc>
      </w:tr>
    </w:tbl>
    <w:p>
      <w:pPr>
        <w:sectPr>
          <w:pgSz w:w="11900" w:h="16838" w:orient="portrait"/>
          <w:cols w:equalWidth="0" w:num="1">
            <w:col w:w="11280"/>
          </w:cols>
          <w:pgMar w:left="300" w:top="475"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1280" w:type="dxa"/>
            <w:vAlign w:val="bottom"/>
            <w:gridSpan w:val="2"/>
          </w:tcPr>
          <w:p>
            <w:pPr>
              <w:ind w:left="5660"/>
              <w:spacing w:after="0"/>
              <w:rPr>
                <w:sz w:val="20"/>
                <w:szCs w:val="20"/>
                <w:color w:val="auto"/>
              </w:rPr>
            </w:pPr>
            <w:r>
              <w:rPr>
                <w:rFonts w:ascii="Times New Roman" w:cs="Times New Roman" w:eastAsia="Times New Roman" w:hAnsi="Times New Roman"/>
                <w:sz w:val="14"/>
                <w:szCs w:val="14"/>
                <w:b w:val="1"/>
                <w:bCs w:val="1"/>
                <w:color w:val="auto"/>
              </w:rPr>
              <w:t>IMMATICS N.V.</w:t>
            </w:r>
          </w:p>
        </w:tc>
      </w:tr>
      <w:tr>
        <w:trPr>
          <w:trHeight w:val="166"/>
        </w:trPr>
        <w:tc>
          <w:tcPr>
            <w:tcW w:w="6220" w:type="dxa"/>
            <w:vAlign w:val="bottom"/>
          </w:tcPr>
          <w:p>
            <w:pPr>
              <w:spacing w:after="0"/>
              <w:rPr>
                <w:sz w:val="20"/>
                <w:szCs w:val="20"/>
                <w:color w:val="auto"/>
              </w:rPr>
            </w:pPr>
            <w:r>
              <w:rPr>
                <w:rFonts w:ascii="Times New Roman" w:cs="Times New Roman" w:eastAsia="Times New Roman" w:hAnsi="Times New Roman"/>
                <w:sz w:val="14"/>
                <w:szCs w:val="14"/>
                <w:color w:val="auto"/>
              </w:rPr>
              <w:t>Date: October 18, 2022</w:t>
            </w:r>
          </w:p>
        </w:tc>
        <w:tc>
          <w:tcPr>
            <w:tcW w:w="5060" w:type="dxa"/>
            <w:vAlign w:val="bottom"/>
          </w:tcPr>
          <w:p>
            <w:pPr>
              <w:spacing w:after="0"/>
              <w:rPr>
                <w:sz w:val="14"/>
                <w:szCs w:val="14"/>
                <w:color w:val="auto"/>
              </w:rPr>
            </w:pPr>
          </w:p>
        </w:tc>
      </w:tr>
      <w:tr>
        <w:trPr>
          <w:trHeight w:val="181"/>
        </w:trPr>
        <w:tc>
          <w:tcPr>
            <w:tcW w:w="6220" w:type="dxa"/>
            <w:vAlign w:val="bottom"/>
          </w:tcPr>
          <w:p>
            <w:pPr>
              <w:ind w:left="5660"/>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Harpreet Singh</w:t>
            </w:r>
          </w:p>
        </w:tc>
      </w:tr>
      <w:tr>
        <w:trPr>
          <w:trHeight w:val="142"/>
        </w:trPr>
        <w:tc>
          <w:tcPr>
            <w:tcW w:w="6220" w:type="dxa"/>
            <w:vAlign w:val="bottom"/>
          </w:tcPr>
          <w:p>
            <w:pPr>
              <w:ind w:left="5660"/>
              <w:spacing w:after="0" w:line="142"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Harpreet Singh</w:t>
            </w:r>
          </w:p>
        </w:tc>
      </w:tr>
      <w:tr>
        <w:trPr>
          <w:trHeight w:val="181"/>
        </w:trPr>
        <w:tc>
          <w:tcPr>
            <w:tcW w:w="6220" w:type="dxa"/>
            <w:vAlign w:val="bottom"/>
          </w:tcPr>
          <w:p>
            <w:pPr>
              <w:ind w:left="5660"/>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269"/>
        </w:trPr>
        <w:tc>
          <w:tcPr>
            <w:tcW w:w="6220" w:type="dxa"/>
            <w:vAlign w:val="bottom"/>
            <w:tcBorders>
              <w:bottom w:val="single" w:sz="8" w:color="auto"/>
            </w:tcBorders>
          </w:tcPr>
          <w:p>
            <w:pPr>
              <w:spacing w:after="0"/>
              <w:rPr>
                <w:sz w:val="23"/>
                <w:szCs w:val="23"/>
                <w:color w:val="auto"/>
              </w:rPr>
            </w:pPr>
          </w:p>
        </w:tc>
        <w:tc>
          <w:tcPr>
            <w:tcW w:w="5060" w:type="dxa"/>
            <w:vAlign w:val="bottom"/>
            <w:tcBorders>
              <w:bottom w:val="single" w:sz="8" w:color="auto"/>
            </w:tcBorders>
          </w:tcPr>
          <w:p>
            <w:pPr>
              <w:spacing w:after="0"/>
              <w:rPr>
                <w:sz w:val="23"/>
                <w:szCs w:val="23"/>
                <w:color w:val="auto"/>
              </w:rPr>
            </w:pPr>
          </w:p>
        </w:tc>
      </w:tr>
    </w:tbl>
    <w:p>
      <w:pPr>
        <w:sectPr>
          <w:pgSz w:w="11900" w:h="16838" w:orient="portrait"/>
          <w:cols w:equalWidth="0" w:num="1">
            <w:col w:w="11280"/>
          </w:cols>
          <w:pgMar w:left="300" w:top="475" w:right="319" w:bottom="1440" w:gutter="0" w:footer="0" w:header="0"/>
        </w:sectPr>
      </w:pPr>
    </w:p>
    <w:bookmarkStart w:id="3" w:name="page4"/>
    <w:bookmarkEnd w:id="3"/>
    <w:p>
      <w:pPr>
        <w:ind w:left="9380"/>
        <w:spacing w:after="0"/>
        <w:rPr>
          <w:sz w:val="20"/>
          <w:szCs w:val="20"/>
          <w:color w:val="auto"/>
        </w:rPr>
      </w:pPr>
      <w:r>
        <w:rPr>
          <w:rFonts w:ascii="Arial" w:cs="Arial" w:eastAsia="Arial" w:hAnsi="Arial"/>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111760</wp:posOffset>
            </wp:positionV>
            <wp:extent cx="7211695" cy="4234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0" w:num="1">
            <w:col w:w="10140"/>
          </w:cols>
          <w:pgMar w:left="1440" w:top="311"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40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1695" cy="424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4540250</wp:posOffset>
            </wp:positionV>
            <wp:extent cx="716407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6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312420</wp:posOffset>
            </wp:positionV>
            <wp:extent cx="7211695" cy="4234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313055</wp:posOffset>
            </wp:positionV>
            <wp:extent cx="7211695" cy="4234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1695" cy="42341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2022-10-18T07:09:12Z</dcterms:created>
  <dcterms:modified xsi:type="dcterms:W3CDTF">2022-10-18T07:09:12Z</dcterms:modified>
</cp:coreProperties>
</file>