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25,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IMMATICS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Paul-Ehrlich-Straße 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72076 Tübingen, Federal Republic of Germany</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 +49 (7071) 5397-0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Immatics N.V. 2026 Stock Option and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A. Sturchio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Immatics US,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2130 W. Holcombe Blvd., Suite 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810-7545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Yasin Keshvargar,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this Registration Statement on Form S-8 (this “Registration Statement”) is omitted from this filing in accordance with the provisions of Rule 428 under the Securities Act of 1933, as amended (the “Securities Act”) and the introductory note to Part I of the Registration Statement on Form S-8. The documents containing the information specified in Part I will be sent or given to participants as specified by Rule 428(b)(1) under the Securities Act.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Securities and Exchange Commission (the “SEC”):</w:t>
      </w:r>
    </w:p>
    <w:p>
      <w:pPr>
        <w:spacing w:after="0" w:line="162" w:lineRule="exact"/>
        <w:rPr>
          <w:sz w:val="20"/>
          <w:szCs w:val="20"/>
          <w:color w:val="auto"/>
        </w:rPr>
      </w:pPr>
    </w:p>
    <w:p>
      <w:pPr>
        <w:ind w:left="340" w:right="18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20-F filed with the SEC on March 5, 2026 (File No. </w:t>
      </w:r>
      <w:hyperlink r:id="rId9">
        <w:r>
          <w:rPr>
            <w:rFonts w:ascii="Times New Roman" w:cs="Times New Roman" w:eastAsia="Times New Roman" w:hAnsi="Times New Roman"/>
            <w:sz w:val="18"/>
            <w:szCs w:val="18"/>
            <w:u w:val="single" w:color="auto"/>
            <w:color w:val="0000EE"/>
          </w:rPr>
          <w:t>001-39363</w:t>
        </w:r>
      </w:hyperlink>
      <w:r>
        <w:rPr>
          <w:rFonts w:ascii="Times New Roman" w:cs="Times New Roman" w:eastAsia="Times New Roman" w:hAnsi="Times New Roman"/>
          <w:sz w:val="18"/>
          <w:szCs w:val="18"/>
          <w:color w:val="auto"/>
        </w:rPr>
        <w:t xml:space="preserve">) (the “20-F”) and the registrant’s reports on Form 6-K filed with the SEC on May 12, 2026 (File No. </w:t>
      </w:r>
      <w:hyperlink r:id="rId10">
        <w:r>
          <w:rPr>
            <w:rFonts w:ascii="Times New Roman" w:cs="Times New Roman" w:eastAsia="Times New Roman" w:hAnsi="Times New Roman"/>
            <w:sz w:val="18"/>
            <w:szCs w:val="18"/>
            <w:u w:val="single" w:color="auto"/>
            <w:color w:val="0000EE"/>
          </w:rPr>
          <w:t>001-39363</w:t>
        </w:r>
      </w:hyperlink>
      <w:r>
        <w:rPr>
          <w:rFonts w:ascii="Times New Roman" w:cs="Times New Roman" w:eastAsia="Times New Roman" w:hAnsi="Times New Roman"/>
          <w:sz w:val="18"/>
          <w:szCs w:val="18"/>
          <w:color w:val="auto"/>
        </w:rPr>
        <w:t xml:space="preserve">) (only with respect to Exhibit </w:t>
      </w:r>
      <w:hyperlink r:id="rId11">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thereto), June 2, 2026 (File No. </w:t>
      </w:r>
      <w:hyperlink r:id="rId12">
        <w:r>
          <w:rPr>
            <w:rFonts w:ascii="Times New Roman" w:cs="Times New Roman" w:eastAsia="Times New Roman" w:hAnsi="Times New Roman"/>
            <w:sz w:val="18"/>
            <w:szCs w:val="18"/>
            <w:u w:val="single" w:color="auto"/>
            <w:color w:val="0000EE"/>
          </w:rPr>
          <w:t>001-39363</w:t>
        </w:r>
      </w:hyperlink>
      <w:r>
        <w:rPr>
          <w:rFonts w:ascii="Times New Roman" w:cs="Times New Roman" w:eastAsia="Times New Roman" w:hAnsi="Times New Roman"/>
          <w:sz w:val="18"/>
          <w:szCs w:val="18"/>
          <w:color w:val="auto"/>
        </w:rPr>
        <w:t>) (excluding Exhibits 99.1, 99.2 and 99.3 thereto) and June 18, 2026 (File No. (</w:t>
      </w:r>
      <w:hyperlink r:id="rId13">
        <w:r>
          <w:rPr>
            <w:rFonts w:ascii="Times New Roman" w:cs="Times New Roman" w:eastAsia="Times New Roman" w:hAnsi="Times New Roman"/>
            <w:sz w:val="18"/>
            <w:szCs w:val="18"/>
            <w:u w:val="single" w:color="auto"/>
            <w:color w:val="0000EE"/>
          </w:rPr>
          <w:t>001-39363</w:t>
        </w:r>
      </w:hyperlink>
      <w:r>
        <w:rPr>
          <w:rFonts w:ascii="Times New Roman" w:cs="Times New Roman" w:eastAsia="Times New Roman" w:hAnsi="Times New Roman"/>
          <w:sz w:val="18"/>
          <w:szCs w:val="18"/>
          <w:color w:val="auto"/>
        </w:rPr>
        <w:t>)) (excluding Exhibit 99.1 thereto);</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annual report; and</w:t>
      </w:r>
    </w:p>
    <w:p>
      <w:pPr>
        <w:spacing w:after="0" w:line="188"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contained in the registrant’s registration statement on Form 8-A (File No. </w:t>
      </w:r>
      <w:hyperlink r:id="rId14">
        <w:r>
          <w:rPr>
            <w:rFonts w:ascii="Times New Roman" w:cs="Times New Roman" w:eastAsia="Times New Roman" w:hAnsi="Times New Roman"/>
            <w:sz w:val="18"/>
            <w:szCs w:val="18"/>
            <w:u w:val="single" w:color="auto"/>
            <w:color w:val="0000EE"/>
          </w:rPr>
          <w:t>001-39363</w:t>
        </w:r>
      </w:hyperlink>
      <w:r>
        <w:rPr>
          <w:rFonts w:ascii="Times New Roman" w:cs="Times New Roman" w:eastAsia="Times New Roman" w:hAnsi="Times New Roman"/>
          <w:sz w:val="18"/>
          <w:szCs w:val="18"/>
          <w:color w:val="auto"/>
        </w:rPr>
        <w:t>), filed by the registrant with the SEC under Section 12(b) of the Exchange Act, on July 1, 2020, including any amendments or reports filed for the purpose of updating such description.</w:t>
      </w:r>
    </w:p>
    <w:p>
      <w:pPr>
        <w:spacing w:after="0" w:line="203" w:lineRule="exact"/>
        <w:rPr>
          <w:rFonts w:ascii="Times New Roman" w:cs="Times New Roman" w:eastAsia="Times New Roman" w:hAnsi="Times New Roman"/>
          <w:sz w:val="18"/>
          <w:szCs w:val="18"/>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6-K, or any exhibit thereto, was furnished to, rather than filed with, the Commission, such information or exhibit is specifically not incorporated by reference.</w:t>
      </w:r>
    </w:p>
    <w:p>
      <w:pPr>
        <w:spacing w:after="0" w:line="162" w:lineRule="exact"/>
        <w:rPr>
          <w:rFonts w:ascii="Times New Roman" w:cs="Times New Roman" w:eastAsia="Times New Roman" w:hAnsi="Times New Roman"/>
          <w:sz w:val="18"/>
          <w:szCs w:val="18"/>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ordinary shares offered have been sold or which deregisters all of such shares then remaining unsold, shall be deemed to be incorporated by reference in this Registration Statement and to be a part hereof from the date of the filing of such documents. Any report on Form 6-K furnished by the registrant to the Commission after the date of this Registration Statement (or a portion thereof) is incorporated by reference in this Registration Statement only to the extent that the report expressly states that the registrant incorporates it (or such portions) by reference in this Registration Statement and it is not subsequently superseded.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see Item 3(c).</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 This applies equally to our managing directors, supervisory directors, non-executive directors and executive directors.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our articles of association and unless Dutch law provides otherwise, the following will be reimbursed to actual and former managing directors, supervisory directors, non-executive directors and executive directors and other members of the executive committee:</w:t>
      </w:r>
    </w:p>
    <w:p>
      <w:pPr>
        <w:spacing w:after="0" w:line="162" w:lineRule="exact"/>
        <w:rPr>
          <w:sz w:val="20"/>
          <w:szCs w:val="20"/>
          <w:color w:val="auto"/>
        </w:rPr>
      </w:pPr>
    </w:p>
    <w:p>
      <w:pPr>
        <w:ind w:left="340" w:right="4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a defense against claims, also including claims by the company and its group companies, as a consequence of any acts or omissions in the fulfillment of their duties or any other duties currently or previously performed by them at our request;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or financial penalties payable by them as a result of any such acts or omissions;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payable by them under settlement agreements entered into by them in connection with any such acts or omissions;</w:t>
      </w:r>
    </w:p>
    <w:p>
      <w:pPr>
        <w:spacing w:after="0" w:line="25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appearing in other legal proceedings in which they are involved in such capacity, with the exception of proceedings primarily aimed at pursuing a claim on their own behalf;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by them as a result of any reimbursements.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indemnification shall be given to an indemnified officer or director under our articles of association unless:</w:t>
      </w:r>
    </w:p>
    <w:p>
      <w:pPr>
        <w:spacing w:after="0" w:line="225" w:lineRule="exact"/>
        <w:rPr>
          <w:sz w:val="20"/>
          <w:szCs w:val="20"/>
          <w:color w:val="auto"/>
        </w:rPr>
      </w:pPr>
    </w:p>
    <w:p>
      <w:pPr>
        <w:ind w:left="340" w:right="20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or financial loss are covered by an insurance and the insurer has paid out the costs or financial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indemnification agreement with each of our directors and executive officers.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40" w:type="dxa"/>
            <w:vAlign w:val="bottom"/>
          </w:tcPr>
          <w:p>
            <w:pPr>
              <w:spacing w:after="0"/>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Deed of Conversion of Immatics B.V. and Articles of Association of Immatics N.V. (incorporated by reference to Exhibit </w:t>
            </w:r>
            <w:hyperlink r:id="rId1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F-1 (File No. </w:t>
            </w:r>
            <w:hyperlink r:id="rId19">
              <w:r>
                <w:rPr>
                  <w:rFonts w:ascii="Times New Roman" w:cs="Times New Roman" w:eastAsia="Times New Roman" w:hAnsi="Times New Roman"/>
                  <w:sz w:val="18"/>
                  <w:szCs w:val="18"/>
                  <w:color w:val="0000EE"/>
                </w:rPr>
                <w:t>333-240260</w:t>
              </w:r>
            </w:hyperlink>
            <w:r>
              <w:rPr>
                <w:rFonts w:ascii="Times New Roman" w:cs="Times New Roman" w:eastAsia="Times New Roman" w:hAnsi="Times New Roman"/>
                <w:sz w:val="18"/>
                <w:szCs w:val="18"/>
                <w:color w:val="auto"/>
              </w:rPr>
              <w:t>), filed with the SEC on July 31, 2020)</w:t>
            </w:r>
          </w:p>
        </w:tc>
        <w:tc>
          <w:tcPr>
            <w:tcW w:w="240" w:type="dxa"/>
            <w:vAlign w:val="bottom"/>
            <w:tcBorders>
              <w:top w:val="single" w:sz="8" w:color="0000EE"/>
            </w:tcBorders>
          </w:tcPr>
          <w:p>
            <w:pPr>
              <w:spacing w:after="0"/>
              <w:rPr>
                <w:sz w:val="17"/>
                <w:szCs w:val="17"/>
                <w:color w:val="auto"/>
              </w:rPr>
            </w:pPr>
          </w:p>
        </w:tc>
        <w:tc>
          <w:tcPr>
            <w:tcW w:w="720" w:type="dxa"/>
            <w:vAlign w:val="bottom"/>
            <w:gridSpan w:val="2"/>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Opinion of NautaDutilh N.V.</w:t>
            </w:r>
          </w:p>
        </w:tc>
        <w:tc>
          <w:tcPr>
            <w:tcW w:w="1240" w:type="dxa"/>
            <w:vAlign w:val="bottom"/>
          </w:tcPr>
          <w:p>
            <w:pPr>
              <w:spacing w:after="0"/>
              <w:rPr>
                <w:sz w:val="24"/>
                <w:szCs w:val="24"/>
                <w:color w:val="auto"/>
              </w:rPr>
            </w:pPr>
          </w:p>
        </w:tc>
        <w:tc>
          <w:tcPr>
            <w:tcW w:w="860" w:type="dxa"/>
            <w:vAlign w:val="bottom"/>
            <w:tcBorders>
              <w:top w:val="single" w:sz="8" w:color="0000EE"/>
            </w:tcBorders>
            <w:gridSpan w:val="2"/>
          </w:tcPr>
          <w:p>
            <w:pPr>
              <w:spacing w:after="0"/>
              <w:rPr>
                <w:sz w:val="24"/>
                <w:szCs w:val="24"/>
                <w:color w:val="auto"/>
              </w:rPr>
            </w:pPr>
          </w:p>
        </w:tc>
        <w:tc>
          <w:tcPr>
            <w:tcW w:w="5520" w:type="dxa"/>
            <w:vAlign w:val="bottom"/>
            <w:gridSpan w:val="7"/>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GmbH Wirtschaftsprüfungsgesellschaft, Independent Registered Public Accounting Firm.</w:t>
            </w:r>
          </w:p>
        </w:tc>
        <w:tc>
          <w:tcPr>
            <w:tcW w:w="580" w:type="dxa"/>
            <w:vAlign w:val="bottom"/>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NautaDutilh N.V. (included in Exhibit 5.1).</w:t>
            </w:r>
          </w:p>
        </w:tc>
        <w:tc>
          <w:tcPr>
            <w:tcW w:w="5760" w:type="dxa"/>
            <w:vAlign w:val="bottom"/>
            <w:gridSpan w:val="8"/>
          </w:tcPr>
          <w:p>
            <w:pPr>
              <w:spacing w:after="0"/>
              <w:rPr>
                <w:sz w:val="24"/>
                <w:szCs w:val="24"/>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to this Registration Statement).</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20" w:type="dxa"/>
            <w:vAlign w:val="bottom"/>
            <w:gridSpan w:val="14"/>
          </w:tcPr>
          <w:p>
            <w:pPr>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Immatics N.V. 2026 Stock Option and Incentive Plan (incorporated by reference to Exhibit </w:t>
            </w:r>
            <w:hyperlink r:id="rId21">
              <w:r>
                <w:rPr>
                  <w:rFonts w:ascii="Times New Roman" w:cs="Times New Roman" w:eastAsia="Times New Roman" w:hAnsi="Times New Roman"/>
                  <w:sz w:val="18"/>
                  <w:szCs w:val="18"/>
                  <w:color w:val="0000EE"/>
                  <w:w w:val="99"/>
                </w:rPr>
                <w:t>99.4</w:t>
              </w:r>
              <w:r>
                <w:rPr>
                  <w:rFonts w:ascii="Times New Roman" w:cs="Times New Roman" w:eastAsia="Times New Roman" w:hAnsi="Times New Roman"/>
                  <w:sz w:val="18"/>
                  <w:szCs w:val="18"/>
                  <w:color w:val="auto"/>
                  <w:w w:val="99"/>
                </w:rPr>
                <w:t xml:space="preserve"> </w:t>
              </w:r>
            </w:hyperlink>
            <w:r>
              <w:rPr>
                <w:rFonts w:ascii="Times New Roman" w:cs="Times New Roman" w:eastAsia="Times New Roman" w:hAnsi="Times New Roman"/>
                <w:sz w:val="18"/>
                <w:szCs w:val="18"/>
                <w:color w:val="auto"/>
                <w:w w:val="99"/>
              </w:rPr>
              <w:t>to the registrant’s reports on Form 6-K</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580" w:type="dxa"/>
            <w:vAlign w:val="bottom"/>
            <w:gridSpan w:val="9"/>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No. </w:t>
            </w:r>
            <w:hyperlink r:id="rId12">
              <w:r>
                <w:rPr>
                  <w:rFonts w:ascii="Times New Roman" w:cs="Times New Roman" w:eastAsia="Times New Roman" w:hAnsi="Times New Roman"/>
                  <w:sz w:val="18"/>
                  <w:szCs w:val="18"/>
                  <w:color w:val="0000EE"/>
                </w:rPr>
                <w:t>001-39363</w:t>
              </w:r>
            </w:hyperlink>
            <w:r>
              <w:rPr>
                <w:rFonts w:ascii="Times New Roman" w:cs="Times New Roman" w:eastAsia="Times New Roman" w:hAnsi="Times New Roman"/>
                <w:sz w:val="18"/>
                <w:szCs w:val="18"/>
                <w:color w:val="auto"/>
              </w:rPr>
              <w:t>), filed with the SEC on June 2, 2026).</w:t>
            </w:r>
          </w:p>
        </w:tc>
        <w:tc>
          <w:tcPr>
            <w:tcW w:w="320" w:type="dxa"/>
            <w:vAlign w:val="bottom"/>
            <w:tcBorders>
              <w:top w:val="single" w:sz="8" w:color="0000EE"/>
            </w:tcBorders>
          </w:tcPr>
          <w:p>
            <w:pPr>
              <w:spacing w:after="0"/>
              <w:rPr>
                <w:sz w:val="17"/>
                <w:szCs w:val="17"/>
                <w:color w:val="auto"/>
              </w:rPr>
            </w:pPr>
          </w:p>
        </w:tc>
        <w:tc>
          <w:tcPr>
            <w:tcW w:w="2820" w:type="dxa"/>
            <w:vAlign w:val="bottom"/>
            <w:gridSpan w:val="4"/>
          </w:tcPr>
          <w:p>
            <w:pPr>
              <w:spacing w:after="0"/>
              <w:rPr>
                <w:sz w:val="17"/>
                <w:szCs w:val="17"/>
                <w:color w:val="auto"/>
              </w:rPr>
            </w:pPr>
          </w:p>
        </w:tc>
      </w:tr>
      <w:tr>
        <w:trPr>
          <w:trHeight w:val="20"/>
        </w:trPr>
        <w:tc>
          <w:tcPr>
            <w:tcW w:w="5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r>
      <w:tr>
        <w:trPr>
          <w:trHeight w:val="412"/>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107.</w:t>
            </w:r>
            <w:r>
              <w:rPr>
                <w:rFonts w:ascii="Times New Roman" w:cs="Times New Roman" w:eastAsia="Times New Roman" w:hAnsi="Times New Roman"/>
                <w:sz w:val="18"/>
                <w:szCs w:val="18"/>
                <w:u w:val="single" w:color="auto"/>
                <w:color w:val="0000EE"/>
                <w:w w:val="96"/>
              </w:rPr>
              <w:t>1*</w:t>
            </w:r>
          </w:p>
        </w:tc>
        <w:tc>
          <w:tcPr>
            <w:tcW w:w="640" w:type="dxa"/>
            <w:vAlign w:val="bottom"/>
          </w:tcPr>
          <w:p>
            <w:pPr>
              <w:spacing w:after="0"/>
              <w:rPr>
                <w:sz w:val="24"/>
                <w:szCs w:val="24"/>
                <w:color w:val="auto"/>
              </w:rPr>
            </w:pPr>
          </w:p>
        </w:tc>
        <w:tc>
          <w:tcPr>
            <w:tcW w:w="97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5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4" w:name="page5"/>
    <w:bookmarkEnd w:id="4"/>
    <w:p>
      <w:pPr>
        <w:ind w:left="332" w:right="500" w:hanging="332"/>
        <w:spacing w:after="0" w:line="282"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1292"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82" w:lineRule="exact"/>
        <w:rPr>
          <w:sz w:val="20"/>
          <w:szCs w:val="20"/>
          <w:color w:val="auto"/>
        </w:rPr>
      </w:pPr>
    </w:p>
    <w:p>
      <w:pPr>
        <w:ind w:left="332" w:right="40" w:hanging="332"/>
        <w:spacing w:after="0" w:line="266" w:lineRule="auto"/>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332" w:right="160" w:hanging="332"/>
        <w:spacing w:after="0" w:line="282" w:lineRule="auto"/>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9" w:lineRule="exact"/>
        <w:rPr>
          <w:sz w:val="20"/>
          <w:szCs w:val="20"/>
          <w:color w:val="auto"/>
        </w:rPr>
      </w:pPr>
    </w:p>
    <w:p>
      <w:pPr>
        <w:ind w:left="332" w:right="140" w:hanging="332"/>
        <w:spacing w:after="0" w:line="258"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Times New Roman" w:cs="Times New Roman" w:eastAsia="Times New Roman" w:hAnsi="Times New Roman"/>
          <w:sz w:val="18"/>
          <w:szCs w:val="18"/>
          <w:color w:val="auto"/>
        </w:rPr>
      </w:pPr>
    </w:p>
    <w:p>
      <w:pPr>
        <w:ind w:left="332" w:hanging="332"/>
        <w:spacing w:after="0" w:line="254"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40" w:right="33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Tübingen, Germany, on June 25, 2026.</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IMMATICS N.V.</w:t>
      </w:r>
    </w:p>
    <w:p>
      <w:pPr>
        <w:spacing w:after="0" w:line="229"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wp:posOffset>
            </wp:positionV>
            <wp:extent cx="6652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Harpreet Singh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36" w:right="5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Harpreet Singh and Venkat Ramanan,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their substitute or substitutes, may lawfully do or cause to be done by virtue hereof.</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Harpreet Singh</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Harpreet Singh</w:t>
            </w:r>
          </w:p>
        </w:tc>
        <w:tc>
          <w:tcPr>
            <w:tcW w:w="4480" w:type="dxa"/>
            <w:vAlign w:val="bottom"/>
          </w:tcPr>
          <w:p>
            <w:pPr>
              <w:jc w:val="center"/>
              <w:ind w:right="37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Venkat Ramanan</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Venkat Ramanan</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Chambré</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Peter Chambré</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 Atieh</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G. Atieh</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R. Carter</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Paul R. Carter</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Eliot Forster</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Eliot Forster</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Mathias Hothum</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Mathias Hothum</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L. Mason</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Heather L. Mason</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Alise Reicin</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Alise Reicin</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Stone</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Adam Stone</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A. Sturchio</w:t>
            </w:r>
          </w:p>
        </w:tc>
        <w:tc>
          <w:tcPr>
            <w:tcW w:w="44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US Authorized Representative</w:t>
            </w: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June 25,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Edward A. Sturchio</w:t>
            </w:r>
          </w:p>
        </w:tc>
        <w:tc>
          <w:tcPr>
            <w:tcW w:w="44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508"/>
        </w:trPr>
        <w:tc>
          <w:tcPr>
            <w:tcW w:w="36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ATTORNEYS • CIVIL LAW NOTARIES • TAX ADVISERS</w:t>
      </w:r>
    </w:p>
    <w:p>
      <w:pPr>
        <w:sectPr>
          <w:pgSz w:w="11900" w:h="16838" w:orient="portrait"/>
          <w:cols w:equalWidth="0" w:num="1">
            <w:col w:w="11240"/>
          </w:cols>
          <w:pgMar w:left="320" w:top="351" w:right="339" w:bottom="1440" w:gutter="0" w:footer="0" w:header="0"/>
        </w:sect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 Box 7113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1007 JC Amsterdam</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 draft 16 June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Subject to internal review and approval</w:t>
      </w:r>
    </w:p>
    <w:p>
      <w:pPr>
        <w:spacing w:after="0" w:line="9" w:lineRule="exact"/>
        <w:rPr>
          <w:sz w:val="20"/>
          <w:szCs w:val="20"/>
          <w:color w:val="auto"/>
        </w:rPr>
      </w:pPr>
    </w:p>
    <w:p>
      <w:pPr>
        <w:sectPr>
          <w:pgSz w:w="11900" w:h="16838" w:orient="portrait"/>
          <w:cols w:equalWidth="0" w:num="2">
            <w:col w:w="5080" w:space="720"/>
            <w:col w:w="5440"/>
          </w:cols>
          <w:pgMar w:left="320" w:top="351"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Beethovenstraat 400</w:t>
      </w:r>
    </w:p>
    <w:p>
      <w:pPr>
        <w:sectPr>
          <w:pgSz w:w="11900" w:h="16838" w:orient="portrait"/>
          <w:cols w:equalWidth="0" w:num="1">
            <w:col w:w="11240"/>
          </w:cols>
          <w:pgMar w:left="320" w:top="351" w:right="339" w:bottom="1440" w:gutter="0" w:footer="0" w:header="0"/>
          <w:type w:val="continuous"/>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1082 PR Amsterdam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Amsterdam, 25 June 2026</w:t>
      </w:r>
    </w:p>
    <w:p>
      <w:pPr>
        <w:spacing w:after="0" w:line="20" w:lineRule="exact"/>
        <w:rPr>
          <w:sz w:val="20"/>
          <w:szCs w:val="20"/>
          <w:color w:val="auto"/>
        </w:rPr>
      </w:pPr>
    </w:p>
    <w:p>
      <w:pPr>
        <w:sectPr>
          <w:pgSz w:w="11900" w:h="16838" w:orient="portrait"/>
          <w:cols w:equalWidth="0" w:num="2">
            <w:col w:w="5080" w:space="720"/>
            <w:col w:w="5440"/>
          </w:cols>
          <w:pgMar w:left="320" w:top="351"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T +31 20 71 71 000</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 +31 20 71 71 111</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acted as legal counsel as to Dutch law to the Company in connection with the Plan and the filing of the Registration Statement with the SEC. This opinion letter is rendered to you in order to be filed with the SEC as an exhibit to the Registration Statement.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in this opinion letter, we have reviewed and relied upon a draft of the Plan, a draft of the Registration Statement and pdf copies of the Corporate Documents and we have assumed that Awards under the Plan shall be made for bona fide commercial reasons. We have not investigated or verified any factual matter disclosed to us in the course of our review.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Plan, the Registration Statement or the Corporate Documents subsequent to the date of this opinion letter.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opinions expressed in this opinion letter are to be construed and interpreted in accordance with Dutch law. The competent courts at Amsterdam, the Netherlands, have exclusive jurisdiction to settle any issues of interpretation or liability arising</w:t>
      </w:r>
    </w:p>
    <w:p>
      <w:pPr>
        <w:spacing w:after="0" w:line="3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8" w:name="page9"/>
    <w:bookmarkEnd w:id="8"/>
    <w:p>
      <w:pPr>
        <w:jc w:val="center"/>
        <w:ind w:left="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w:t>
      </w:r>
    </w:p>
    <w:p>
      <w:pPr>
        <w:spacing w:after="0" w:line="225" w:lineRule="exact"/>
        <w:rPr>
          <w:sz w:val="20"/>
          <w:szCs w:val="20"/>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copy of a document conforms to the original, each original is authentic, and each signature is the genuine signature of the individual purported to have placed that signature;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filed with the SEC in the form reviewed by us;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Incorporation is a valid notarial deed;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Articles are the Articles of Association currently in force and as they will be in force at each Relevant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ind w:left="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110" w:lineRule="exact"/>
        <w:rPr>
          <w:sz w:val="20"/>
          <w:szCs w:val="20"/>
          <w:color w:val="auto"/>
        </w:rPr>
      </w:pPr>
    </w:p>
    <w:p>
      <w:pPr>
        <w:ind w:left="660" w:hanging="652"/>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authorised share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of the Company shall allow for the grant of Awards and the issuance of Plan Shares pursuant to the exercise or settlement thereof;</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Company will not have (i) been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(ii) ceased to exist pursuant to a merger (</w:t>
      </w:r>
      <w:r>
        <w:rPr>
          <w:rFonts w:ascii="Times New Roman" w:cs="Times New Roman" w:eastAsia="Times New Roman" w:hAnsi="Times New Roman"/>
          <w:sz w:val="18"/>
          <w:szCs w:val="18"/>
          <w:i w:val="1"/>
          <w:iCs w:val="1"/>
          <w:color w:val="auto"/>
        </w:rPr>
        <w:t>fusie</w:t>
      </w:r>
      <w:r>
        <w:rPr>
          <w:rFonts w:ascii="Times New Roman" w:cs="Times New Roman" w:eastAsia="Times New Roman" w:hAnsi="Times New Roman"/>
          <w:sz w:val="18"/>
          <w:szCs w:val="18"/>
          <w:color w:val="auto"/>
        </w:rPr>
        <w:t>) or a division (</w:t>
      </w:r>
      <w:r>
        <w:rPr>
          <w:rFonts w:ascii="Times New Roman" w:cs="Times New Roman" w:eastAsia="Times New Roman" w:hAnsi="Times New Roman"/>
          <w:sz w:val="18"/>
          <w:szCs w:val="18"/>
          <w:i w:val="1"/>
          <w:iCs w:val="1"/>
          <w:color w:val="auto"/>
        </w:rPr>
        <w:t>splitsing</w:t>
      </w:r>
      <w:r>
        <w:rPr>
          <w:rFonts w:ascii="Times New Roman" w:cs="Times New Roman" w:eastAsia="Times New Roman" w:hAnsi="Times New Roman"/>
          <w:sz w:val="18"/>
          <w:szCs w:val="18"/>
          <w:color w:val="auto"/>
        </w:rPr>
        <w:t>), (iii) been converted (</w:t>
      </w:r>
      <w:r>
        <w:rPr>
          <w:rFonts w:ascii="Times New Roman" w:cs="Times New Roman" w:eastAsia="Times New Roman" w:hAnsi="Times New Roman"/>
          <w:sz w:val="18"/>
          <w:szCs w:val="18"/>
          <w:i w:val="1"/>
          <w:iCs w:val="1"/>
          <w:color w:val="auto"/>
        </w:rPr>
        <w:t>omgezet</w:t>
      </w:r>
      <w:r>
        <w:rPr>
          <w:rFonts w:ascii="Times New Roman" w:cs="Times New Roman" w:eastAsia="Times New Roman" w:hAnsi="Times New Roman"/>
          <w:sz w:val="18"/>
          <w:szCs w:val="18"/>
          <w:color w:val="auto"/>
        </w:rPr>
        <w:t>) into another legal form, either national or foreign, (iv) had its assets placed under administration (</w:t>
      </w:r>
      <w:r>
        <w:rPr>
          <w:rFonts w:ascii="Times New Roman" w:cs="Times New Roman" w:eastAsia="Times New Roman" w:hAnsi="Times New Roman"/>
          <w:sz w:val="18"/>
          <w:szCs w:val="18"/>
          <w:i w:val="1"/>
          <w:iCs w:val="1"/>
          <w:color w:val="auto"/>
        </w:rPr>
        <w:t>onder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bewind gesteld</w:t>
      </w:r>
      <w:r>
        <w:rPr>
          <w:rFonts w:ascii="Times New Roman" w:cs="Times New Roman" w:eastAsia="Times New Roman" w:hAnsi="Times New Roman"/>
          <w:sz w:val="18"/>
          <w:szCs w:val="18"/>
          <w:color w:val="auto"/>
        </w:rPr>
        <w:t>), (v) been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(vi) been granted a suspension of payments (</w:t>
      </w:r>
      <w:r>
        <w:rPr>
          <w:rFonts w:ascii="Times New Roman" w:cs="Times New Roman" w:eastAsia="Times New Roman" w:hAnsi="Times New Roman"/>
          <w:sz w:val="18"/>
          <w:szCs w:val="18"/>
          <w:i w:val="1"/>
          <w:iCs w:val="1"/>
          <w:color w:val="auto"/>
        </w:rPr>
        <w:t>surseance van betaling verleend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(vii) started or become subject to statutory proceedings for the restructuring of its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or (viii) been made subject to similar proceedings in any jurisdiction or otherwise been limited in its power to dispose of its assets;</w:t>
      </w:r>
    </w:p>
    <w:p>
      <w:pPr>
        <w:spacing w:after="0" w:line="18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shall be offered to the public (</w:t>
      </w:r>
      <w:r>
        <w:rPr>
          <w:rFonts w:ascii="Times New Roman" w:cs="Times New Roman" w:eastAsia="Times New Roman" w:hAnsi="Times New Roman"/>
          <w:sz w:val="18"/>
          <w:szCs w:val="18"/>
          <w:i w:val="1"/>
          <w:iCs w:val="1"/>
          <w:color w:val="auto"/>
        </w:rPr>
        <w:t>aanbieden aan het publiek</w:t>
      </w:r>
      <w:r>
        <w:rPr>
          <w:rFonts w:ascii="Times New Roman" w:cs="Times New Roman" w:eastAsia="Times New Roman" w:hAnsi="Times New Roman"/>
          <w:sz w:val="18"/>
          <w:szCs w:val="18"/>
          <w:color w:val="auto"/>
        </w:rPr>
        <w:t>) in the Netherlands other than in conformity with the Prospectus Regulation and the rules promulgated thereunder;</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relevant Award(s) (i) shall have been validly granted as a right to subscribe for Ordinary Shares (</w:t>
      </w:r>
      <w:r>
        <w:rPr>
          <w:rFonts w:ascii="Times New Roman" w:cs="Times New Roman" w:eastAsia="Times New Roman" w:hAnsi="Times New Roman"/>
          <w:sz w:val="18"/>
          <w:szCs w:val="18"/>
          <w:i w:val="1"/>
          <w:iCs w:val="1"/>
          <w:color w:val="auto"/>
        </w:rPr>
        <w:t>recht tot het nemen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van aandelen</w:t>
      </w:r>
      <w:r>
        <w:rPr>
          <w:rFonts w:ascii="Times New Roman" w:cs="Times New Roman" w:eastAsia="Times New Roman" w:hAnsi="Times New Roman"/>
          <w:sz w:val="18"/>
          <w:szCs w:val="18"/>
          <w:color w:val="auto"/>
        </w:rPr>
        <w:t>) by the corporate body authorised to do so, (ii) shall be in full force and effect upon being exercised or settled, as applicable,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validly exercised or settled, as applicable, in accordance with the terms and conditions applicable to such Award(s) and (iv) any pre-emption rights in respect of such Award(s) shall have been validly excluded by the corporate body authorised to do so; and</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each holder of the relevant Award(s) shall be an individual who has not (i) deceased, (ii) had such individual's assets placed under administration (</w:t>
      </w:r>
      <w:r>
        <w:rPr>
          <w:rFonts w:ascii="Times New Roman" w:cs="Times New Roman" w:eastAsia="Times New Roman" w:hAnsi="Times New Roman"/>
          <w:sz w:val="18"/>
          <w:szCs w:val="18"/>
          <w:i w:val="1"/>
          <w:iCs w:val="1"/>
          <w:color w:val="auto"/>
        </w:rPr>
        <w:t>onder bewind gesteld</w:t>
      </w:r>
      <w:r>
        <w:rPr>
          <w:rFonts w:ascii="Times New Roman" w:cs="Times New Roman" w:eastAsia="Times New Roman" w:hAnsi="Times New Roman"/>
          <w:sz w:val="18"/>
          <w:szCs w:val="18"/>
          <w:color w:val="auto"/>
        </w:rPr>
        <w:t>), (iii) been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(iv) been granted a suspension of payments (</w:t>
      </w:r>
      <w:r>
        <w:rPr>
          <w:rFonts w:ascii="Times New Roman" w:cs="Times New Roman" w:eastAsia="Times New Roman" w:hAnsi="Times New Roman"/>
          <w:sz w:val="18"/>
          <w:szCs w:val="18"/>
          <w:i w:val="1"/>
          <w:iCs w:val="1"/>
          <w:color w:val="auto"/>
        </w:rPr>
        <w:t>surseance van betaling verleend</w:t>
      </w:r>
      <w:r>
        <w:rPr>
          <w:rFonts w:ascii="Times New Roman" w:cs="Times New Roman" w:eastAsia="Times New Roman" w:hAnsi="Times New Roman"/>
          <w:sz w:val="18"/>
          <w:szCs w:val="18"/>
          <w:color w:val="auto"/>
        </w:rPr>
        <w:t>), (v) been subjected to a debt reorganisation procedure (</w:t>
      </w:r>
      <w:r>
        <w:rPr>
          <w:rFonts w:ascii="Times New Roman" w:cs="Times New Roman" w:eastAsia="Times New Roman" w:hAnsi="Times New Roman"/>
          <w:sz w:val="18"/>
          <w:szCs w:val="18"/>
          <w:i w:val="1"/>
          <w:iCs w:val="1"/>
          <w:color w:val="auto"/>
        </w:rPr>
        <w:t>schuldsanering</w:t>
      </w:r>
      <w:r>
        <w:rPr>
          <w:rFonts w:ascii="Times New Roman" w:cs="Times New Roman" w:eastAsia="Times New Roman" w:hAnsi="Times New Roman"/>
          <w:sz w:val="18"/>
          <w:szCs w:val="18"/>
          <w:color w:val="auto"/>
        </w:rPr>
        <w:t>), (vi) started or become subject to statutory proceedings for the restructuring of such individual's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or (vii) been made subject to similar proceedings in any jurisdiction or otherwise been limited in the power to dispose of such individual's assets.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ind w:left="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Corporate Status</w:t>
      </w:r>
    </w:p>
    <w:p>
      <w:pPr>
        <w:spacing w:after="0" w:line="227" w:lineRule="exact"/>
        <w:rPr>
          <w:sz w:val="20"/>
          <w:szCs w:val="20"/>
          <w:color w:val="auto"/>
        </w:rPr>
      </w:pPr>
    </w:p>
    <w:p>
      <w:pPr>
        <w:ind w:left="640" w:hanging="632"/>
        <w:spacing w:after="0" w:line="28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and is validly existing as a </w:t>
      </w:r>
      <w:r>
        <w:rPr>
          <w:rFonts w:ascii="Times New Roman" w:cs="Times New Roman" w:eastAsia="Times New Roman" w:hAnsi="Times New Roman"/>
          <w:sz w:val="18"/>
          <w:szCs w:val="18"/>
          <w:i w:val="1"/>
          <w:iCs w:val="1"/>
          <w:color w:val="auto"/>
        </w:rPr>
        <w:t>naamloze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Shares</w:t>
      </w:r>
    </w:p>
    <w:p>
      <w:pPr>
        <w:spacing w:after="0" w:line="22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by the Company of payment in full for, or other satisfaction of the issue price of, the Plan Shares in accordance with the Plan, and when issued and accepted in accordance with the Plan, the Plan Shares shall be validly issued, fully paid and non-assessable.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3" w:lineRule="exact"/>
        <w:rPr>
          <w:sz w:val="20"/>
          <w:szCs w:val="20"/>
          <w:color w:val="auto"/>
        </w:rPr>
      </w:pPr>
    </w:p>
    <w:p>
      <w:pPr>
        <w:jc w:val="both"/>
        <w:ind w:left="640" w:hanging="632"/>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1 must not be read to imply that the Company cannot be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8"/>
          <w:szCs w:val="18"/>
          <w:i w:val="1"/>
          <w:iCs w:val="1"/>
          <w:color w:val="auto"/>
        </w:rPr>
        <w:t>belanghebbende</w:t>
      </w:r>
      <w:r>
        <w:rPr>
          <w:rFonts w:ascii="Times New Roman" w:cs="Times New Roman" w:eastAsia="Times New Roman" w:hAnsi="Times New Roman"/>
          <w:sz w:val="18"/>
          <w:szCs w:val="18"/>
          <w:color w:val="auto"/>
        </w:rPr>
        <w:t>) or the public prosecution office in certain circumstances, such as when there are certain defects in the incorporation of the company. Any such dissolution will not have retro-active effect.</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8"/>
          <w:szCs w:val="18"/>
          <w:i w:val="1"/>
          <w:iCs w:val="1"/>
          <w:color w:val="auto"/>
        </w:rPr>
        <w:t>wist of zonder eigen onderzoek moest weten</w:t>
      </w:r>
      <w:r>
        <w:rPr>
          <w:rFonts w:ascii="Times New Roman" w:cs="Times New Roman" w:eastAsia="Times New Roman" w:hAnsi="Times New Roman"/>
          <w:sz w:val="18"/>
          <w:szCs w:val="18"/>
          <w:color w:val="auto"/>
        </w:rPr>
        <w:t>). The Dutch Supreme Court (</w:t>
      </w:r>
      <w:r>
        <w:rPr>
          <w:rFonts w:ascii="Times New Roman" w:cs="Times New Roman" w:eastAsia="Times New Roman" w:hAnsi="Times New Roman"/>
          <w:sz w:val="18"/>
          <w:szCs w:val="18"/>
          <w:i w:val="1"/>
          <w:iCs w:val="1"/>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Nederlanden</w:t>
      </w:r>
      <w:r>
        <w:rPr>
          <w:rFonts w:ascii="Times New Roman" w:cs="Times New Roman" w:eastAsia="Times New Roman" w:hAnsi="Times New Roman"/>
          <w:sz w:val="18"/>
          <w:szCs w:val="18"/>
          <w:color w:val="auto"/>
        </w:rPr>
        <w:t>) has ruled that in determining whether the objects of a legal entity are transgressed, not only the description of the objects 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entity's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making Awards under the Plan, the Company would transgress the description of the objects contained in its Articles of Association. However, we cannot assess whether there are other relevant circumstances that must be taken into account, in particular whether the interests of the Company are served by making Awards under the Plan since this is a matter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ind w:left="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w:t>
      </w:r>
    </w:p>
    <w:p>
      <w:pPr>
        <w:spacing w:after="0" w:line="110" w:lineRule="exact"/>
        <w:rPr>
          <w:sz w:val="20"/>
          <w:szCs w:val="20"/>
          <w:color w:val="auto"/>
        </w:rPr>
      </w:pPr>
    </w:p>
    <w:p>
      <w:pPr>
        <w:jc w:val="both"/>
        <w:ind w:left="632" w:hanging="632"/>
        <w:spacing w:after="0" w:line="254" w:lineRule="auto"/>
        <w:tabs>
          <w:tab w:leader="none" w:pos="6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2:98c DCC, a company such as the Company may grant loans (</w:t>
      </w:r>
      <w:r>
        <w:rPr>
          <w:rFonts w:ascii="Times New Roman" w:cs="Times New Roman" w:eastAsia="Times New Roman" w:hAnsi="Times New Roman"/>
          <w:sz w:val="18"/>
          <w:szCs w:val="18"/>
          <w:i w:val="1"/>
          <w:iCs w:val="1"/>
          <w:color w:val="auto"/>
        </w:rPr>
        <w:t>leningen verstrekken</w:t>
      </w:r>
      <w:r>
        <w:rPr>
          <w:rFonts w:ascii="Times New Roman" w:cs="Times New Roman" w:eastAsia="Times New Roman" w:hAnsi="Times New Roman"/>
          <w:sz w:val="18"/>
          <w:szCs w:val="18"/>
          <w:color w:val="auto"/>
        </w:rPr>
        <w:t>) only in accordance with the restrictions set out in Section 2:98c DCC, and may not provide security (</w:t>
      </w:r>
      <w:r>
        <w:rPr>
          <w:rFonts w:ascii="Times New Roman" w:cs="Times New Roman" w:eastAsia="Times New Roman" w:hAnsi="Times New Roman"/>
          <w:sz w:val="18"/>
          <w:szCs w:val="18"/>
          <w:i w:val="1"/>
          <w:iCs w:val="1"/>
          <w:color w:val="auto"/>
        </w:rPr>
        <w:t>zekerheid stellen</w:t>
      </w:r>
      <w:r>
        <w:rPr>
          <w:rFonts w:ascii="Times New Roman" w:cs="Times New Roman" w:eastAsia="Times New Roman" w:hAnsi="Times New Roman"/>
          <w:sz w:val="18"/>
          <w:szCs w:val="18"/>
          <w:color w:val="auto"/>
        </w:rPr>
        <w:t>), give a price guarantee (</w:t>
      </w:r>
      <w:r>
        <w:rPr>
          <w:rFonts w:ascii="Times New Roman" w:cs="Times New Roman" w:eastAsia="Times New Roman" w:hAnsi="Times New Roman"/>
          <w:sz w:val="18"/>
          <w:szCs w:val="18"/>
          <w:i w:val="1"/>
          <w:iCs w:val="1"/>
          <w:color w:val="auto"/>
        </w:rPr>
        <w:t>koersgarantie geven</w:t>
      </w:r>
      <w:r>
        <w:rPr>
          <w:rFonts w:ascii="Times New Roman" w:cs="Times New Roman" w:eastAsia="Times New Roman" w:hAnsi="Times New Roman"/>
          <w:sz w:val="18"/>
          <w:szCs w:val="18"/>
          <w:color w:val="auto"/>
        </w:rPr>
        <w:t>) or otherwise bind itself, whether jointly and severally or otherwise with or for third parties (</w:t>
      </w:r>
      <w:r>
        <w:rPr>
          <w:rFonts w:ascii="Times New Roman" w:cs="Times New Roman" w:eastAsia="Times New Roman" w:hAnsi="Times New Roman"/>
          <w:sz w:val="18"/>
          <w:szCs w:val="18"/>
          <w:i w:val="1"/>
          <w:iCs w:val="1"/>
          <w:color w:val="auto"/>
        </w:rPr>
        <w:t>zich op andere wijze sterk maken of zich hoofdelijk of anderszins naast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voor anderen verbinden</w:t>
      </w:r>
      <w:r>
        <w:rPr>
          <w:rFonts w:ascii="Times New Roman" w:cs="Times New Roman" w:eastAsia="Times New Roman" w:hAnsi="Times New Roman"/>
          <w:sz w:val="18"/>
          <w:szCs w:val="18"/>
          <w:color w:val="auto"/>
        </w:rPr>
        <w:t>) with a view to (</w:t>
      </w:r>
      <w:r>
        <w:rPr>
          <w:rFonts w:ascii="Times New Roman" w:cs="Times New Roman" w:eastAsia="Times New Roman" w:hAnsi="Times New Roman"/>
          <w:sz w:val="18"/>
          <w:szCs w:val="18"/>
          <w:i w:val="1"/>
          <w:iCs w:val="1"/>
          <w:color w:val="auto"/>
        </w:rPr>
        <w:t>met het oog op</w:t>
      </w:r>
      <w:r>
        <w:rPr>
          <w:rFonts w:ascii="Times New Roman" w:cs="Times New Roman" w:eastAsia="Times New Roman" w:hAnsi="Times New Roman"/>
          <w:sz w:val="18"/>
          <w:szCs w:val="18"/>
          <w:color w:val="auto"/>
        </w:rPr>
        <w:t>) the subscription or acquisition by third parties of shares in its share capital or depository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receipts. This prohibition also applies to its subsidiaries (</w:t>
      </w:r>
      <w:r>
        <w:rPr>
          <w:rFonts w:ascii="Times New Roman" w:cs="Times New Roman" w:eastAsia="Times New Roman" w:hAnsi="Times New Roman"/>
          <w:sz w:val="18"/>
          <w:szCs w:val="18"/>
          <w:i w:val="1"/>
          <w:iCs w:val="1"/>
          <w:color w:val="auto"/>
        </w:rPr>
        <w:t>dochtervennootschappen</w:t>
      </w:r>
      <w:r>
        <w:rPr>
          <w:rFonts w:ascii="Times New Roman" w:cs="Times New Roman" w:eastAsia="Times New Roman" w:hAnsi="Times New Roman"/>
          <w:sz w:val="18"/>
          <w:szCs w:val="18"/>
          <w:color w:val="auto"/>
        </w:rPr>
        <w:t>). It is generally assumed that a transaction entered into in violation of Section 2:98c DCC is null and void (</w:t>
      </w:r>
      <w:r>
        <w:rPr>
          <w:rFonts w:ascii="Times New Roman" w:cs="Times New Roman" w:eastAsia="Times New Roman" w:hAnsi="Times New Roman"/>
          <w:sz w:val="18"/>
          <w:szCs w:val="18"/>
          <w:i w:val="1"/>
          <w:iCs w:val="1"/>
          <w:color w:val="auto"/>
        </w:rPr>
        <w:t>nietig</w:t>
      </w:r>
      <w:r>
        <w:rPr>
          <w:rFonts w:ascii="Times New Roman" w:cs="Times New Roman" w:eastAsia="Times New Roman" w:hAnsi="Times New Roman"/>
          <w:sz w:val="18"/>
          <w:szCs w:val="18"/>
          <w:color w:val="auto"/>
        </w:rPr>
        <w:t>). Based on the content of the Plan, we have no reason to believe that the Company or its subsidiaries will violate Section 2:98c DCC in connection with the issue of Plan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190"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expressed in this opinion letter may be limited or affected by:</w:t>
      </w:r>
    </w:p>
    <w:p>
      <w:pPr>
        <w:spacing w:after="0" w:line="225" w:lineRule="exact"/>
        <w:rPr>
          <w:rFonts w:ascii="Times New Roman" w:cs="Times New Roman" w:eastAsia="Times New Roman" w:hAnsi="Times New Roman"/>
          <w:sz w:val="18"/>
          <w:szCs w:val="18"/>
          <w:color w:val="auto"/>
        </w:rPr>
      </w:pPr>
    </w:p>
    <w:p>
      <w:pPr>
        <w:ind w:left="1272" w:hanging="638"/>
        <w:spacing w:after="0"/>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relating to Insolvency Proceedings or similar proceedings under a foreign law and other rules affecting creditors' rights generally;</w:t>
      </w:r>
    </w:p>
    <w:p>
      <w:pPr>
        <w:spacing w:after="0" w:line="223" w:lineRule="exact"/>
        <w:rPr>
          <w:rFonts w:ascii="Times New Roman" w:cs="Times New Roman" w:eastAsia="Times New Roman" w:hAnsi="Times New Roman"/>
          <w:sz w:val="18"/>
          <w:szCs w:val="18"/>
          <w:color w:val="auto"/>
        </w:rPr>
      </w:pPr>
    </w:p>
    <w:p>
      <w:pPr>
        <w:ind w:left="1272" w:right="20" w:hanging="638"/>
        <w:spacing w:after="0" w:line="284" w:lineRule="auto"/>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fraudulent preference and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and similar rights available in other jurisdictions to insolvency practitioners and insolvency office holders in bankruptcy proceedings or creditors;</w:t>
      </w:r>
    </w:p>
    <w:p>
      <w:pPr>
        <w:spacing w:after="0" w:line="158" w:lineRule="exact"/>
        <w:rPr>
          <w:rFonts w:ascii="Times New Roman" w:cs="Times New Roman" w:eastAsia="Times New Roman" w:hAnsi="Times New Roman"/>
          <w:sz w:val="18"/>
          <w:szCs w:val="18"/>
          <w:color w:val="auto"/>
        </w:rPr>
      </w:pPr>
    </w:p>
    <w:p>
      <w:pPr>
        <w:ind w:left="1272" w:hanging="638"/>
        <w:spacing w:after="0"/>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based on tort (</w:t>
      </w:r>
      <w:r>
        <w:rPr>
          <w:rFonts w:ascii="Times New Roman" w:cs="Times New Roman" w:eastAsia="Times New Roman" w:hAnsi="Times New Roman"/>
          <w:sz w:val="18"/>
          <w:szCs w:val="18"/>
          <w:i w:val="1"/>
          <w:iCs w:val="1"/>
          <w:color w:val="auto"/>
        </w:rPr>
        <w:t>onrechtmatige daad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272" w:hanging="638"/>
        <w:spacing w:after="0" w:line="282" w:lineRule="auto"/>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w:t>
      </w:r>
    </w:p>
    <w:p>
      <w:pPr>
        <w:spacing w:after="0" w:line="161" w:lineRule="exact"/>
        <w:rPr>
          <w:rFonts w:ascii="Times New Roman" w:cs="Times New Roman" w:eastAsia="Times New Roman" w:hAnsi="Times New Roman"/>
          <w:sz w:val="18"/>
          <w:szCs w:val="18"/>
          <w:color w:val="auto"/>
        </w:rPr>
      </w:pPr>
    </w:p>
    <w:p>
      <w:pPr>
        <w:ind w:left="1272" w:hanging="638"/>
        <w:spacing w:after="0"/>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Anti-Boycott Regulation, Anti Money Laundering Laws and related legislation;</w:t>
      </w:r>
    </w:p>
    <w:p>
      <w:pPr>
        <w:spacing w:after="0" w:line="225" w:lineRule="exact"/>
        <w:rPr>
          <w:rFonts w:ascii="Times New Roman" w:cs="Times New Roman" w:eastAsia="Times New Roman" w:hAnsi="Times New Roman"/>
          <w:sz w:val="18"/>
          <w:szCs w:val="18"/>
          <w:color w:val="auto"/>
        </w:rPr>
      </w:pPr>
    </w:p>
    <w:p>
      <w:pPr>
        <w:ind w:left="1272" w:hanging="638"/>
        <w:spacing w:after="0" w:line="282" w:lineRule="auto"/>
        <w:tabs>
          <w:tab w:leader="none" w:pos="1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intervention, recovery or resolution measure by any regulatory or other authority or governmental body in relation to financial enterprises or their affiliated entities;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30" w:right="339" w:bottom="1440" w:gutter="0" w:footer="0" w:header="0"/>
        </w:sectPr>
      </w:pPr>
    </w:p>
    <w:bookmarkStart w:id="12" w:name="page13"/>
    <w:bookmarkEnd w:id="12"/>
    <w:p>
      <w:pPr>
        <w:jc w:val="center"/>
        <w:ind w:left="3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6</w:t>
      </w:r>
    </w:p>
    <w:p>
      <w:pPr>
        <w:spacing w:after="0" w:line="110" w:lineRule="exact"/>
        <w:rPr>
          <w:sz w:val="20"/>
          <w:szCs w:val="20"/>
          <w:color w:val="auto"/>
        </w:rPr>
      </w:pPr>
    </w:p>
    <w:p>
      <w:pPr>
        <w:jc w:val="both"/>
        <w:ind w:left="1280" w:hanging="638"/>
        <w:spacing w:after="0" w:line="261" w:lineRule="auto"/>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force majeure (</w:t>
      </w:r>
      <w:r>
        <w:rPr>
          <w:rFonts w:ascii="Times New Roman" w:cs="Times New Roman" w:eastAsia="Times New Roman" w:hAnsi="Times New Roman"/>
          <w:sz w:val="18"/>
          <w:szCs w:val="18"/>
          <w:i w:val="1"/>
          <w:iCs w:val="1"/>
          <w:color w:val="auto"/>
        </w:rPr>
        <w:t>niet toerekenbare tekortkoming</w:t>
      </w:r>
      <w:r>
        <w:rPr>
          <w:rFonts w:ascii="Times New Roman" w:cs="Times New Roman" w:eastAsia="Times New Roman" w:hAnsi="Times New Roman"/>
          <w:sz w:val="18"/>
          <w:szCs w:val="18"/>
          <w:color w:val="auto"/>
        </w:rPr>
        <w:t>), reasonableness and fairness (</w:t>
      </w:r>
      <w:r>
        <w:rPr>
          <w:rFonts w:ascii="Times New Roman" w:cs="Times New Roman" w:eastAsia="Times New Roman" w:hAnsi="Times New Roman"/>
          <w:sz w:val="18"/>
          <w:szCs w:val="18"/>
          <w:i w:val="1"/>
          <w:iCs w:val="1"/>
          <w:color w:val="auto"/>
        </w:rPr>
        <w:t>redelijkheid en billijkheid</w:t>
      </w:r>
      <w:r>
        <w:rPr>
          <w:rFonts w:ascii="Times New Roman" w:cs="Times New Roman" w:eastAsia="Times New Roman" w:hAnsi="Times New Roman"/>
          <w:sz w:val="18"/>
          <w:szCs w:val="18"/>
          <w:color w:val="auto"/>
        </w:rPr>
        <w:t>), suspension (</w:t>
      </w:r>
      <w:r>
        <w:rPr>
          <w:rFonts w:ascii="Times New Roman" w:cs="Times New Roman" w:eastAsia="Times New Roman" w:hAnsi="Times New Roman"/>
          <w:sz w:val="18"/>
          <w:szCs w:val="18"/>
          <w:i w:val="1"/>
          <w:iCs w:val="1"/>
          <w:color w:val="auto"/>
        </w:rPr>
        <w:t>opschorting</w:t>
      </w:r>
      <w:r>
        <w:rPr>
          <w:rFonts w:ascii="Times New Roman" w:cs="Times New Roman" w:eastAsia="Times New Roman" w:hAnsi="Times New Roman"/>
          <w:sz w:val="18"/>
          <w:szCs w:val="18"/>
          <w:color w:val="auto"/>
        </w:rPr>
        <w:t>), dissolution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unforeseen circumstances (</w:t>
      </w:r>
      <w:r>
        <w:rPr>
          <w:rFonts w:ascii="Times New Roman" w:cs="Times New Roman" w:eastAsia="Times New Roman" w:hAnsi="Times New Roman"/>
          <w:sz w:val="18"/>
          <w:szCs w:val="18"/>
          <w:i w:val="1"/>
          <w:iCs w:val="1"/>
          <w:color w:val="auto"/>
        </w:rPr>
        <w:t>onvoorziene omstandigheden</w:t>
      </w:r>
      <w:r>
        <w:rPr>
          <w:rFonts w:ascii="Times New Roman" w:cs="Times New Roman" w:eastAsia="Times New Roman" w:hAnsi="Times New Roman"/>
          <w:sz w:val="18"/>
          <w:szCs w:val="18"/>
          <w:color w:val="auto"/>
        </w:rPr>
        <w:t>) and vitiated consent (i.e., duress (</w:t>
      </w:r>
      <w:r>
        <w:rPr>
          <w:rFonts w:ascii="Times New Roman" w:cs="Times New Roman" w:eastAsia="Times New Roman" w:hAnsi="Times New Roman"/>
          <w:sz w:val="18"/>
          <w:szCs w:val="18"/>
          <w:i w:val="1"/>
          <w:iCs w:val="1"/>
          <w:color w:val="auto"/>
        </w:rPr>
        <w:t>bedreiging</w:t>
      </w:r>
      <w:r>
        <w:rPr>
          <w:rFonts w:ascii="Times New Roman" w:cs="Times New Roman" w:eastAsia="Times New Roman" w:hAnsi="Times New Roman"/>
          <w:sz w:val="18"/>
          <w:szCs w:val="18"/>
          <w:color w:val="auto"/>
        </w:rPr>
        <w:t>), fraud (</w:t>
      </w:r>
      <w:r>
        <w:rPr>
          <w:rFonts w:ascii="Times New Roman" w:cs="Times New Roman" w:eastAsia="Times New Roman" w:hAnsi="Times New Roman"/>
          <w:sz w:val="18"/>
          <w:szCs w:val="18"/>
          <w:i w:val="1"/>
          <w:iCs w:val="1"/>
          <w:color w:val="auto"/>
        </w:rPr>
        <w:t>bedrog</w:t>
      </w:r>
      <w:r>
        <w:rPr>
          <w:rFonts w:ascii="Times New Roman" w:cs="Times New Roman" w:eastAsia="Times New Roman" w:hAnsi="Times New Roman"/>
          <w:sz w:val="18"/>
          <w:szCs w:val="18"/>
          <w:color w:val="auto"/>
        </w:rPr>
        <w:t>), abuse of circumstances (</w:t>
      </w:r>
      <w:r>
        <w:rPr>
          <w:rFonts w:ascii="Times New Roman" w:cs="Times New Roman" w:eastAsia="Times New Roman" w:hAnsi="Times New Roman"/>
          <w:sz w:val="18"/>
          <w:szCs w:val="18"/>
          <w:i w:val="1"/>
          <w:iCs w:val="1"/>
          <w:color w:val="auto"/>
        </w:rPr>
        <w:t>misbruik van omstandigheden</w:t>
      </w:r>
      <w:r>
        <w:rPr>
          <w:rFonts w:ascii="Times New Roman" w:cs="Times New Roman" w:eastAsia="Times New Roman" w:hAnsi="Times New Roman"/>
          <w:sz w:val="18"/>
          <w:szCs w:val="18"/>
          <w:color w:val="auto"/>
        </w:rPr>
        <w:t>) and error (</w:t>
      </w:r>
      <w:r>
        <w:rPr>
          <w:rFonts w:ascii="Times New Roman" w:cs="Times New Roman" w:eastAsia="Times New Roman" w:hAnsi="Times New Roman"/>
          <w:sz w:val="18"/>
          <w:szCs w:val="18"/>
          <w:i w:val="1"/>
          <w:iCs w:val="1"/>
          <w:color w:val="auto"/>
        </w:rPr>
        <w:t>dwaling</w:t>
      </w:r>
      <w:r>
        <w:rPr>
          <w:rFonts w:ascii="Times New Roman" w:cs="Times New Roman" w:eastAsia="Times New Roman" w:hAnsi="Times New Roman"/>
          <w:sz w:val="18"/>
          <w:szCs w:val="18"/>
          <w:color w:val="auto"/>
        </w:rPr>
        <w:t>)) or a difference of intention (</w:t>
      </w:r>
      <w:r>
        <w:rPr>
          <w:rFonts w:ascii="Times New Roman" w:cs="Times New Roman" w:eastAsia="Times New Roman" w:hAnsi="Times New Roman"/>
          <w:sz w:val="18"/>
          <w:szCs w:val="18"/>
          <w:i w:val="1"/>
          <w:iCs w:val="1"/>
          <w:color w:val="auto"/>
        </w:rPr>
        <w:t>wil</w:t>
      </w:r>
      <w:r>
        <w:rPr>
          <w:rFonts w:ascii="Times New Roman" w:cs="Times New Roman" w:eastAsia="Times New Roman" w:hAnsi="Times New Roman"/>
          <w:sz w:val="18"/>
          <w:szCs w:val="18"/>
          <w:color w:val="auto"/>
        </w:rPr>
        <w:t>) and declaration (</w:t>
      </w:r>
      <w:r>
        <w:rPr>
          <w:rFonts w:ascii="Times New Roman" w:cs="Times New Roman" w:eastAsia="Times New Roman" w:hAnsi="Times New Roman"/>
          <w:sz w:val="18"/>
          <w:szCs w:val="18"/>
          <w:i w:val="1"/>
          <w:iCs w:val="1"/>
          <w:color w:val="auto"/>
        </w:rPr>
        <w:t>verklaring</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75"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does not purport to express any opinion or view on the operational rules and procedures of any clearing or settlement system or agency.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letter as an exhibit to the Registration Statement. In giving this consent we do not admit or imply that we are a person whose consent is required under Section 7 of the United States Securities Act of 1933, as amended, or any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NautaDutilh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8"/>
        </w:trPr>
        <w:tc>
          <w:tcPr>
            <w:tcW w:w="3500" w:type="dxa"/>
            <w:vAlign w:val="bottom"/>
          </w:tcPr>
          <w:p>
            <w:pPr>
              <w:spacing w:after="0"/>
              <w:rPr>
                <w:sz w:val="22"/>
                <w:szCs w:val="22"/>
                <w:color w:val="auto"/>
              </w:rPr>
            </w:pPr>
          </w:p>
        </w:tc>
        <w:tc>
          <w:tcPr>
            <w:tcW w:w="7740" w:type="dxa"/>
            <w:vAlign w:val="bottom"/>
          </w:tcPr>
          <w:p>
            <w:pPr>
              <w:ind w:left="2280"/>
              <w:spacing w:after="0"/>
              <w:rPr>
                <w:sz w:val="20"/>
                <w:szCs w:val="20"/>
                <w:color w:val="auto"/>
              </w:rPr>
            </w:pPr>
            <w:r>
              <w:rPr>
                <w:rFonts w:ascii="Times New Roman" w:cs="Times New Roman" w:eastAsia="Times New Roman" w:hAnsi="Times New Roman"/>
                <w:sz w:val="20"/>
                <w:szCs w:val="20"/>
                <w:color w:val="auto"/>
              </w:rPr>
              <w:t>7</w:t>
            </w:r>
          </w:p>
        </w:tc>
      </w:tr>
      <w:tr>
        <w:trPr>
          <w:trHeight w:val="31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77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7740" w:type="dxa"/>
            <w:vAlign w:val="bottom"/>
          </w:tcPr>
          <w:p>
            <w:pPr>
              <w:spacing w:after="0"/>
              <w:rPr>
                <w:sz w:val="24"/>
                <w:szCs w:val="24"/>
                <w:color w:val="auto"/>
              </w:rPr>
            </w:pPr>
          </w:p>
        </w:tc>
      </w:tr>
      <w:tr>
        <w:trPr>
          <w:trHeight w:val="479"/>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 Money Laundering Laws</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European Anti-Money Laundering Directives, as implemented in the Netherlands in the</w:t>
            </w:r>
          </w:p>
        </w:tc>
      </w:tr>
      <w:tr>
        <w:trPr>
          <w:trHeight w:val="216"/>
        </w:trPr>
        <w:tc>
          <w:tcPr>
            <w:tcW w:w="3500" w:type="dxa"/>
            <w:vAlign w:val="bottom"/>
          </w:tcPr>
          <w:p>
            <w:pPr>
              <w:spacing w:after="0"/>
              <w:rPr>
                <w:sz w:val="18"/>
                <w:szCs w:val="18"/>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Money Laundering and Terrorist Financing Prevention Act (</w:t>
            </w:r>
            <w:r>
              <w:rPr>
                <w:rFonts w:ascii="Times New Roman" w:cs="Times New Roman" w:eastAsia="Times New Roman" w:hAnsi="Times New Roman"/>
                <w:sz w:val="18"/>
                <w:szCs w:val="18"/>
                <w:i w:val="1"/>
                <w:iCs w:val="1"/>
                <w:color w:val="auto"/>
              </w:rPr>
              <w:t>Wet ter voorkoming van</w:t>
            </w:r>
          </w:p>
        </w:tc>
      </w:tr>
      <w:tr>
        <w:trPr>
          <w:trHeight w:val="216"/>
        </w:trPr>
        <w:tc>
          <w:tcPr>
            <w:tcW w:w="3500" w:type="dxa"/>
            <w:vAlign w:val="bottom"/>
          </w:tcPr>
          <w:p>
            <w:pPr>
              <w:spacing w:after="0"/>
              <w:rPr>
                <w:sz w:val="18"/>
                <w:szCs w:val="18"/>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i w:val="1"/>
                <w:iCs w:val="1"/>
                <w:color w:val="auto"/>
              </w:rPr>
              <w:t>witwassen en financieren van terrorisme</w:t>
            </w:r>
            <w:r>
              <w:rPr>
                <w:rFonts w:ascii="Times New Roman" w:cs="Times New Roman" w:eastAsia="Times New Roman" w:hAnsi="Times New Roman"/>
                <w:sz w:val="18"/>
                <w:szCs w:val="18"/>
                <w:color w:val="auto"/>
              </w:rPr>
              <w:t>) and the Dutch Criminal Code (</w:t>
            </w:r>
            <w:r>
              <w:rPr>
                <w:rFonts w:ascii="Times New Roman" w:cs="Times New Roman" w:eastAsia="Times New Roman" w:hAnsi="Times New Roman"/>
                <w:sz w:val="18"/>
                <w:szCs w:val="18"/>
                <w:i w:val="1"/>
                <w:iCs w:val="1"/>
                <w:color w:val="auto"/>
              </w:rPr>
              <w:t>Wetboek van</w:t>
            </w:r>
          </w:p>
        </w:tc>
      </w:tr>
      <w:tr>
        <w:trPr>
          <w:trHeight w:val="236"/>
        </w:trPr>
        <w:tc>
          <w:tcPr>
            <w:tcW w:w="3500" w:type="dxa"/>
            <w:vAlign w:val="bottom"/>
          </w:tcPr>
          <w:p>
            <w:pPr>
              <w:spacing w:after="0"/>
              <w:rPr>
                <w:sz w:val="20"/>
                <w:szCs w:val="20"/>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i w:val="1"/>
                <w:iCs w:val="1"/>
                <w:color w:val="auto"/>
              </w:rPr>
              <w:t>Strafrecht</w:t>
            </w:r>
            <w:r>
              <w:rPr>
                <w:rFonts w:ascii="Times New Roman" w:cs="Times New Roman" w:eastAsia="Times New Roman" w:hAnsi="Times New Roman"/>
                <w:sz w:val="18"/>
                <w:szCs w:val="18"/>
                <w:color w:val="auto"/>
              </w:rPr>
              <w:t>).</w:t>
            </w:r>
          </w:p>
        </w:tc>
      </w:tr>
      <w:tr>
        <w:trPr>
          <w:trHeight w:val="333"/>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Anti-Boycott Regulation</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Council Regulation (EC) No 2271/96 of 22 November 1996 on protecting against the</w:t>
            </w:r>
          </w:p>
        </w:tc>
      </w:tr>
      <w:tr>
        <w:trPr>
          <w:trHeight w:val="216"/>
        </w:trPr>
        <w:tc>
          <w:tcPr>
            <w:tcW w:w="3500" w:type="dxa"/>
            <w:vAlign w:val="bottom"/>
          </w:tcPr>
          <w:p>
            <w:pPr>
              <w:spacing w:after="0"/>
              <w:rPr>
                <w:sz w:val="18"/>
                <w:szCs w:val="18"/>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effects of the extra-territorial application of legislation adopted by a third country, and</w:t>
            </w:r>
          </w:p>
        </w:tc>
      </w:tr>
      <w:tr>
        <w:trPr>
          <w:trHeight w:val="234"/>
        </w:trPr>
        <w:tc>
          <w:tcPr>
            <w:tcW w:w="3500" w:type="dxa"/>
            <w:vAlign w:val="bottom"/>
          </w:tcPr>
          <w:p>
            <w:pPr>
              <w:spacing w:after="0"/>
              <w:rPr>
                <w:sz w:val="20"/>
                <w:szCs w:val="20"/>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actions based thereon or resulting therefrom.</w:t>
            </w:r>
          </w:p>
        </w:tc>
      </w:tr>
      <w:tr>
        <w:trPr>
          <w:trHeight w:val="351"/>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as they read from time to time.</w:t>
            </w:r>
          </w:p>
        </w:tc>
      </w:tr>
      <w:tr>
        <w:trPr>
          <w:trHeight w:val="333"/>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Rights to subscribe for Ordinary Shares granted pursuant to the terms and conditions of the</w:t>
            </w:r>
          </w:p>
        </w:tc>
      </w:tr>
      <w:tr>
        <w:trPr>
          <w:trHeight w:val="234"/>
        </w:trPr>
        <w:tc>
          <w:tcPr>
            <w:tcW w:w="3500" w:type="dxa"/>
            <w:vAlign w:val="bottom"/>
          </w:tcPr>
          <w:p>
            <w:pPr>
              <w:spacing w:after="0"/>
              <w:rPr>
                <w:sz w:val="20"/>
                <w:szCs w:val="20"/>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Plan.</w:t>
            </w:r>
          </w:p>
        </w:tc>
      </w:tr>
      <w:tr>
        <w:trPr>
          <w:trHeight w:val="351"/>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Dutch Bankruptcy Code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tc>
      </w:tr>
      <w:tr>
        <w:trPr>
          <w:trHeight w:val="351"/>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Register</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Dutch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w:t>
            </w:r>
          </w:p>
        </w:tc>
      </w:tr>
      <w:tr>
        <w:trPr>
          <w:trHeight w:val="333"/>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Immatics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registered</w:t>
            </w:r>
          </w:p>
        </w:tc>
      </w:tr>
      <w:tr>
        <w:trPr>
          <w:trHeight w:val="234"/>
        </w:trPr>
        <w:tc>
          <w:tcPr>
            <w:tcW w:w="3500" w:type="dxa"/>
            <w:vAlign w:val="bottom"/>
          </w:tcPr>
          <w:p>
            <w:pPr>
              <w:spacing w:after="0"/>
              <w:rPr>
                <w:sz w:val="20"/>
                <w:szCs w:val="20"/>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with the Commercial Register under number 77595726.</w:t>
            </w:r>
          </w:p>
        </w:tc>
      </w:tr>
      <w:tr>
        <w:trPr>
          <w:trHeight w:val="351"/>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Deed of Incorporation, the Deed of Conversion and the Current Articles.</w:t>
            </w:r>
          </w:p>
        </w:tc>
      </w:tr>
      <w:tr>
        <w:trPr>
          <w:trHeight w:val="333"/>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Articles</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Articles of Association as contained in the Deed of Conversion and as they read as of</w:t>
            </w:r>
          </w:p>
        </w:tc>
      </w:tr>
      <w:tr>
        <w:trPr>
          <w:trHeight w:val="216"/>
        </w:trPr>
        <w:tc>
          <w:tcPr>
            <w:tcW w:w="3500" w:type="dxa"/>
            <w:vAlign w:val="bottom"/>
          </w:tcPr>
          <w:p>
            <w:pPr>
              <w:spacing w:after="0"/>
              <w:rPr>
                <w:sz w:val="18"/>
                <w:szCs w:val="18"/>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July 1, 2021 pursuant to the transitional provision previously included in the Articles of</w:t>
            </w:r>
          </w:p>
        </w:tc>
      </w:tr>
      <w:tr>
        <w:trPr>
          <w:trHeight w:val="234"/>
        </w:trPr>
        <w:tc>
          <w:tcPr>
            <w:tcW w:w="3500" w:type="dxa"/>
            <w:vAlign w:val="bottom"/>
          </w:tcPr>
          <w:p>
            <w:pPr>
              <w:spacing w:after="0"/>
              <w:rPr>
                <w:sz w:val="20"/>
                <w:szCs w:val="20"/>
                <w:color w:val="auto"/>
              </w:rPr>
            </w:pP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Association as article 51.</w:t>
            </w:r>
          </w:p>
        </w:tc>
      </w:tr>
      <w:tr>
        <w:trPr>
          <w:trHeight w:val="351"/>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w:t>
            </w:r>
          </w:p>
        </w:tc>
        <w:tc>
          <w:tcPr>
            <w:tcW w:w="7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tc>
      </w:tr>
      <w:tr>
        <w:trPr>
          <w:trHeight w:val="621"/>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630" w:right="339" w:bottom="1440" w:gutter="0" w:footer="0" w:header="0"/>
        </w:sectPr>
      </w:pPr>
      <w:r>
        <w:rPr>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2"/>
                <w:szCs w:val="22"/>
                <w:color w:val="auto"/>
              </w:rPr>
            </w:pPr>
          </w:p>
        </w:tc>
        <w:tc>
          <w:tcPr>
            <w:tcW w:w="8000" w:type="dxa"/>
            <w:vAlign w:val="bottom"/>
          </w:tcPr>
          <w:p>
            <w:pPr>
              <w:ind w:left="2540"/>
              <w:spacing w:after="0"/>
              <w:rPr>
                <w:sz w:val="20"/>
                <w:szCs w:val="20"/>
                <w:color w:val="auto"/>
              </w:rPr>
            </w:pPr>
            <w:r>
              <w:rPr>
                <w:rFonts w:ascii="Times New Roman" w:cs="Times New Roman" w:eastAsia="Times New Roman" w:hAnsi="Times New Roman"/>
                <w:sz w:val="20"/>
                <w:szCs w:val="20"/>
                <w:color w:val="auto"/>
              </w:rPr>
              <w:t>8</w:t>
            </w:r>
          </w:p>
        </w:tc>
      </w:tr>
      <w:tr>
        <w:trPr>
          <w:trHeight w:val="385"/>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Conversion</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deed of conversion and amendment to the Articles of Association dated July 1, 2020.</w:t>
            </w:r>
          </w:p>
        </w:tc>
      </w:tr>
      <w:tr>
        <w:trPr>
          <w:trHeight w:val="351"/>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Incorporation</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Company's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dated March 10, 2020.</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eIDAS Regulation</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Regulation (EU) No 910/2014 of the European Parliament and of the Council of 23 July</w:t>
            </w:r>
          </w:p>
        </w:tc>
      </w:tr>
      <w:tr>
        <w:trPr>
          <w:trHeight w:val="216"/>
        </w:trPr>
        <w:tc>
          <w:tcPr>
            <w:tcW w:w="3240" w:type="dxa"/>
            <w:vAlign w:val="bottom"/>
          </w:tcPr>
          <w:p>
            <w:pPr>
              <w:spacing w:after="0"/>
              <w:rPr>
                <w:sz w:val="18"/>
                <w:szCs w:val="18"/>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2014 on electronic identification and trust services for electronic transactions in the internal</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market and repealing Directive 1999/93/EC.</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Proceedings</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Any insolvency proceedings within the meaning of Regulation (EU) 2015/848 of the</w:t>
            </w:r>
          </w:p>
        </w:tc>
      </w:tr>
      <w:tr>
        <w:trPr>
          <w:trHeight w:val="216"/>
        </w:trPr>
        <w:tc>
          <w:tcPr>
            <w:tcW w:w="3240" w:type="dxa"/>
            <w:vAlign w:val="bottom"/>
          </w:tcPr>
          <w:p>
            <w:pPr>
              <w:spacing w:after="0"/>
              <w:rPr>
                <w:sz w:val="18"/>
                <w:szCs w:val="18"/>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European Parliament and of the Council of 20 May 2015 on insolvency proceedings (recast),</w:t>
            </w:r>
          </w:p>
        </w:tc>
      </w:tr>
      <w:tr>
        <w:trPr>
          <w:trHeight w:val="216"/>
        </w:trPr>
        <w:tc>
          <w:tcPr>
            <w:tcW w:w="3240" w:type="dxa"/>
            <w:vAlign w:val="bottom"/>
          </w:tcPr>
          <w:p>
            <w:pPr>
              <w:spacing w:after="0"/>
              <w:rPr>
                <w:sz w:val="18"/>
                <w:szCs w:val="18"/>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as amended by Regulation (EU) 2021/2260 of the European Parliament and of the Counsel</w:t>
            </w:r>
          </w:p>
        </w:tc>
      </w:tr>
      <w:tr>
        <w:trPr>
          <w:trHeight w:val="214"/>
        </w:trPr>
        <w:tc>
          <w:tcPr>
            <w:tcW w:w="3240" w:type="dxa"/>
            <w:vAlign w:val="bottom"/>
          </w:tcPr>
          <w:p>
            <w:pPr>
              <w:spacing w:after="0"/>
              <w:rPr>
                <w:sz w:val="18"/>
                <w:szCs w:val="18"/>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 15 December 2021, listed in Annex A thereto and any statutory proceedings for the</w:t>
            </w:r>
          </w:p>
        </w:tc>
      </w:tr>
      <w:tr>
        <w:trPr>
          <w:trHeight w:val="236"/>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restructuring of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pursuant to the Bankruptcy Code.</w:t>
            </w:r>
          </w:p>
        </w:tc>
      </w:tr>
      <w:tr>
        <w:trPr>
          <w:trHeight w:val="351"/>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NautaDutilh</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NautaDutilh N.V.</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Netherlands</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European territory of the Kingdom of the Netherlands and "</w:t>
            </w:r>
            <w:r>
              <w:rPr>
                <w:rFonts w:ascii="Times New Roman" w:cs="Times New Roman" w:eastAsia="Times New Roman" w:hAnsi="Times New Roman"/>
                <w:sz w:val="18"/>
                <w:szCs w:val="18"/>
                <w:b w:val="1"/>
                <w:bCs w:val="1"/>
                <w:color w:val="auto"/>
              </w:rPr>
              <w:t>Dutch</w:t>
            </w:r>
            <w:r>
              <w:rPr>
                <w:rFonts w:ascii="Times New Roman" w:cs="Times New Roman" w:eastAsia="Times New Roman" w:hAnsi="Times New Roman"/>
                <w:sz w:val="18"/>
                <w:szCs w:val="18"/>
                <w:color w:val="auto"/>
              </w:rPr>
              <w:t>" is in or from the</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Netherlands.</w:t>
            </w:r>
          </w:p>
        </w:tc>
      </w:tr>
      <w:tr>
        <w:trPr>
          <w:trHeight w:val="351"/>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Ordinary shares in the Company's capital, with a nominal value of EUR 0.01 each.</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stock option and incentive plan of the Company in the form attached as exhibit 99.4 to</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Company’s Form 6-K filed with the SEC on June 2, 2026.</w:t>
            </w:r>
          </w:p>
        </w:tc>
      </w:tr>
      <w:tr>
        <w:trPr>
          <w:trHeight w:val="351"/>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6,448,836 Ordinary Shares available for issuance under the Plan.</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Regulation (EU) 2017/1129 of the European Parliament and of the Council of 14 June 2017</w:t>
            </w:r>
          </w:p>
        </w:tc>
      </w:tr>
      <w:tr>
        <w:trPr>
          <w:trHeight w:val="216"/>
        </w:trPr>
        <w:tc>
          <w:tcPr>
            <w:tcW w:w="3240" w:type="dxa"/>
            <w:vAlign w:val="bottom"/>
          </w:tcPr>
          <w:p>
            <w:pPr>
              <w:spacing w:after="0"/>
              <w:rPr>
                <w:sz w:val="18"/>
                <w:szCs w:val="18"/>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on the prospectus to be published when securities are offered to the public or admitted to</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trading on a regulated market, and repealing Directive 2003/71/EC.</w:t>
            </w:r>
          </w:p>
        </w:tc>
      </w:tr>
      <w:tr>
        <w:trPr>
          <w:trHeight w:val="621"/>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630" w:right="339" w:bottom="1440" w:gutter="0" w:footer="0" w:header="0"/>
        </w:sectPr>
      </w:pPr>
      <w:r>
        <w:rPr>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2"/>
                <w:szCs w:val="22"/>
                <w:color w:val="auto"/>
              </w:rPr>
            </w:pPr>
          </w:p>
        </w:tc>
        <w:tc>
          <w:tcPr>
            <w:tcW w:w="8000" w:type="dxa"/>
            <w:vAlign w:val="bottom"/>
          </w:tcPr>
          <w:p>
            <w:pPr>
              <w:ind w:left="2540"/>
              <w:spacing w:after="0"/>
              <w:rPr>
                <w:sz w:val="20"/>
                <w:szCs w:val="20"/>
                <w:color w:val="auto"/>
              </w:rPr>
            </w:pPr>
            <w:r>
              <w:rPr>
                <w:rFonts w:ascii="Times New Roman" w:cs="Times New Roman" w:eastAsia="Times New Roman" w:hAnsi="Times New Roman"/>
                <w:sz w:val="20"/>
                <w:szCs w:val="20"/>
                <w:color w:val="auto"/>
              </w:rPr>
              <w:t>9</w:t>
            </w:r>
          </w:p>
        </w:tc>
      </w:tr>
      <w:tr>
        <w:trPr>
          <w:trHeight w:val="367"/>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Company's registration statement on Form S-8 filed or to be filed with the SEC in the</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form reviewed by us.</w:t>
            </w:r>
          </w:p>
        </w:tc>
      </w:tr>
      <w:tr>
        <w:trPr>
          <w:trHeight w:val="333"/>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Moment</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Each time when one or more Awards are granted or one or more Plan Shares are issued</w:t>
            </w:r>
          </w:p>
        </w:tc>
      </w:tr>
      <w:tr>
        <w:trPr>
          <w:trHeight w:val="234"/>
        </w:trPr>
        <w:tc>
          <w:tcPr>
            <w:tcW w:w="3240" w:type="dxa"/>
            <w:vAlign w:val="bottom"/>
          </w:tcPr>
          <w:p>
            <w:pPr>
              <w:spacing w:after="0"/>
              <w:rPr>
                <w:sz w:val="20"/>
                <w:szCs w:val="20"/>
                <w:color w:val="auto"/>
              </w:rPr>
            </w:pP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pursuant to the exercise or settlement of the relevant Award(s).</w:t>
            </w:r>
          </w:p>
        </w:tc>
      </w:tr>
      <w:tr>
        <w:trPr>
          <w:trHeight w:val="351"/>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tc>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621"/>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630" w:right="339" w:bottom="1440" w:gutter="0" w:footer="0" w:header="0"/>
        </w:sectPr>
      </w:pPr>
      <w:r>
        <w:rPr>
          <w:sz w:val="20"/>
          <w:szCs w:val="20"/>
          <w:color w:val="auto"/>
        </w:rPr>
        <w:drawing>
          <wp:anchor simplePos="0" relativeHeight="251657728" behindDoc="1" locked="0" layoutInCell="0" allowOverlap="1">
            <wp:simplePos x="0" y="0"/>
            <wp:positionH relativeFrom="page">
              <wp:posOffset>3705860</wp:posOffset>
            </wp:positionH>
            <wp:positionV relativeFrom="page">
              <wp:posOffset>157480</wp:posOffset>
            </wp:positionV>
            <wp:extent cx="11398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Immatics N.V. of our report dated March 5, 2026 relating to the financial statements and the effectiveness of internal control over financial reporting, which appears in Immatics N.V.’s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Wirtschaftsprüfungsgesellschaft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 Marcus Nickel</w:t>
            </w:r>
          </w:p>
        </w:tc>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Jens Rosenberger</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Wirtschaftsprüfer</w:t>
            </w:r>
          </w:p>
        </w:tc>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Wirtschaftsprüfer</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(German Public Auditor)</w:t>
            </w:r>
          </w:p>
        </w:tc>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(German Public Auditor)</w:t>
            </w:r>
          </w:p>
        </w:tc>
      </w:tr>
      <w:tr>
        <w:trPr>
          <w:trHeight w:val="553"/>
        </w:trPr>
        <w:tc>
          <w:tcPr>
            <w:tcW w:w="22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Immatics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Ordinary Shares, nominal value</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6,448,836</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9.34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60,232,128.24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$ 8,318.06</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 0.01 per share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60,232,128.24</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8,318.06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$ 8,318.06</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“Securities Act”), this Registration Statement shall also cover any additional ordinary shares having a nominal value of €0.01 per share (“Shares”), of Immatics N.V. (the “Registrant”) that become issuable under the Registrant’s 2026 Stock Option and Incentive Plan by reason of any share dividend, share split, recapitalization or other similar transaction affecting the Shares.</w:t>
      </w:r>
    </w:p>
    <w:p>
      <w:pPr>
        <w:spacing w:after="0" w:line="179"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of the Securities Act solely for the purpose of calculating the registration fee on the basis of the average of the high and low price of $9.34 per Share, as reported on The Nasdaq Stock Market on June 17, 2026.</w:t>
      </w:r>
    </w:p>
    <w:p>
      <w:pPr>
        <w:spacing w:after="0" w:line="161" w:lineRule="exact"/>
        <w:rPr>
          <w:rFonts w:ascii="Times New Roman" w:cs="Times New Roman" w:eastAsia="Times New Roman" w:hAnsi="Times New Roman"/>
          <w:sz w:val="18"/>
          <w:szCs w:val="18"/>
          <w:color w:val="auto"/>
        </w:rPr>
      </w:pPr>
    </w:p>
    <w:p>
      <w:pPr>
        <w:ind w:left="360" w:right="86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up to the nearest cent. There are no fee offsets.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3"/>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7"/>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upperLetter"/>
      <w:start w:val="1"/>
    </w:lvl>
  </w:abstractNum>
  <w:abstractNum w:abstractNumId="12">
    <w:nsid w:val="7FDCC233"/>
    <w:multiLevelType w:val="hybridMultilevel"/>
    <w:lvl w:ilvl="0">
      <w:lvlJc w:val="left"/>
      <w:lvlText w:val="%1."/>
      <w:numFmt w:val="upperLetter"/>
      <w:start w:val="3"/>
    </w:lvl>
    <w:lvl w:ilvl="1">
      <w:lvlJc w:val="left"/>
      <w:lvlText w:val="%2."/>
      <w:numFmt w:val="lowerLetter"/>
      <w:start w:val="1"/>
    </w:lvl>
  </w:abstractNum>
  <w:abstractNum w:abstractNumId="13">
    <w:nsid w:val="1BEFD79F"/>
    <w:multiLevelType w:val="hybridMultilevel"/>
    <w:lvl w:ilvl="0">
      <w:lvlJc w:val="left"/>
      <w:lvlText w:val="%1"/>
      <w:numFmt w:val="upperLetter"/>
      <w:start w:val="1"/>
    </w:lvl>
    <w:lvl w:ilvl="1">
      <w:lvlJc w:val="left"/>
      <w:lvlText w:val="%2."/>
      <w:numFmt w:val="lowerLetter"/>
      <w:start w:val="7"/>
    </w:lvl>
  </w:abstractNum>
  <w:abstractNum w:abstractNumId="14">
    <w:nsid w:val="41A7C4C9"/>
    <w:multiLevelType w:val="hybridMultilevel"/>
    <w:lvl w:ilvl="0">
      <w:lvlJc w:val="left"/>
      <w:lvlText w:val="%1."/>
      <w:numFmt w:val="upperLetter"/>
      <w:start w:val="5"/>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jpeg"/><Relationship Id="rId28" Type="http://schemas.openxmlformats.org/officeDocument/2006/relationships/image" Target="media/image10.png"/><Relationship Id="rId29" Type="http://schemas.openxmlformats.org/officeDocument/2006/relationships/image" Target="media/image11.jpeg"/><Relationship Id="rId30" Type="http://schemas.openxmlformats.org/officeDocument/2006/relationships/image" Target="media/image12.png"/><Relationship Id="rId31" Type="http://schemas.openxmlformats.org/officeDocument/2006/relationships/image" Target="media/image13.jpeg"/><Relationship Id="rId32" Type="http://schemas.openxmlformats.org/officeDocument/2006/relationships/image" Target="media/image14.png"/><Relationship Id="rId33" Type="http://schemas.openxmlformats.org/officeDocument/2006/relationships/image" Target="media/image15.jpe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jpeg"/><Relationship Id="rId39" Type="http://schemas.openxmlformats.org/officeDocument/2006/relationships/image" Target="media/image21.jpeg"/><Relationship Id="rId40" Type="http://schemas.openxmlformats.org/officeDocument/2006/relationships/image" Target="media/image22.png"/><Relationship Id="rId41" Type="http://schemas.openxmlformats.org/officeDocument/2006/relationships/image" Target="media/image23.png"/><Relationship Id="rId9" Type="http://schemas.openxmlformats.org/officeDocument/2006/relationships/hyperlink" Target="https://www.sec.gov/ix?doc=/Archives/edgar/data/1809196/000119312526092529/imtx-20251231.htm" TargetMode="External"/><Relationship Id="rId10" Type="http://schemas.openxmlformats.org/officeDocument/2006/relationships/hyperlink" Target="https://www.sec.gov/Archives/edgar/data/1809196/000119312526218152/immatics_n.v._6-k_q126.htm" TargetMode="External"/><Relationship Id="rId11" Type="http://schemas.openxmlformats.org/officeDocument/2006/relationships/hyperlink" Target="https://www.sec.gov/Archives/edgar/data/1809196/000119312526218152/imtx-ex99_1.htm" TargetMode="External"/><Relationship Id="rId12" Type="http://schemas.openxmlformats.org/officeDocument/2006/relationships/hyperlink" Target="https://www.sec.gov/Archives/edgar/data/1809196/000095010326008259/dp247175_6k.htm" TargetMode="External"/><Relationship Id="rId13" Type="http://schemas.openxmlformats.org/officeDocument/2006/relationships/hyperlink" Target="https://www.sec.gov/Archives/edgar/data/1809196/000095010326009230/dp248681_6k.htm" TargetMode="External"/><Relationship Id="rId14" Type="http://schemas.openxmlformats.org/officeDocument/2006/relationships/hyperlink" Target="https://www.sec.gov/Archives/edgar/data/1809196/000119312520184871/d936803d8a12b.htm" TargetMode="External"/><Relationship Id="rId17" Type="http://schemas.openxmlformats.org/officeDocument/2006/relationships/hyperlink" Target="http://www.sec.gov/Archives/edgar/data/0001809196/000119312520206488/d96389dex31.htm" TargetMode="External"/><Relationship Id="rId18" Type="http://schemas.openxmlformats.org/officeDocument/2006/relationships/hyperlink" Target="https://www.sec.gov/Archives/edgar/data/1809196/000119312520206488/d96389dex31.htm" TargetMode="External"/><Relationship Id="rId19" Type="http://schemas.openxmlformats.org/officeDocument/2006/relationships/hyperlink" Target="https://www.sec.gov/Archives/edgar/data/1809196/000119312520206488/d96389df1.htm" TargetMode="External"/><Relationship Id="rId20" Type="http://schemas.openxmlformats.org/officeDocument/2006/relationships/hyperlink" Target="http://www.sec.gov/Archives/edgar/data/0001809196/000095010322009422/dp173850_ex9904.htm" TargetMode="External"/><Relationship Id="rId21" Type="http://schemas.openxmlformats.org/officeDocument/2006/relationships/hyperlink" Target="https://www.sec.gov/Archives/edgar/data/1809196/000095010326008259/dp247175_ex99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2026-06-25T16:14:05Z</dcterms:created>
  <dcterms:modified xsi:type="dcterms:W3CDTF">2026-06-25T16:14:05Z</dcterms:modified>
</cp:coreProperties>
</file>