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
        <w:spacing w:after="0"/>
        <w:rPr>
          <w:sz w:val="20"/>
          <w:szCs w:val="20"/>
          <w:color w:val="auto"/>
        </w:rPr>
      </w:pPr>
      <w:r>
        <w:rPr>
          <w:rFonts w:ascii="Arial" w:cs="Arial" w:eastAsia="Arial" w:hAnsi="Arial"/>
          <w:sz w:val="15"/>
          <w:szCs w:val="15"/>
          <w:b w:val="1"/>
          <w:bCs w:val="1"/>
          <w:color w:val="auto"/>
        </w:rPr>
        <w:t>As filed with the Securities and Exchange Commission on March 27, 2025.</w:t>
      </w:r>
    </w:p>
    <w:p>
      <w:pPr>
        <w:spacing w:after="0" w:line="13" w:lineRule="exact"/>
        <w:rPr>
          <w:sz w:val="24"/>
          <w:szCs w:val="24"/>
          <w:color w:val="auto"/>
        </w:rPr>
      </w:pPr>
    </w:p>
    <w:p>
      <w:pPr>
        <w:ind w:left="9189"/>
        <w:spacing w:after="0"/>
        <w:rPr>
          <w:sz w:val="20"/>
          <w:szCs w:val="20"/>
          <w:color w:val="auto"/>
        </w:rPr>
      </w:pPr>
      <w:r>
        <w:rPr>
          <w:rFonts w:ascii="Arial" w:cs="Arial" w:eastAsia="Arial" w:hAnsi="Arial"/>
          <w:sz w:val="15"/>
          <w:szCs w:val="15"/>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153275" cy="29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2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36195</wp:posOffset>
            </wp:positionV>
            <wp:extent cx="715327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pacing w:after="0" w:line="205" w:lineRule="exact"/>
        <w:rPr>
          <w:sz w:val="24"/>
          <w:szCs w:val="24"/>
          <w:color w:val="auto"/>
        </w:rPr>
      </w:pPr>
    </w:p>
    <w:p>
      <w:pPr>
        <w:jc w:val="center"/>
        <w:ind w:right="11"/>
        <w:spacing w:after="0"/>
        <w:rPr>
          <w:sz w:val="20"/>
          <w:szCs w:val="20"/>
          <w:color w:val="auto"/>
        </w:rPr>
      </w:pPr>
      <w:r>
        <w:rPr>
          <w:rFonts w:ascii="Arial" w:cs="Arial" w:eastAsia="Arial" w:hAnsi="Arial"/>
          <w:sz w:val="15"/>
          <w:szCs w:val="15"/>
          <w:b w:val="1"/>
          <w:bCs w:val="1"/>
          <w:color w:val="auto"/>
        </w:rPr>
        <w:t>UNITED STATES</w:t>
      </w:r>
    </w:p>
    <w:p>
      <w:pPr>
        <w:spacing w:after="0" w:line="12" w:lineRule="exact"/>
        <w:rPr>
          <w:sz w:val="24"/>
          <w:szCs w:val="24"/>
          <w:color w:val="auto"/>
        </w:rPr>
      </w:pPr>
    </w:p>
    <w:p>
      <w:pPr>
        <w:jc w:val="center"/>
        <w:ind w:right="-28"/>
        <w:spacing w:after="0"/>
        <w:rPr>
          <w:sz w:val="20"/>
          <w:szCs w:val="20"/>
          <w:color w:val="auto"/>
        </w:rPr>
      </w:pPr>
      <w:r>
        <w:rPr>
          <w:rFonts w:ascii="Arial" w:cs="Arial" w:eastAsia="Arial" w:hAnsi="Arial"/>
          <w:sz w:val="15"/>
          <w:szCs w:val="15"/>
          <w:b w:val="1"/>
          <w:bCs w:val="1"/>
          <w:color w:val="auto"/>
        </w:rPr>
        <w:t>SECURITIES AND EXCHANGE COMMISSION</w:t>
      </w:r>
    </w:p>
    <w:p>
      <w:pPr>
        <w:jc w:val="center"/>
        <w:ind w:right="-28"/>
        <w:spacing w:after="0"/>
        <w:rPr>
          <w:sz w:val="20"/>
          <w:szCs w:val="20"/>
          <w:color w:val="auto"/>
        </w:rPr>
      </w:pPr>
      <w:r>
        <w:rPr>
          <w:rFonts w:ascii="Arial" w:cs="Arial" w:eastAsia="Arial" w:hAnsi="Arial"/>
          <w:sz w:val="15"/>
          <w:szCs w:val="15"/>
          <w:b w:val="1"/>
          <w:bCs w:val="1"/>
          <w:color w:val="auto"/>
        </w:rPr>
        <w:t>Washington, D.C. 20549</w:t>
      </w:r>
    </w:p>
    <w:p>
      <w:pPr>
        <w:spacing w:after="0" w:line="319" w:lineRule="exact"/>
        <w:rPr>
          <w:sz w:val="24"/>
          <w:szCs w:val="24"/>
          <w:color w:val="auto"/>
        </w:rPr>
      </w:pPr>
    </w:p>
    <w:p>
      <w:pPr>
        <w:jc w:val="center"/>
        <w:ind w:right="-28"/>
        <w:spacing w:after="0"/>
        <w:rPr>
          <w:sz w:val="20"/>
          <w:szCs w:val="20"/>
          <w:color w:val="auto"/>
        </w:rPr>
      </w:pPr>
      <w:r>
        <w:rPr>
          <w:rFonts w:ascii="Arial" w:cs="Arial" w:eastAsia="Arial" w:hAnsi="Arial"/>
          <w:sz w:val="18"/>
          <w:szCs w:val="18"/>
          <w:b w:val="1"/>
          <w:bCs w:val="1"/>
          <w:color w:val="auto"/>
        </w:rPr>
        <w:t>FORM F-3</w:t>
      </w:r>
    </w:p>
    <w:p>
      <w:pPr>
        <w:spacing w:after="0" w:line="21" w:lineRule="exact"/>
        <w:rPr>
          <w:sz w:val="24"/>
          <w:szCs w:val="24"/>
          <w:color w:val="auto"/>
        </w:rPr>
      </w:pPr>
    </w:p>
    <w:p>
      <w:pPr>
        <w:jc w:val="center"/>
        <w:ind w:right="-28"/>
        <w:spacing w:after="0"/>
        <w:rPr>
          <w:sz w:val="20"/>
          <w:szCs w:val="20"/>
          <w:color w:val="auto"/>
        </w:rPr>
      </w:pPr>
      <w:r>
        <w:rPr>
          <w:rFonts w:ascii="Arial" w:cs="Arial" w:eastAsia="Arial" w:hAnsi="Arial"/>
          <w:sz w:val="15"/>
          <w:szCs w:val="15"/>
          <w:b w:val="1"/>
          <w:bCs w:val="1"/>
          <w:color w:val="auto"/>
        </w:rPr>
        <w:t>REGISTRATION STATEMENT UNDER THE SECURITIES ACT OF 1933</w:t>
      </w:r>
    </w:p>
    <w:p>
      <w:pPr>
        <w:spacing w:after="0" w:line="322" w:lineRule="exact"/>
        <w:rPr>
          <w:sz w:val="24"/>
          <w:szCs w:val="24"/>
          <w:color w:val="auto"/>
        </w:rPr>
      </w:pPr>
    </w:p>
    <w:p>
      <w:pPr>
        <w:jc w:val="center"/>
        <w:ind w:right="-28"/>
        <w:spacing w:after="0"/>
        <w:rPr>
          <w:sz w:val="20"/>
          <w:szCs w:val="20"/>
          <w:color w:val="auto"/>
        </w:rPr>
      </w:pPr>
      <w:r>
        <w:rPr>
          <w:rFonts w:ascii="Arial" w:cs="Arial" w:eastAsia="Arial" w:hAnsi="Arial"/>
          <w:sz w:val="21"/>
          <w:szCs w:val="21"/>
          <w:b w:val="1"/>
          <w:bCs w:val="1"/>
          <w:color w:val="auto"/>
        </w:rPr>
        <w:t>Immatics N.V.</w:t>
      </w:r>
    </w:p>
    <w:p>
      <w:pPr>
        <w:spacing w:after="0" w:line="30" w:lineRule="exact"/>
        <w:rPr>
          <w:sz w:val="24"/>
          <w:szCs w:val="24"/>
          <w:color w:val="auto"/>
        </w:rPr>
      </w:pPr>
    </w:p>
    <w:p>
      <w:pPr>
        <w:jc w:val="center"/>
        <w:ind w:right="-28"/>
        <w:spacing w:after="0"/>
        <w:rPr>
          <w:sz w:val="20"/>
          <w:szCs w:val="20"/>
          <w:color w:val="auto"/>
        </w:rPr>
      </w:pPr>
      <w:r>
        <w:rPr>
          <w:rFonts w:ascii="Arial" w:cs="Arial" w:eastAsia="Arial" w:hAnsi="Arial"/>
          <w:sz w:val="15"/>
          <w:szCs w:val="15"/>
          <w:color w:val="auto"/>
        </w:rPr>
        <w:t>(Exact name of registrant as specified in its charter)</w:t>
      </w:r>
    </w:p>
    <w:p>
      <w:pPr>
        <w:sectPr>
          <w:pgSz w:w="11900" w:h="16838" w:orient="portrait"/>
          <w:cols w:equalWidth="0" w:num="1">
            <w:col w:w="11229"/>
          </w:cols>
          <w:pgMar w:left="311" w:top="388" w:right="359" w:bottom="1440" w:gutter="0" w:footer="0" w:header="0"/>
        </w:sectPr>
      </w:pPr>
    </w:p>
    <w:p>
      <w:pPr>
        <w:spacing w:after="0" w:line="156" w:lineRule="exact"/>
        <w:rPr>
          <w:sz w:val="24"/>
          <w:szCs w:val="24"/>
          <w:color w:val="auto"/>
        </w:rPr>
      </w:pPr>
    </w:p>
    <w:p>
      <w:pPr>
        <w:jc w:val="center"/>
        <w:ind w:right="931"/>
        <w:spacing w:after="0"/>
        <w:rPr>
          <w:sz w:val="20"/>
          <w:szCs w:val="20"/>
          <w:color w:val="auto"/>
        </w:rPr>
      </w:pPr>
      <w:r>
        <w:rPr>
          <w:rFonts w:ascii="Arial" w:cs="Arial" w:eastAsia="Arial" w:hAnsi="Arial"/>
          <w:sz w:val="15"/>
          <w:szCs w:val="15"/>
          <w:b w:val="1"/>
          <w:bCs w:val="1"/>
          <w:color w:val="auto"/>
        </w:rPr>
        <w:t>The Netherlands</w:t>
      </w:r>
    </w:p>
    <w:p>
      <w:pPr>
        <w:spacing w:after="0" w:line="13" w:lineRule="exact"/>
        <w:rPr>
          <w:sz w:val="24"/>
          <w:szCs w:val="24"/>
          <w:color w:val="auto"/>
        </w:rPr>
      </w:pPr>
    </w:p>
    <w:p>
      <w:pPr>
        <w:jc w:val="center"/>
        <w:ind w:right="931"/>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jc w:val="center"/>
        <w:ind w:right="1400"/>
        <w:spacing w:after="0"/>
        <w:rPr>
          <w:sz w:val="20"/>
          <w:szCs w:val="20"/>
          <w:color w:val="auto"/>
        </w:rPr>
      </w:pPr>
      <w:r>
        <w:rPr>
          <w:rFonts w:ascii="Arial" w:cs="Arial" w:eastAsia="Arial" w:hAnsi="Arial"/>
          <w:sz w:val="15"/>
          <w:szCs w:val="15"/>
          <w:b w:val="1"/>
          <w:bCs w:val="1"/>
          <w:color w:val="auto"/>
        </w:rPr>
        <w:t>Not Applicable</w:t>
      </w:r>
    </w:p>
    <w:p>
      <w:pPr>
        <w:spacing w:after="0" w:line="13" w:lineRule="exact"/>
        <w:rPr>
          <w:sz w:val="24"/>
          <w:szCs w:val="24"/>
          <w:color w:val="auto"/>
        </w:rPr>
      </w:pPr>
    </w:p>
    <w:p>
      <w:pPr>
        <w:jc w:val="center"/>
        <w:ind w:right="1400"/>
        <w:spacing w:after="0"/>
        <w:rPr>
          <w:sz w:val="20"/>
          <w:szCs w:val="20"/>
          <w:color w:val="auto"/>
        </w:rPr>
      </w:pPr>
      <w:r>
        <w:rPr>
          <w:rFonts w:ascii="Arial" w:cs="Arial" w:eastAsia="Arial" w:hAnsi="Arial"/>
          <w:sz w:val="15"/>
          <w:szCs w:val="15"/>
          <w:color w:val="auto"/>
        </w:rPr>
        <w:t>(I.R.S. Employer Identification Number)</w:t>
      </w:r>
    </w:p>
    <w:p>
      <w:pPr>
        <w:spacing w:after="0" w:line="156" w:lineRule="exact"/>
        <w:rPr>
          <w:sz w:val="24"/>
          <w:szCs w:val="24"/>
          <w:color w:val="auto"/>
        </w:rPr>
      </w:pPr>
    </w:p>
    <w:p>
      <w:pPr>
        <w:sectPr>
          <w:pgSz w:w="11900" w:h="16838" w:orient="portrait"/>
          <w:cols w:equalWidth="0" w:num="2">
            <w:col w:w="6469" w:space="720"/>
            <w:col w:w="4040"/>
          </w:cols>
          <w:pgMar w:left="311" w:top="388" w:right="359" w:bottom="1440" w:gutter="0" w:footer="0" w:header="0"/>
          <w:type w:val="continuous"/>
        </w:sectPr>
      </w:pPr>
    </w:p>
    <w:p>
      <w:pPr>
        <w:jc w:val="center"/>
        <w:ind w:right="-48"/>
        <w:spacing w:after="0"/>
        <w:rPr>
          <w:sz w:val="20"/>
          <w:szCs w:val="20"/>
          <w:color w:val="auto"/>
        </w:rPr>
      </w:pPr>
      <w:r>
        <w:rPr>
          <w:rFonts w:ascii="Arial" w:cs="Arial" w:eastAsia="Arial" w:hAnsi="Arial"/>
          <w:sz w:val="15"/>
          <w:szCs w:val="15"/>
          <w:b w:val="1"/>
          <w:bCs w:val="1"/>
          <w:color w:val="auto"/>
        </w:rPr>
        <w:t>Paul-Ehrlich-Straße 15</w:t>
      </w:r>
    </w:p>
    <w:p>
      <w:pPr>
        <w:spacing w:after="0" w:line="12" w:lineRule="exact"/>
        <w:rPr>
          <w:sz w:val="24"/>
          <w:szCs w:val="24"/>
          <w:color w:val="auto"/>
        </w:rPr>
      </w:pPr>
    </w:p>
    <w:p>
      <w:pPr>
        <w:jc w:val="center"/>
        <w:ind w:right="-48"/>
        <w:spacing w:after="0"/>
        <w:rPr>
          <w:sz w:val="20"/>
          <w:szCs w:val="20"/>
          <w:color w:val="auto"/>
        </w:rPr>
      </w:pPr>
      <w:r>
        <w:rPr>
          <w:rFonts w:ascii="Arial" w:cs="Arial" w:eastAsia="Arial" w:hAnsi="Arial"/>
          <w:sz w:val="15"/>
          <w:szCs w:val="15"/>
          <w:b w:val="1"/>
          <w:bCs w:val="1"/>
          <w:color w:val="auto"/>
        </w:rPr>
        <w:t>72076 Tübingen, Federal Republic of Germany</w:t>
      </w:r>
    </w:p>
    <w:p>
      <w:pPr>
        <w:jc w:val="center"/>
        <w:ind w:right="-48"/>
        <w:spacing w:after="0" w:line="238" w:lineRule="auto"/>
        <w:rPr>
          <w:sz w:val="20"/>
          <w:szCs w:val="20"/>
          <w:color w:val="auto"/>
        </w:rPr>
      </w:pPr>
      <w:r>
        <w:rPr>
          <w:rFonts w:ascii="Arial" w:cs="Arial" w:eastAsia="Arial" w:hAnsi="Arial"/>
          <w:sz w:val="15"/>
          <w:szCs w:val="15"/>
          <w:b w:val="1"/>
          <w:bCs w:val="1"/>
          <w:color w:val="auto"/>
        </w:rPr>
        <w:t>+49 (7071) 5397-0</w:t>
      </w:r>
    </w:p>
    <w:p>
      <w:pPr>
        <w:jc w:val="center"/>
        <w:ind w:right="-48"/>
        <w:spacing w:after="0"/>
        <w:rPr>
          <w:sz w:val="20"/>
          <w:szCs w:val="20"/>
          <w:color w:val="auto"/>
        </w:rPr>
      </w:pPr>
      <w:r>
        <w:rPr>
          <w:rFonts w:ascii="Arial" w:cs="Arial" w:eastAsia="Arial" w:hAnsi="Arial"/>
          <w:sz w:val="15"/>
          <w:szCs w:val="15"/>
          <w:color w:val="auto"/>
        </w:rPr>
        <w:t>(Address and telephone number of registrant’s principal executive offices)</w:t>
      </w:r>
    </w:p>
    <w:p>
      <w:pPr>
        <w:spacing w:after="0" w:line="156" w:lineRule="exact"/>
        <w:rPr>
          <w:sz w:val="24"/>
          <w:szCs w:val="24"/>
          <w:color w:val="auto"/>
        </w:rPr>
      </w:pPr>
    </w:p>
    <w:p>
      <w:pPr>
        <w:jc w:val="center"/>
        <w:ind w:right="-48"/>
        <w:spacing w:after="0"/>
        <w:rPr>
          <w:sz w:val="20"/>
          <w:szCs w:val="20"/>
          <w:color w:val="auto"/>
        </w:rPr>
      </w:pPr>
      <w:r>
        <w:rPr>
          <w:rFonts w:ascii="Arial" w:cs="Arial" w:eastAsia="Arial" w:hAnsi="Arial"/>
          <w:sz w:val="15"/>
          <w:szCs w:val="15"/>
          <w:b w:val="1"/>
          <w:bCs w:val="1"/>
          <w:color w:val="auto"/>
        </w:rPr>
        <w:t>Edward A. Sturchio</w:t>
      </w:r>
    </w:p>
    <w:p>
      <w:pPr>
        <w:spacing w:after="0" w:line="12" w:lineRule="exact"/>
        <w:rPr>
          <w:sz w:val="24"/>
          <w:szCs w:val="24"/>
          <w:color w:val="auto"/>
        </w:rPr>
      </w:pPr>
    </w:p>
    <w:p>
      <w:pPr>
        <w:jc w:val="center"/>
        <w:ind w:right="-48"/>
        <w:spacing w:after="0"/>
        <w:rPr>
          <w:sz w:val="20"/>
          <w:szCs w:val="20"/>
          <w:color w:val="auto"/>
        </w:rPr>
      </w:pPr>
      <w:r>
        <w:rPr>
          <w:rFonts w:ascii="Arial" w:cs="Arial" w:eastAsia="Arial" w:hAnsi="Arial"/>
          <w:sz w:val="15"/>
          <w:szCs w:val="15"/>
          <w:b w:val="1"/>
          <w:bCs w:val="1"/>
          <w:color w:val="auto"/>
        </w:rPr>
        <w:t>Immatics US, Inc.</w:t>
      </w:r>
    </w:p>
    <w:p>
      <w:pPr>
        <w:jc w:val="center"/>
        <w:ind w:right="-48"/>
        <w:spacing w:after="0" w:line="238" w:lineRule="auto"/>
        <w:rPr>
          <w:sz w:val="20"/>
          <w:szCs w:val="20"/>
          <w:color w:val="auto"/>
        </w:rPr>
      </w:pPr>
      <w:r>
        <w:rPr>
          <w:rFonts w:ascii="Arial" w:cs="Arial" w:eastAsia="Arial" w:hAnsi="Arial"/>
          <w:sz w:val="15"/>
          <w:szCs w:val="15"/>
          <w:b w:val="1"/>
          <w:bCs w:val="1"/>
          <w:color w:val="auto"/>
        </w:rPr>
        <w:t>13203 Murphy Rd., Suite 100</w:t>
      </w:r>
    </w:p>
    <w:p>
      <w:pPr>
        <w:jc w:val="center"/>
        <w:ind w:right="-48"/>
        <w:spacing w:after="0"/>
        <w:rPr>
          <w:sz w:val="20"/>
          <w:szCs w:val="20"/>
          <w:color w:val="auto"/>
        </w:rPr>
      </w:pPr>
      <w:r>
        <w:rPr>
          <w:rFonts w:ascii="Arial" w:cs="Arial" w:eastAsia="Arial" w:hAnsi="Arial"/>
          <w:sz w:val="15"/>
          <w:szCs w:val="15"/>
          <w:b w:val="1"/>
          <w:bCs w:val="1"/>
          <w:color w:val="auto"/>
        </w:rPr>
        <w:t>Stafford, Texas 77477</w:t>
      </w:r>
    </w:p>
    <w:p>
      <w:pPr>
        <w:jc w:val="center"/>
        <w:ind w:right="-48"/>
        <w:spacing w:after="0" w:line="238" w:lineRule="auto"/>
        <w:rPr>
          <w:sz w:val="20"/>
          <w:szCs w:val="20"/>
          <w:color w:val="auto"/>
        </w:rPr>
      </w:pPr>
      <w:r>
        <w:rPr>
          <w:rFonts w:ascii="Arial" w:cs="Arial" w:eastAsia="Arial" w:hAnsi="Arial"/>
          <w:sz w:val="15"/>
          <w:szCs w:val="15"/>
          <w:b w:val="1"/>
          <w:bCs w:val="1"/>
          <w:color w:val="auto"/>
        </w:rPr>
        <w:t>(281) 810-7545</w:t>
      </w:r>
    </w:p>
    <w:p>
      <w:pPr>
        <w:jc w:val="center"/>
        <w:ind w:right="-48"/>
        <w:spacing w:after="0"/>
        <w:rPr>
          <w:sz w:val="20"/>
          <w:szCs w:val="20"/>
          <w:color w:val="auto"/>
        </w:rPr>
      </w:pPr>
      <w:r>
        <w:rPr>
          <w:rFonts w:ascii="Arial" w:cs="Arial" w:eastAsia="Arial" w:hAnsi="Arial"/>
          <w:sz w:val="15"/>
          <w:szCs w:val="15"/>
          <w:color w:val="auto"/>
        </w:rPr>
        <w:t>(Name, address and telephone number of agent for service)</w:t>
      </w:r>
    </w:p>
    <w:p>
      <w:pPr>
        <w:spacing w:after="0" w:line="156" w:lineRule="exact"/>
        <w:rPr>
          <w:sz w:val="24"/>
          <w:szCs w:val="24"/>
          <w:color w:val="auto"/>
        </w:rPr>
      </w:pPr>
    </w:p>
    <w:tbl>
      <w:tblPr>
        <w:tblLayout w:type="fixed"/>
        <w:tblInd w:w="1829" w:type="dxa"/>
        <w:tblCellMar>
          <w:top w:w="0" w:type="dxa"/>
          <w:left w:w="0" w:type="dxa"/>
          <w:bottom w:w="0" w:type="dxa"/>
          <w:right w:w="0" w:type="dxa"/>
        </w:tblCellMar>
      </w:tblPr>
      <w:tr>
        <w:trPr>
          <w:trHeight w:val="200"/>
        </w:trPr>
        <w:tc>
          <w:tcPr>
            <w:tcW w:w="2720" w:type="dxa"/>
            <w:vAlign w:val="bottom"/>
          </w:tcPr>
          <w:p>
            <w:pPr>
              <w:spacing w:after="0"/>
              <w:rPr>
                <w:sz w:val="17"/>
                <w:szCs w:val="17"/>
                <w:color w:val="auto"/>
              </w:rPr>
            </w:pPr>
          </w:p>
        </w:tc>
        <w:tc>
          <w:tcPr>
            <w:tcW w:w="4640" w:type="dxa"/>
            <w:vAlign w:val="bottom"/>
          </w:tcPr>
          <w:p>
            <w:pPr>
              <w:ind w:left="740"/>
              <w:spacing w:after="0"/>
              <w:rPr>
                <w:sz w:val="20"/>
                <w:szCs w:val="20"/>
                <w:color w:val="auto"/>
              </w:rPr>
            </w:pPr>
            <w:r>
              <w:rPr>
                <w:rFonts w:ascii="Arial" w:cs="Arial" w:eastAsia="Arial" w:hAnsi="Arial"/>
                <w:sz w:val="15"/>
                <w:szCs w:val="15"/>
                <w:color w:val="auto"/>
              </w:rPr>
              <w:t>Copies to:</w:t>
            </w:r>
          </w:p>
        </w:tc>
      </w:tr>
      <w:tr>
        <w:trPr>
          <w:trHeight w:val="314"/>
        </w:trPr>
        <w:tc>
          <w:tcPr>
            <w:tcW w:w="2720" w:type="dxa"/>
            <w:vAlign w:val="bottom"/>
          </w:tcPr>
          <w:p>
            <w:pPr>
              <w:jc w:val="center"/>
              <w:ind w:right="684"/>
              <w:spacing w:after="0"/>
              <w:rPr>
                <w:sz w:val="20"/>
                <w:szCs w:val="20"/>
                <w:color w:val="auto"/>
              </w:rPr>
            </w:pPr>
            <w:r>
              <w:rPr>
                <w:rFonts w:ascii="Arial" w:cs="Arial" w:eastAsia="Arial" w:hAnsi="Arial"/>
                <w:sz w:val="15"/>
                <w:szCs w:val="15"/>
                <w:b w:val="1"/>
                <w:bCs w:val="1"/>
                <w:color w:val="auto"/>
              </w:rPr>
              <w:t>Yasin Keshvargar</w:t>
            </w:r>
          </w:p>
        </w:tc>
        <w:tc>
          <w:tcPr>
            <w:tcW w:w="4640" w:type="dxa"/>
            <w:vAlign w:val="bottom"/>
          </w:tcPr>
          <w:p>
            <w:pPr>
              <w:jc w:val="center"/>
              <w:ind w:left="3084"/>
              <w:spacing w:after="0"/>
              <w:rPr>
                <w:sz w:val="20"/>
                <w:szCs w:val="20"/>
                <w:color w:val="auto"/>
              </w:rPr>
            </w:pPr>
            <w:r>
              <w:rPr>
                <w:rFonts w:ascii="Arial" w:cs="Arial" w:eastAsia="Arial" w:hAnsi="Arial"/>
                <w:sz w:val="15"/>
                <w:szCs w:val="15"/>
                <w:b w:val="1"/>
                <w:bCs w:val="1"/>
                <w:color w:val="auto"/>
              </w:rPr>
              <w:t>Paul van der Bijl</w:t>
            </w:r>
          </w:p>
        </w:tc>
      </w:tr>
      <w:tr>
        <w:trPr>
          <w:trHeight w:val="171"/>
        </w:trPr>
        <w:tc>
          <w:tcPr>
            <w:tcW w:w="2720" w:type="dxa"/>
            <w:vAlign w:val="bottom"/>
          </w:tcPr>
          <w:p>
            <w:pPr>
              <w:jc w:val="center"/>
              <w:ind w:right="684"/>
              <w:spacing w:after="0" w:line="172" w:lineRule="exact"/>
              <w:rPr>
                <w:sz w:val="20"/>
                <w:szCs w:val="20"/>
                <w:color w:val="auto"/>
              </w:rPr>
            </w:pPr>
            <w:r>
              <w:rPr>
                <w:rFonts w:ascii="Arial" w:cs="Arial" w:eastAsia="Arial" w:hAnsi="Arial"/>
                <w:sz w:val="15"/>
                <w:szCs w:val="15"/>
                <w:b w:val="1"/>
                <w:bCs w:val="1"/>
                <w:color w:val="auto"/>
              </w:rPr>
              <w:t>Davis Polk &amp; Wardwell LLP</w:t>
            </w:r>
          </w:p>
        </w:tc>
        <w:tc>
          <w:tcPr>
            <w:tcW w:w="4640" w:type="dxa"/>
            <w:vAlign w:val="bottom"/>
          </w:tcPr>
          <w:p>
            <w:pPr>
              <w:jc w:val="center"/>
              <w:ind w:left="3084"/>
              <w:spacing w:after="0" w:line="172" w:lineRule="exact"/>
              <w:rPr>
                <w:sz w:val="20"/>
                <w:szCs w:val="20"/>
                <w:color w:val="auto"/>
              </w:rPr>
            </w:pPr>
            <w:r>
              <w:rPr>
                <w:rFonts w:ascii="Arial" w:cs="Arial" w:eastAsia="Arial" w:hAnsi="Arial"/>
                <w:sz w:val="15"/>
                <w:szCs w:val="15"/>
                <w:b w:val="1"/>
                <w:bCs w:val="1"/>
                <w:color w:val="auto"/>
                <w:w w:val="98"/>
              </w:rPr>
              <w:t>NautaDutilh N.V.</w:t>
            </w:r>
          </w:p>
        </w:tc>
      </w:tr>
      <w:tr>
        <w:trPr>
          <w:trHeight w:val="171"/>
        </w:trPr>
        <w:tc>
          <w:tcPr>
            <w:tcW w:w="2720" w:type="dxa"/>
            <w:vAlign w:val="bottom"/>
          </w:tcPr>
          <w:p>
            <w:pPr>
              <w:jc w:val="center"/>
              <w:ind w:right="704"/>
              <w:spacing w:after="0" w:line="172" w:lineRule="exact"/>
              <w:rPr>
                <w:sz w:val="20"/>
                <w:szCs w:val="20"/>
                <w:color w:val="auto"/>
              </w:rPr>
            </w:pPr>
            <w:r>
              <w:rPr>
                <w:rFonts w:ascii="Arial" w:cs="Arial" w:eastAsia="Arial" w:hAnsi="Arial"/>
                <w:sz w:val="15"/>
                <w:szCs w:val="15"/>
                <w:b w:val="1"/>
                <w:bCs w:val="1"/>
                <w:color w:val="auto"/>
              </w:rPr>
              <w:t>450 Lexington Avenue</w:t>
            </w:r>
          </w:p>
        </w:tc>
        <w:tc>
          <w:tcPr>
            <w:tcW w:w="4640" w:type="dxa"/>
            <w:vAlign w:val="bottom"/>
          </w:tcPr>
          <w:p>
            <w:pPr>
              <w:jc w:val="center"/>
              <w:ind w:left="3084"/>
              <w:spacing w:after="0" w:line="172" w:lineRule="exact"/>
              <w:rPr>
                <w:sz w:val="20"/>
                <w:szCs w:val="20"/>
                <w:color w:val="auto"/>
              </w:rPr>
            </w:pPr>
            <w:r>
              <w:rPr>
                <w:rFonts w:ascii="Arial" w:cs="Arial" w:eastAsia="Arial" w:hAnsi="Arial"/>
                <w:sz w:val="15"/>
                <w:szCs w:val="15"/>
                <w:b w:val="1"/>
                <w:bCs w:val="1"/>
                <w:color w:val="auto"/>
              </w:rPr>
              <w:t>Beethovenstraat 400</w:t>
            </w:r>
          </w:p>
        </w:tc>
      </w:tr>
      <w:tr>
        <w:trPr>
          <w:trHeight w:val="171"/>
        </w:trPr>
        <w:tc>
          <w:tcPr>
            <w:tcW w:w="2720" w:type="dxa"/>
            <w:vAlign w:val="bottom"/>
          </w:tcPr>
          <w:p>
            <w:pPr>
              <w:jc w:val="center"/>
              <w:ind w:right="724"/>
              <w:spacing w:after="0" w:line="172" w:lineRule="exact"/>
              <w:rPr>
                <w:sz w:val="20"/>
                <w:szCs w:val="20"/>
                <w:color w:val="auto"/>
              </w:rPr>
            </w:pPr>
            <w:r>
              <w:rPr>
                <w:rFonts w:ascii="Arial" w:cs="Arial" w:eastAsia="Arial" w:hAnsi="Arial"/>
                <w:sz w:val="15"/>
                <w:szCs w:val="15"/>
                <w:b w:val="1"/>
                <w:bCs w:val="1"/>
                <w:color w:val="auto"/>
              </w:rPr>
              <w:t>New York, NY 10017</w:t>
            </w:r>
          </w:p>
        </w:tc>
        <w:tc>
          <w:tcPr>
            <w:tcW w:w="4640" w:type="dxa"/>
            <w:vAlign w:val="bottom"/>
          </w:tcPr>
          <w:p>
            <w:pPr>
              <w:jc w:val="center"/>
              <w:ind w:left="3084"/>
              <w:spacing w:after="0" w:line="172" w:lineRule="exact"/>
              <w:rPr>
                <w:sz w:val="20"/>
                <w:szCs w:val="20"/>
                <w:color w:val="auto"/>
              </w:rPr>
            </w:pPr>
            <w:r>
              <w:rPr>
                <w:rFonts w:ascii="Arial" w:cs="Arial" w:eastAsia="Arial" w:hAnsi="Arial"/>
                <w:sz w:val="15"/>
                <w:szCs w:val="15"/>
                <w:b w:val="1"/>
                <w:bCs w:val="1"/>
                <w:color w:val="auto"/>
              </w:rPr>
              <w:t>1082 PR Amsterdam</w:t>
            </w:r>
          </w:p>
        </w:tc>
      </w:tr>
      <w:tr>
        <w:trPr>
          <w:trHeight w:val="208"/>
        </w:trPr>
        <w:tc>
          <w:tcPr>
            <w:tcW w:w="2720" w:type="dxa"/>
            <w:vAlign w:val="bottom"/>
          </w:tcPr>
          <w:p>
            <w:pPr>
              <w:jc w:val="center"/>
              <w:ind w:right="684"/>
              <w:spacing w:after="0"/>
              <w:rPr>
                <w:sz w:val="20"/>
                <w:szCs w:val="20"/>
                <w:color w:val="auto"/>
              </w:rPr>
            </w:pPr>
            <w:r>
              <w:rPr>
                <w:rFonts w:ascii="Arial" w:cs="Arial" w:eastAsia="Arial" w:hAnsi="Arial"/>
                <w:sz w:val="15"/>
                <w:szCs w:val="15"/>
                <w:b w:val="1"/>
                <w:bCs w:val="1"/>
                <w:color w:val="auto"/>
              </w:rPr>
              <w:t>(212) 450-4000</w:t>
            </w:r>
          </w:p>
        </w:tc>
        <w:tc>
          <w:tcPr>
            <w:tcW w:w="4640" w:type="dxa"/>
            <w:vAlign w:val="bottom"/>
          </w:tcPr>
          <w:p>
            <w:pPr>
              <w:jc w:val="center"/>
              <w:ind w:left="3084"/>
              <w:spacing w:after="0"/>
              <w:rPr>
                <w:sz w:val="20"/>
                <w:szCs w:val="20"/>
                <w:color w:val="auto"/>
              </w:rPr>
            </w:pPr>
            <w:r>
              <w:rPr>
                <w:rFonts w:ascii="Arial" w:cs="Arial" w:eastAsia="Arial" w:hAnsi="Arial"/>
                <w:sz w:val="15"/>
                <w:szCs w:val="15"/>
                <w:b w:val="1"/>
                <w:bCs w:val="1"/>
                <w:color w:val="auto"/>
              </w:rPr>
              <w:t>+31 20 71 71 000</w:t>
            </w:r>
          </w:p>
        </w:tc>
      </w:tr>
    </w:tbl>
    <w:p>
      <w:pPr>
        <w:spacing w:after="0" w:line="135" w:lineRule="exact"/>
        <w:rPr>
          <w:sz w:val="24"/>
          <w:szCs w:val="24"/>
          <w:color w:val="auto"/>
        </w:rPr>
      </w:pPr>
    </w:p>
    <w:p>
      <w:pPr>
        <w:ind w:left="9"/>
        <w:spacing w:after="0"/>
        <w:rPr>
          <w:sz w:val="20"/>
          <w:szCs w:val="20"/>
          <w:color w:val="auto"/>
        </w:rPr>
      </w:pPr>
      <w:r>
        <w:rPr>
          <w:rFonts w:ascii="Arial" w:cs="Arial" w:eastAsia="Arial" w:hAnsi="Arial"/>
          <w:sz w:val="15"/>
          <w:szCs w:val="15"/>
          <w:color w:val="auto"/>
        </w:rPr>
        <w:t>Approximate date of commencement of proposed sale to the public: From time to time after the effectiveness of this registration statement.</w:t>
      </w:r>
    </w:p>
    <w:p>
      <w:pPr>
        <w:spacing w:after="0" w:line="135" w:lineRule="exact"/>
        <w:rPr>
          <w:sz w:val="24"/>
          <w:szCs w:val="24"/>
          <w:color w:val="auto"/>
        </w:rPr>
      </w:pPr>
    </w:p>
    <w:p>
      <w:pPr>
        <w:ind w:left="9"/>
        <w:spacing w:after="0" w:line="173" w:lineRule="exact"/>
        <w:rPr>
          <w:sz w:val="20"/>
          <w:szCs w:val="20"/>
          <w:color w:val="auto"/>
        </w:rPr>
      </w:pPr>
      <w:r>
        <w:rPr>
          <w:rFonts w:ascii="Arial" w:cs="Arial" w:eastAsia="Arial" w:hAnsi="Arial"/>
          <w:sz w:val="15"/>
          <w:szCs w:val="15"/>
          <w:color w:val="auto"/>
        </w:rPr>
        <w:t xml:space="preserve">If only securities being registered on this Form are being offered pursuant to dividend or interest reinvestment plans, please check the following box. </w:t>
      </w:r>
      <w:r>
        <w:rPr>
          <w:rFonts w:ascii="MS PGothic" w:cs="MS PGothic" w:eastAsia="MS PGothic" w:hAnsi="MS PGothic"/>
          <w:sz w:val="15"/>
          <w:szCs w:val="15"/>
          <w:color w:val="auto"/>
        </w:rPr>
        <w:t>☐</w:t>
      </w:r>
    </w:p>
    <w:p>
      <w:pPr>
        <w:spacing w:after="0" w:line="206" w:lineRule="exact"/>
        <w:rPr>
          <w:sz w:val="24"/>
          <w:szCs w:val="24"/>
          <w:color w:val="auto"/>
        </w:rPr>
      </w:pPr>
    </w:p>
    <w:p>
      <w:pPr>
        <w:ind w:left="9" w:right="160"/>
        <w:spacing w:after="0" w:line="197" w:lineRule="exact"/>
        <w:rPr>
          <w:sz w:val="20"/>
          <w:szCs w:val="20"/>
          <w:color w:val="auto"/>
        </w:rPr>
      </w:pPr>
      <w:r>
        <w:rPr>
          <w:rFonts w:ascii="Arial" w:cs="Arial" w:eastAsia="Arial" w:hAnsi="Arial"/>
          <w:sz w:val="15"/>
          <w:szCs w:val="15"/>
          <w:color w:val="auto"/>
        </w:rPr>
        <w:t>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5"/>
          <w:szCs w:val="15"/>
          <w:color w:val="auto"/>
        </w:rPr>
        <w:t>☒</w:t>
      </w:r>
    </w:p>
    <w:p>
      <w:pPr>
        <w:spacing w:after="0" w:line="122" w:lineRule="exact"/>
        <w:rPr>
          <w:sz w:val="24"/>
          <w:szCs w:val="24"/>
          <w:color w:val="auto"/>
        </w:rPr>
      </w:pPr>
    </w:p>
    <w:p>
      <w:pPr>
        <w:ind w:left="9" w:right="200"/>
        <w:spacing w:after="0" w:line="197" w:lineRule="exact"/>
        <w:rPr>
          <w:sz w:val="20"/>
          <w:szCs w:val="20"/>
          <w:color w:val="auto"/>
        </w:rPr>
      </w:pPr>
      <w:r>
        <w:rPr>
          <w:rFonts w:ascii="Arial" w:cs="Arial" w:eastAsia="Arial" w:hAnsi="Arial"/>
          <w:sz w:val="15"/>
          <w:szCs w:val="15"/>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22" w:lineRule="exact"/>
        <w:rPr>
          <w:sz w:val="24"/>
          <w:szCs w:val="24"/>
          <w:color w:val="auto"/>
        </w:rPr>
      </w:pPr>
    </w:p>
    <w:p>
      <w:pPr>
        <w:ind w:left="9" w:right="580"/>
        <w:spacing w:after="0" w:line="197" w:lineRule="exact"/>
        <w:rPr>
          <w:sz w:val="20"/>
          <w:szCs w:val="20"/>
          <w:color w:val="auto"/>
        </w:rPr>
      </w:pPr>
      <w:r>
        <w:rPr>
          <w:rFonts w:ascii="Arial" w:cs="Arial" w:eastAsia="Arial" w:hAnsi="Arial"/>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22" w:lineRule="exact"/>
        <w:rPr>
          <w:sz w:val="24"/>
          <w:szCs w:val="24"/>
          <w:color w:val="auto"/>
        </w:rPr>
      </w:pPr>
    </w:p>
    <w:p>
      <w:pPr>
        <w:ind w:left="9" w:right="520"/>
        <w:spacing w:after="0" w:line="197" w:lineRule="exact"/>
        <w:rPr>
          <w:sz w:val="20"/>
          <w:szCs w:val="20"/>
          <w:color w:val="auto"/>
        </w:rPr>
      </w:pPr>
      <w:r>
        <w:rPr>
          <w:rFonts w:ascii="Arial" w:cs="Arial" w:eastAsia="Arial" w:hAnsi="Arial"/>
          <w:sz w:val="15"/>
          <w:szCs w:val="15"/>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5"/>
          <w:szCs w:val="15"/>
          <w:color w:val="auto"/>
        </w:rPr>
        <w:t>☐</w:t>
      </w:r>
    </w:p>
    <w:p>
      <w:pPr>
        <w:spacing w:after="0" w:line="122" w:lineRule="exact"/>
        <w:rPr>
          <w:sz w:val="24"/>
          <w:szCs w:val="24"/>
          <w:color w:val="auto"/>
        </w:rPr>
      </w:pPr>
    </w:p>
    <w:p>
      <w:pPr>
        <w:ind w:left="9" w:right="20"/>
        <w:spacing w:after="0" w:line="197" w:lineRule="exact"/>
        <w:rPr>
          <w:sz w:val="20"/>
          <w:szCs w:val="20"/>
          <w:color w:val="auto"/>
        </w:rPr>
      </w:pPr>
      <w:r>
        <w:rPr>
          <w:rFonts w:ascii="Arial" w:cs="Arial" w:eastAsia="Arial" w:hAnsi="Arial"/>
          <w:sz w:val="15"/>
          <w:szCs w:val="15"/>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5"/>
          <w:szCs w:val="15"/>
          <w:color w:val="auto"/>
        </w:rPr>
        <w:t>☐</w:t>
      </w:r>
    </w:p>
    <w:p>
      <w:pPr>
        <w:spacing w:after="0" w:line="86" w:lineRule="exact"/>
        <w:rPr>
          <w:sz w:val="24"/>
          <w:szCs w:val="24"/>
          <w:color w:val="auto"/>
        </w:rPr>
      </w:pPr>
    </w:p>
    <w:p>
      <w:pPr>
        <w:ind w:left="9"/>
        <w:spacing w:after="0" w:line="173" w:lineRule="exact"/>
        <w:rPr>
          <w:sz w:val="20"/>
          <w:szCs w:val="20"/>
          <w:color w:val="auto"/>
        </w:rPr>
      </w:pPr>
      <w:r>
        <w:rPr>
          <w:rFonts w:ascii="Arial" w:cs="Arial" w:eastAsia="Arial" w:hAnsi="Arial"/>
          <w:sz w:val="15"/>
          <w:szCs w:val="15"/>
          <w:color w:val="auto"/>
        </w:rPr>
        <w:t xml:space="preserve">Indicate by check mark whether the registrant is an emerging growth company as defined in Rule 405 of the Securities Act of 1933. Emerging growth company </w:t>
      </w:r>
      <w:r>
        <w:rPr>
          <w:rFonts w:ascii="MS PGothic" w:cs="MS PGothic" w:eastAsia="MS PGothic" w:hAnsi="MS PGothic"/>
          <w:sz w:val="15"/>
          <w:szCs w:val="15"/>
          <w:color w:val="auto"/>
        </w:rPr>
        <w:t>☐</w:t>
      </w:r>
    </w:p>
    <w:p>
      <w:pPr>
        <w:spacing w:after="0" w:line="206" w:lineRule="exact"/>
        <w:rPr>
          <w:sz w:val="24"/>
          <w:szCs w:val="24"/>
          <w:color w:val="auto"/>
        </w:rPr>
      </w:pPr>
    </w:p>
    <w:p>
      <w:pPr>
        <w:ind w:left="9" w:right="20"/>
        <w:spacing w:after="0" w:line="256" w:lineRule="exact"/>
        <w:rPr>
          <w:sz w:val="20"/>
          <w:szCs w:val="20"/>
          <w:color w:val="auto"/>
        </w:rPr>
      </w:pPr>
      <w:r>
        <w:rPr>
          <w:rFonts w:ascii="Arial" w:cs="Arial" w:eastAsia="Arial" w:hAnsi="Arial"/>
          <w:sz w:val="15"/>
          <w:szCs w:val="15"/>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w:t>
      </w:r>
      <w:r>
        <w:rPr>
          <w:rFonts w:ascii="Arial" w:cs="Arial" w:eastAsia="Arial" w:hAnsi="Arial"/>
          <w:sz w:val="25"/>
          <w:szCs w:val="25"/>
          <w:color w:val="auto"/>
          <w:vertAlign w:val="superscript"/>
        </w:rPr>
        <w:t>†</w:t>
      </w:r>
      <w:r>
        <w:rPr>
          <w:rFonts w:ascii="Arial" w:cs="Arial" w:eastAsia="Arial" w:hAnsi="Arial"/>
          <w:sz w:val="15"/>
          <w:szCs w:val="15"/>
          <w:color w:val="auto"/>
        </w:rPr>
        <w:t xml:space="preserve"> provided pursuant to Section 7(a)(2)(B) of the Securities Act.  </w:t>
      </w:r>
      <w:r>
        <w:rPr>
          <w:rFonts w:ascii="MS PGothic" w:cs="MS PGothic" w:eastAsia="MS PGothic" w:hAnsi="MS PGothic"/>
          <w:sz w:val="15"/>
          <w:szCs w:val="15"/>
          <w:color w:val="auto"/>
        </w:rPr>
        <w:t>☐</w:t>
      </w:r>
    </w:p>
    <w:p>
      <w:pPr>
        <w:spacing w:after="0" w:line="71" w:lineRule="exact"/>
        <w:rPr>
          <w:sz w:val="24"/>
          <w:szCs w:val="24"/>
          <w:color w:val="auto"/>
        </w:rPr>
      </w:pPr>
    </w:p>
    <w:p>
      <w:pPr>
        <w:ind w:left="9" w:right="500" w:hanging="9"/>
        <w:spacing w:after="0" w:line="193" w:lineRule="auto"/>
        <w:tabs>
          <w:tab w:leader="none" w:pos="121" w:val="left"/>
        </w:tabs>
        <w:numPr>
          <w:ilvl w:val="0"/>
          <w:numId w:val="1"/>
        </w:numPr>
        <w:rPr>
          <w:rFonts w:ascii="Arial" w:cs="Arial" w:eastAsia="Arial" w:hAnsi="Arial"/>
          <w:sz w:val="25"/>
          <w:szCs w:val="25"/>
          <w:color w:val="auto"/>
          <w:vertAlign w:val="superscript"/>
        </w:rPr>
      </w:pPr>
      <w:r>
        <w:rPr>
          <w:rFonts w:ascii="Arial" w:cs="Arial" w:eastAsia="Arial" w:hAnsi="Arial"/>
          <w:sz w:val="15"/>
          <w:szCs w:val="15"/>
          <w:color w:val="auto"/>
        </w:rPr>
        <w:t>The term “new or revised financial accounting standard” refers to any update issued by the Financial Accounting Standards Board to its Accounting Standards Codification after April 5, 2012.</w:t>
      </w:r>
    </w:p>
    <w:p>
      <w:pPr>
        <w:spacing w:after="0" w:line="144" w:lineRule="exact"/>
        <w:rPr>
          <w:sz w:val="24"/>
          <w:szCs w:val="24"/>
          <w:color w:val="auto"/>
        </w:rPr>
      </w:pPr>
    </w:p>
    <w:p>
      <w:pPr>
        <w:ind w:left="9"/>
        <w:spacing w:after="0" w:line="254" w:lineRule="auto"/>
        <w:rPr>
          <w:sz w:val="20"/>
          <w:szCs w:val="20"/>
          <w:color w:val="auto"/>
        </w:rPr>
      </w:pPr>
      <w:r>
        <w:rPr>
          <w:rFonts w:ascii="Arial" w:cs="Arial" w:eastAsia="Arial" w:hAnsi="Arial"/>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89535</wp:posOffset>
            </wp:positionV>
            <wp:extent cx="715327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111760</wp:posOffset>
            </wp:positionV>
            <wp:extent cx="7153275" cy="29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292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438150</wp:posOffset>
            </wp:positionV>
            <wp:extent cx="715327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29"/>
          </w:cols>
          <w:pgMar w:left="311" w:top="388"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5"/>
          <w:szCs w:val="15"/>
          <w:b w:val="1"/>
          <w:bCs w:val="1"/>
          <w:color w:val="auto"/>
        </w:rPr>
        <w:t>EXPLANATORY NOTE</w:t>
      </w:r>
    </w:p>
    <w:p>
      <w:pPr>
        <w:spacing w:after="0" w:line="170" w:lineRule="exact"/>
        <w:rPr>
          <w:sz w:val="20"/>
          <w:szCs w:val="20"/>
          <w:color w:val="auto"/>
        </w:rPr>
      </w:pPr>
    </w:p>
    <w:p>
      <w:pPr>
        <w:spacing w:after="0" w:line="251" w:lineRule="auto"/>
        <w:rPr>
          <w:sz w:val="20"/>
          <w:szCs w:val="20"/>
          <w:color w:val="auto"/>
        </w:rPr>
      </w:pPr>
      <w:r>
        <w:rPr>
          <w:rFonts w:ascii="Arial" w:cs="Arial" w:eastAsia="Arial" w:hAnsi="Arial"/>
          <w:sz w:val="15"/>
          <w:szCs w:val="15"/>
          <w:color w:val="auto"/>
        </w:rPr>
        <w:t>Immatics N.V. (the “Company”) previously filed a Registration Statement on Form F-3 (No. 333-282569) on October 10, 2024 (the “Prior Registration Statement”). Upon the filing of its Annual Report on Form 20-F for the year ended December 31, 2024, the Company ceased to be a well-known seasoned issuer (as such term is defined in Rule 405 of the Securities Act) and, as such, is no longer able to use the Prior Registration Statement. The Company is registering pursuant to this registration statement an aggregate of $500,000,000 of securities, including unsold securities previously registered under the Prior Registration Statement.</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color w:val="auto"/>
        </w:rPr>
        <w:t>This registration statement contains two prospectuses:</w:t>
      </w:r>
    </w:p>
    <w:p>
      <w:pPr>
        <w:spacing w:after="0" w:line="170" w:lineRule="exact"/>
        <w:rPr>
          <w:sz w:val="20"/>
          <w:szCs w:val="20"/>
          <w:color w:val="auto"/>
        </w:rPr>
      </w:pPr>
    </w:p>
    <w:p>
      <w:pPr>
        <w:ind w:left="540" w:right="560" w:hanging="274"/>
        <w:spacing w:after="0" w:line="275" w:lineRule="auto"/>
        <w:tabs>
          <w:tab w:leader="none" w:pos="540" w:val="left"/>
        </w:tabs>
        <w:numPr>
          <w:ilvl w:val="0"/>
          <w:numId w:val="2"/>
        </w:numPr>
        <w:rPr>
          <w:rFonts w:ascii="Times New Roman" w:cs="Times New Roman" w:eastAsia="Times New Roman" w:hAnsi="Times New Roman"/>
          <w:sz w:val="15"/>
          <w:szCs w:val="15"/>
          <w:color w:val="auto"/>
        </w:rPr>
      </w:pPr>
      <w:r>
        <w:rPr>
          <w:rFonts w:ascii="Arial" w:cs="Arial" w:eastAsia="Arial" w:hAnsi="Arial"/>
          <w:sz w:val="15"/>
          <w:szCs w:val="15"/>
          <w:color w:val="auto"/>
        </w:rPr>
        <w:t>a base prospectus that covers the offer and sale of up to $500,000,000 of the registrant’s ordinary shares, debt securities, warrants, subscription rights, purchase contracts and units; and</w:t>
      </w:r>
    </w:p>
    <w:p>
      <w:pPr>
        <w:spacing w:after="0" w:line="118" w:lineRule="exact"/>
        <w:rPr>
          <w:rFonts w:ascii="Times New Roman" w:cs="Times New Roman" w:eastAsia="Times New Roman" w:hAnsi="Times New Roman"/>
          <w:sz w:val="15"/>
          <w:szCs w:val="15"/>
          <w:color w:val="auto"/>
        </w:rPr>
      </w:pPr>
    </w:p>
    <w:p>
      <w:pPr>
        <w:ind w:left="540" w:right="60" w:hanging="274"/>
        <w:spacing w:after="0" w:line="275" w:lineRule="auto"/>
        <w:tabs>
          <w:tab w:leader="none" w:pos="540" w:val="left"/>
        </w:tabs>
        <w:numPr>
          <w:ilvl w:val="0"/>
          <w:numId w:val="2"/>
        </w:numPr>
        <w:rPr>
          <w:rFonts w:ascii="Times New Roman" w:cs="Times New Roman" w:eastAsia="Times New Roman" w:hAnsi="Times New Roman"/>
          <w:sz w:val="15"/>
          <w:szCs w:val="15"/>
          <w:color w:val="auto"/>
        </w:rPr>
      </w:pPr>
      <w:r>
        <w:rPr>
          <w:rFonts w:ascii="Arial" w:cs="Arial" w:eastAsia="Arial" w:hAnsi="Arial"/>
          <w:sz w:val="15"/>
          <w:szCs w:val="15"/>
          <w:color w:val="auto"/>
        </w:rPr>
        <w:t>a sales agreement prospectus supplement that covers the offer and sale of up to $150,000,000 of the registrant’s ordinary shares that may be offered and sold under the Sales Agreement, dated October 10, 2024, between the registrant and Leerink Partners LLC.</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color w:val="auto"/>
        </w:rPr>
        <w:t>The base prospectus immediately follows this explanatory note. The sales agreement prospectus supplement immediately follows the base prospectus. The</w:t>
      </w:r>
    </w:p>
    <w:p>
      <w:pPr>
        <w:spacing w:after="0" w:line="13" w:lineRule="exact"/>
        <w:rPr>
          <w:sz w:val="20"/>
          <w:szCs w:val="20"/>
          <w:color w:val="auto"/>
        </w:rPr>
      </w:pPr>
    </w:p>
    <w:p>
      <w:pPr>
        <w:spacing w:after="0" w:line="247" w:lineRule="auto"/>
        <w:rPr>
          <w:sz w:val="20"/>
          <w:szCs w:val="20"/>
          <w:color w:val="auto"/>
        </w:rPr>
      </w:pPr>
      <w:r>
        <w:rPr>
          <w:rFonts w:ascii="Arial" w:cs="Arial" w:eastAsia="Arial" w:hAnsi="Arial"/>
          <w:sz w:val="15"/>
          <w:szCs w:val="15"/>
          <w:color w:val="auto"/>
        </w:rPr>
        <w:t>$150,000,000 of ordinary shares that may be offered and sold under the sales agreement prospectus supplement is included in the $500,000,000 of securities that may be offered and sold by the registrant under the base prospectus. Upon termination of the sales agreement, any portion of the $150,000,000 included in the sales agreement prospectus supplement that is not sold pursuant to the sales agreement will be available for sale in other offerings pursuant to the base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5327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60"/>
          </w:cols>
          <w:pgMar w:left="320" w:top="479" w:right="319" w:bottom="1440" w:gutter="0" w:footer="0" w:header="0"/>
        </w:sectPr>
      </w:pPr>
    </w:p>
    <w:bookmarkStart w:id="2" w:name="page3"/>
    <w:bookmarkEnd w:id="2"/>
    <w:p>
      <w:pPr>
        <w:jc w:val="center"/>
        <w:ind w:right="20"/>
        <w:spacing w:after="0" w:line="263" w:lineRule="auto"/>
        <w:rPr>
          <w:sz w:val="20"/>
          <w:szCs w:val="20"/>
          <w:color w:val="auto"/>
        </w:rPr>
      </w:pPr>
      <w:r>
        <w:rPr>
          <w:rFonts w:ascii="Arial" w:cs="Arial" w:eastAsia="Arial" w:hAnsi="Arial"/>
          <w:sz w:val="15"/>
          <w:szCs w:val="15"/>
          <w:b w:val="1"/>
          <w:bCs w:val="1"/>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118"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FF0000"/>
        </w:rPr>
        <w:t>SUBJECT TO COMPLETION, DATED MARCH 27, 2025</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2649855</wp:posOffset>
            </wp:positionH>
            <wp:positionV relativeFrom="paragraph">
              <wp:posOffset>108585</wp:posOffset>
            </wp:positionV>
            <wp:extent cx="1842770" cy="681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42770" cy="681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46"/>
          <w:szCs w:val="46"/>
          <w:b w:val="1"/>
          <w:bCs w:val="1"/>
          <w:color w:val="auto"/>
        </w:rPr>
        <w:t>IMMATICS N.V.</w:t>
      </w:r>
    </w:p>
    <w:p>
      <w:pPr>
        <w:spacing w:after="0" w:line="218" w:lineRule="exact"/>
        <w:rPr>
          <w:sz w:val="20"/>
          <w:szCs w:val="20"/>
          <w:color w:val="auto"/>
        </w:rPr>
      </w:pPr>
    </w:p>
    <w:p>
      <w:pPr>
        <w:ind w:left="4980"/>
        <w:spacing w:after="0"/>
        <w:rPr>
          <w:sz w:val="20"/>
          <w:szCs w:val="20"/>
          <w:color w:val="auto"/>
        </w:rPr>
      </w:pPr>
      <w:r>
        <w:rPr>
          <w:rFonts w:ascii="Arial" w:cs="Arial" w:eastAsia="Arial" w:hAnsi="Arial"/>
          <w:sz w:val="21"/>
          <w:szCs w:val="21"/>
          <w:b w:val="1"/>
          <w:bCs w:val="1"/>
          <w:color w:val="auto"/>
        </w:rPr>
        <w:t>$500,000,000</w:t>
      </w:r>
    </w:p>
    <w:p>
      <w:pPr>
        <w:spacing w:after="0" w:line="216" w:lineRule="exact"/>
        <w:rPr>
          <w:sz w:val="20"/>
          <w:szCs w:val="20"/>
          <w:color w:val="auto"/>
        </w:rPr>
      </w:pPr>
    </w:p>
    <w:p>
      <w:pPr>
        <w:ind w:left="4800"/>
        <w:spacing w:after="0"/>
        <w:rPr>
          <w:sz w:val="20"/>
          <w:szCs w:val="20"/>
          <w:color w:val="auto"/>
        </w:rPr>
      </w:pPr>
      <w:r>
        <w:rPr>
          <w:rFonts w:ascii="Arial" w:cs="Arial" w:eastAsia="Arial" w:hAnsi="Arial"/>
          <w:sz w:val="21"/>
          <w:szCs w:val="21"/>
          <w:b w:val="1"/>
          <w:bCs w:val="1"/>
          <w:color w:val="auto"/>
        </w:rPr>
        <w:t>Ordinary Shares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Debt Securities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Warrants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Subscription Rights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Purchase Contracts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Units</w:t>
      </w:r>
    </w:p>
    <w:p>
      <w:pPr>
        <w:spacing w:after="0" w:line="245" w:lineRule="exact"/>
        <w:rPr>
          <w:sz w:val="20"/>
          <w:szCs w:val="20"/>
          <w:color w:val="auto"/>
        </w:rPr>
      </w:pPr>
    </w:p>
    <w:p>
      <w:pPr>
        <w:ind w:right="60"/>
        <w:spacing w:after="0" w:line="246" w:lineRule="auto"/>
        <w:rPr>
          <w:sz w:val="20"/>
          <w:szCs w:val="20"/>
          <w:color w:val="auto"/>
        </w:rPr>
      </w:pPr>
      <w:r>
        <w:rPr>
          <w:rFonts w:ascii="Arial" w:cs="Arial" w:eastAsia="Arial" w:hAnsi="Arial"/>
          <w:sz w:val="15"/>
          <w:szCs w:val="15"/>
          <w:color w:val="auto"/>
        </w:rPr>
        <w:t>We may offer and sell from time to time, in one or more offerings, up to $500,000,000 of any combination of the following securities: ordinary shares, debt securities, warrants, subscription rights, purchase contracts and units (collectively, the “securities”). The securities may be offered and sold in different series, at times, in amounts, at prices and on terms to be determined at or prior to the time of each offering. This prospectus describes the general terms of these securities and the general manner in which these securities will be offered. We will provide the specific terms of these securities and the specific manner in which these securities will be offered and sold in supplements to this prospectus. The prospectus supplements may also supplement, update or amend information contained in this prospectus. You should read this prospectus and any applicable prospectus supplement before you invest.</w:t>
      </w:r>
    </w:p>
    <w:p>
      <w:pPr>
        <w:spacing w:after="0" w:line="139" w:lineRule="exact"/>
        <w:rPr>
          <w:sz w:val="20"/>
          <w:szCs w:val="20"/>
          <w:color w:val="auto"/>
        </w:rPr>
      </w:pPr>
    </w:p>
    <w:p>
      <w:pPr>
        <w:jc w:val="both"/>
        <w:ind w:right="160"/>
        <w:spacing w:after="0" w:line="257" w:lineRule="auto"/>
        <w:rPr>
          <w:sz w:val="20"/>
          <w:szCs w:val="20"/>
          <w:color w:val="auto"/>
        </w:rPr>
      </w:pPr>
      <w:r>
        <w:rPr>
          <w:rFonts w:ascii="Arial" w:cs="Arial" w:eastAsia="Arial" w:hAnsi="Arial"/>
          <w:sz w:val="15"/>
          <w:szCs w:val="15"/>
          <w:color w:val="auto"/>
        </w:rPr>
        <w:t>The securities covered by this prospectus may be offered through one or more underwriters, dealers and agents, or directly to purchasers. The applicable prospectus supplement will set forth the names of the underwriters, dealers or agents, if any, any applicable commissions or discounts payable to them and the specific terms of the plan of distribution. For general information about the distribution of these securities, see “Plan of Distribution” beginning on page 25 of this prospectus.</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auto"/>
        </w:rPr>
        <w:t>Our ordinary shares are listed on The Nasdaq Stock Market LLC (“Nasdaq”) under the symbol “IMTX.”</w:t>
      </w:r>
    </w:p>
    <w:p>
      <w:pPr>
        <w:spacing w:after="0" w:line="170"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b w:val="1"/>
          <w:bCs w:val="1"/>
          <w:color w:val="auto"/>
        </w:rPr>
        <w:t>Investing in our securities involves a high degree of risk. See the “Risk Factors” section beginning on page 5 of this prospectus and, if applicable, any risk factors described in any applicable prospectus supplement and in our Securities and Exchange Commission (“SEC”) filings that are incorporated by reference in this prospectus.</w:t>
      </w:r>
    </w:p>
    <w:p>
      <w:pPr>
        <w:spacing w:after="0" w:line="118" w:lineRule="exact"/>
        <w:rPr>
          <w:sz w:val="20"/>
          <w:szCs w:val="20"/>
          <w:color w:val="auto"/>
        </w:rPr>
      </w:pPr>
    </w:p>
    <w:p>
      <w:pPr>
        <w:ind w:right="260"/>
        <w:spacing w:after="0" w:line="287"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980" w:type="dxa"/>
            <w:vAlign w:val="bottom"/>
          </w:tcPr>
          <w:p>
            <w:pPr>
              <w:ind w:left="4540"/>
              <w:spacing w:after="0"/>
              <w:rPr>
                <w:sz w:val="20"/>
                <w:szCs w:val="20"/>
                <w:color w:val="auto"/>
              </w:rPr>
            </w:pPr>
            <w:r>
              <w:rPr>
                <w:rFonts w:ascii="Arial" w:cs="Arial" w:eastAsia="Arial" w:hAnsi="Arial"/>
                <w:sz w:val="15"/>
                <w:szCs w:val="15"/>
                <w:color w:val="auto"/>
              </w:rPr>
              <w:t>Prospectus dated</w:t>
            </w:r>
          </w:p>
        </w:tc>
        <w:tc>
          <w:tcPr>
            <w:tcW w:w="5280" w:type="dxa"/>
            <w:vAlign w:val="bottom"/>
          </w:tcPr>
          <w:p>
            <w:pPr>
              <w:jc w:val="right"/>
              <w:ind w:right="4484"/>
              <w:spacing w:after="0"/>
              <w:rPr>
                <w:sz w:val="20"/>
                <w:szCs w:val="20"/>
                <w:color w:val="auto"/>
              </w:rPr>
            </w:pPr>
            <w:r>
              <w:rPr>
                <w:rFonts w:ascii="Arial" w:cs="Arial" w:eastAsia="Arial" w:hAnsi="Arial"/>
                <w:sz w:val="15"/>
                <w:szCs w:val="15"/>
                <w:color w:val="auto"/>
              </w:rPr>
              <w:t>, 2025.</w:t>
            </w:r>
          </w:p>
        </w:tc>
      </w:tr>
      <w:tr>
        <w:trPr>
          <w:trHeight w:val="420"/>
        </w:trPr>
        <w:tc>
          <w:tcPr>
            <w:tcW w:w="59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479" w:right="31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540" w:type="dxa"/>
            <w:vAlign w:val="bottom"/>
            <w:gridSpan w:val="3"/>
          </w:tcPr>
          <w:p>
            <w:pPr>
              <w:ind w:left="1260"/>
              <w:spacing w:after="0"/>
              <w:rPr>
                <w:sz w:val="20"/>
                <w:szCs w:val="20"/>
                <w:color w:val="auto"/>
              </w:rPr>
            </w:pPr>
            <w:r>
              <w:rPr>
                <w:rFonts w:ascii="Arial" w:cs="Arial" w:eastAsia="Arial" w:hAnsi="Arial"/>
                <w:sz w:val="15"/>
                <w:szCs w:val="15"/>
                <w:b w:val="1"/>
                <w:bCs w:val="1"/>
                <w:color w:val="auto"/>
              </w:rPr>
              <w:t>TABLE OF CONTENTS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10"/>
        </w:trPr>
        <w:tc>
          <w:tcPr>
            <w:tcW w:w="2000" w:type="dxa"/>
            <w:vAlign w:val="bottom"/>
            <w:gridSpan w:val="8"/>
          </w:tcPr>
          <w:p>
            <w:pPr>
              <w:spacing w:after="0"/>
              <w:rPr>
                <w:sz w:val="20"/>
                <w:szCs w:val="20"/>
                <w:color w:val="auto"/>
              </w:rPr>
            </w:pPr>
            <w:r>
              <w:rPr>
                <w:rFonts w:ascii="Arial" w:cs="Arial" w:eastAsia="Arial" w:hAnsi="Arial"/>
                <w:sz w:val="15"/>
                <w:szCs w:val="15"/>
                <w:color w:val="0000EE"/>
              </w:rPr>
              <w:t>ABOUT THIS PROSPECTUS</w:t>
            </w:r>
          </w:p>
        </w:tc>
        <w:tc>
          <w:tcPr>
            <w:tcW w:w="9080" w:type="dxa"/>
            <w:vAlign w:val="bottom"/>
            <w:gridSpan w:val="11"/>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5"/>
                <w:szCs w:val="15"/>
                <w:color w:val="0000EE"/>
              </w:rPr>
              <w:t>1</w:t>
            </w:r>
          </w:p>
        </w:tc>
      </w:tr>
      <w:tr>
        <w:trPr>
          <w:trHeight w:val="20"/>
        </w:trPr>
        <w:tc>
          <w:tcPr>
            <w:tcW w:w="7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74"/>
        </w:trPr>
        <w:tc>
          <w:tcPr>
            <w:tcW w:w="1100" w:type="dxa"/>
            <w:vAlign w:val="bottom"/>
            <w:gridSpan w:val="2"/>
          </w:tcPr>
          <w:p>
            <w:pPr>
              <w:spacing w:after="0"/>
              <w:rPr>
                <w:sz w:val="20"/>
                <w:szCs w:val="20"/>
                <w:color w:val="auto"/>
              </w:rPr>
            </w:pPr>
            <w:r>
              <w:rPr>
                <w:rFonts w:ascii="Arial" w:cs="Arial" w:eastAsia="Arial" w:hAnsi="Arial"/>
                <w:sz w:val="15"/>
                <w:szCs w:val="15"/>
                <w:color w:val="0000EE"/>
                <w:w w:val="93"/>
              </w:rPr>
              <w:t>OUR COMPANY</w:t>
            </w:r>
          </w:p>
        </w:tc>
        <w:tc>
          <w:tcPr>
            <w:tcW w:w="900" w:type="dxa"/>
            <w:vAlign w:val="bottom"/>
            <w:gridSpan w:val="6"/>
          </w:tcPr>
          <w:p>
            <w:pPr>
              <w:spacing w:after="0"/>
              <w:rPr>
                <w:sz w:val="15"/>
                <w:szCs w:val="15"/>
                <w:color w:val="auto"/>
              </w:rPr>
            </w:pPr>
          </w:p>
        </w:tc>
        <w:tc>
          <w:tcPr>
            <w:tcW w:w="9080" w:type="dxa"/>
            <w:vAlign w:val="bottom"/>
            <w:gridSpan w:val="11"/>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5"/>
                <w:szCs w:val="15"/>
                <w:color w:val="0000EE"/>
              </w:rPr>
              <w:t>3</w:t>
            </w:r>
          </w:p>
        </w:tc>
      </w:tr>
      <w:tr>
        <w:trPr>
          <w:trHeight w:val="20"/>
        </w:trPr>
        <w:tc>
          <w:tcPr>
            <w:tcW w:w="7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74"/>
        </w:trPr>
        <w:tc>
          <w:tcPr>
            <w:tcW w:w="1100" w:type="dxa"/>
            <w:vAlign w:val="bottom"/>
            <w:gridSpan w:val="2"/>
          </w:tcPr>
          <w:p>
            <w:pPr>
              <w:spacing w:after="0"/>
              <w:rPr>
                <w:sz w:val="20"/>
                <w:szCs w:val="20"/>
                <w:color w:val="auto"/>
              </w:rPr>
            </w:pPr>
            <w:r>
              <w:rPr>
                <w:rFonts w:ascii="Arial" w:cs="Arial" w:eastAsia="Arial" w:hAnsi="Arial"/>
                <w:sz w:val="15"/>
                <w:szCs w:val="15"/>
                <w:color w:val="0000EE"/>
                <w:w w:val="95"/>
              </w:rPr>
              <w:t>RISK FACTORS</w:t>
            </w:r>
          </w:p>
        </w:tc>
        <w:tc>
          <w:tcPr>
            <w:tcW w:w="9980" w:type="dxa"/>
            <w:vAlign w:val="bottom"/>
            <w:gridSpan w:val="17"/>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5"/>
                <w:szCs w:val="15"/>
                <w:color w:val="0000EE"/>
              </w:rPr>
              <w:t>5</w:t>
            </w:r>
          </w:p>
        </w:tc>
      </w:tr>
      <w:tr>
        <w:trPr>
          <w:trHeight w:val="20"/>
        </w:trPr>
        <w:tc>
          <w:tcPr>
            <w:tcW w:w="7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74"/>
        </w:trPr>
        <w:tc>
          <w:tcPr>
            <w:tcW w:w="11080" w:type="dxa"/>
            <w:vAlign w:val="bottom"/>
            <w:gridSpan w:val="19"/>
          </w:tcPr>
          <w:p>
            <w:pPr>
              <w:spacing w:after="0"/>
              <w:rPr>
                <w:sz w:val="20"/>
                <w:szCs w:val="20"/>
                <w:color w:val="auto"/>
              </w:rPr>
            </w:pPr>
            <w:r>
              <w:rPr>
                <w:rFonts w:ascii="Arial" w:cs="Arial" w:eastAsia="Arial" w:hAnsi="Arial"/>
                <w:sz w:val="15"/>
                <w:szCs w:val="15"/>
                <w:color w:val="0000EE"/>
              </w:rPr>
              <w:t>CAUTIONARY STATEMENT REGARDING FORWARD-LOOKING STATEMENTS</w:t>
            </w:r>
          </w:p>
        </w:tc>
        <w:tc>
          <w:tcPr>
            <w:tcW w:w="180" w:type="dxa"/>
            <w:vAlign w:val="bottom"/>
            <w:gridSpan w:val="2"/>
          </w:tcPr>
          <w:p>
            <w:pPr>
              <w:jc w:val="right"/>
              <w:spacing w:after="0"/>
              <w:rPr>
                <w:sz w:val="20"/>
                <w:szCs w:val="20"/>
                <w:color w:val="auto"/>
              </w:rPr>
            </w:pPr>
            <w:r>
              <w:rPr>
                <w:rFonts w:ascii="Arial" w:cs="Arial" w:eastAsia="Arial" w:hAnsi="Arial"/>
                <w:sz w:val="15"/>
                <w:szCs w:val="15"/>
                <w:color w:val="0000EE"/>
              </w:rPr>
              <w:t>5</w:t>
            </w:r>
          </w:p>
        </w:tc>
      </w:tr>
      <w:tr>
        <w:trPr>
          <w:trHeight w:val="20"/>
        </w:trPr>
        <w:tc>
          <w:tcPr>
            <w:tcW w:w="7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74"/>
        </w:trPr>
        <w:tc>
          <w:tcPr>
            <w:tcW w:w="1460" w:type="dxa"/>
            <w:vAlign w:val="bottom"/>
            <w:gridSpan w:val="5"/>
          </w:tcPr>
          <w:p>
            <w:pPr>
              <w:spacing w:after="0"/>
              <w:rPr>
                <w:sz w:val="20"/>
                <w:szCs w:val="20"/>
                <w:color w:val="auto"/>
              </w:rPr>
            </w:pPr>
            <w:r>
              <w:rPr>
                <w:rFonts w:ascii="Arial" w:cs="Arial" w:eastAsia="Arial" w:hAnsi="Arial"/>
                <w:sz w:val="15"/>
                <w:szCs w:val="15"/>
                <w:color w:val="0000EE"/>
                <w:w w:val="99"/>
              </w:rPr>
              <w:t>USE OF PROCEEDS</w:t>
            </w:r>
          </w:p>
        </w:tc>
        <w:tc>
          <w:tcPr>
            <w:tcW w:w="4040" w:type="dxa"/>
            <w:vAlign w:val="bottom"/>
            <w:gridSpan w:val="13"/>
          </w:tcPr>
          <w:p>
            <w:pPr>
              <w:spacing w:after="0"/>
              <w:rPr>
                <w:sz w:val="15"/>
                <w:szCs w:val="15"/>
                <w:color w:val="auto"/>
              </w:rPr>
            </w:pPr>
          </w:p>
        </w:tc>
        <w:tc>
          <w:tcPr>
            <w:tcW w:w="558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5"/>
                <w:szCs w:val="15"/>
                <w:color w:val="0000EE"/>
              </w:rPr>
              <w:t>6</w:t>
            </w:r>
          </w:p>
        </w:tc>
      </w:tr>
      <w:tr>
        <w:trPr>
          <w:trHeight w:val="20"/>
        </w:trPr>
        <w:tc>
          <w:tcPr>
            <w:tcW w:w="7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74"/>
        </w:trPr>
        <w:tc>
          <w:tcPr>
            <w:tcW w:w="1320" w:type="dxa"/>
            <w:vAlign w:val="bottom"/>
            <w:gridSpan w:val="4"/>
          </w:tcPr>
          <w:p>
            <w:pPr>
              <w:spacing w:after="0"/>
              <w:rPr>
                <w:sz w:val="20"/>
                <w:szCs w:val="20"/>
                <w:color w:val="auto"/>
              </w:rPr>
            </w:pPr>
            <w:r>
              <w:rPr>
                <w:rFonts w:ascii="Arial" w:cs="Arial" w:eastAsia="Arial" w:hAnsi="Arial"/>
                <w:sz w:val="15"/>
                <w:szCs w:val="15"/>
                <w:color w:val="0000EE"/>
                <w:w w:val="99"/>
              </w:rPr>
              <w:t>DIVIDEND POLICY</w:t>
            </w:r>
          </w:p>
        </w:tc>
        <w:tc>
          <w:tcPr>
            <w:tcW w:w="140" w:type="dxa"/>
            <w:vAlign w:val="bottom"/>
          </w:tcPr>
          <w:p>
            <w:pPr>
              <w:spacing w:after="0"/>
              <w:rPr>
                <w:sz w:val="15"/>
                <w:szCs w:val="15"/>
                <w:color w:val="auto"/>
              </w:rPr>
            </w:pPr>
          </w:p>
        </w:tc>
        <w:tc>
          <w:tcPr>
            <w:tcW w:w="9620" w:type="dxa"/>
            <w:vAlign w:val="bottom"/>
            <w:gridSpan w:val="14"/>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5"/>
                <w:szCs w:val="15"/>
                <w:color w:val="0000EE"/>
              </w:rPr>
              <w:t>6</w:t>
            </w:r>
          </w:p>
        </w:tc>
      </w:tr>
      <w:tr>
        <w:trPr>
          <w:trHeight w:val="20"/>
        </w:trPr>
        <w:tc>
          <w:tcPr>
            <w:tcW w:w="7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74"/>
        </w:trPr>
        <w:tc>
          <w:tcPr>
            <w:tcW w:w="5000" w:type="dxa"/>
            <w:vAlign w:val="bottom"/>
            <w:gridSpan w:val="17"/>
          </w:tcPr>
          <w:p>
            <w:pPr>
              <w:spacing w:after="0"/>
              <w:rPr>
                <w:sz w:val="20"/>
                <w:szCs w:val="20"/>
                <w:color w:val="auto"/>
              </w:rPr>
            </w:pPr>
            <w:r>
              <w:rPr>
                <w:rFonts w:ascii="Arial" w:cs="Arial" w:eastAsia="Arial" w:hAnsi="Arial"/>
                <w:sz w:val="15"/>
                <w:szCs w:val="15"/>
                <w:color w:val="0000EE"/>
              </w:rPr>
              <w:t>DESCRIPTION OF SHARE CAPITAL AND ARTICLES OF ASSOCIATION</w:t>
            </w:r>
          </w:p>
        </w:tc>
        <w:tc>
          <w:tcPr>
            <w:tcW w:w="6080" w:type="dxa"/>
            <w:vAlign w:val="bottom"/>
            <w:gridSpan w:val="2"/>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5"/>
                <w:szCs w:val="15"/>
                <w:color w:val="0000EE"/>
              </w:rPr>
              <w:t>7</w:t>
            </w:r>
          </w:p>
        </w:tc>
      </w:tr>
      <w:tr>
        <w:trPr>
          <w:trHeight w:val="20"/>
        </w:trPr>
        <w:tc>
          <w:tcPr>
            <w:tcW w:w="7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74"/>
        </w:trPr>
        <w:tc>
          <w:tcPr>
            <w:tcW w:w="2700" w:type="dxa"/>
            <w:vAlign w:val="bottom"/>
            <w:tcBorders>
              <w:bottom w:val="single" w:sz="8" w:color="0000EE"/>
            </w:tcBorders>
            <w:gridSpan w:val="11"/>
          </w:tcPr>
          <w:p>
            <w:pPr>
              <w:spacing w:after="0"/>
              <w:rPr>
                <w:sz w:val="20"/>
                <w:szCs w:val="20"/>
                <w:color w:val="auto"/>
              </w:rPr>
            </w:pPr>
            <w:r>
              <w:rPr>
                <w:rFonts w:ascii="Arial" w:cs="Arial" w:eastAsia="Arial" w:hAnsi="Arial"/>
                <w:sz w:val="15"/>
                <w:szCs w:val="15"/>
                <w:color w:val="0000EE"/>
              </w:rPr>
              <w:t>DESCRIPTION OF DEBT SECURITIES</w:t>
            </w:r>
          </w:p>
        </w:tc>
        <w:tc>
          <w:tcPr>
            <w:tcW w:w="2300" w:type="dxa"/>
            <w:vAlign w:val="bottom"/>
            <w:gridSpan w:val="6"/>
          </w:tcPr>
          <w:p>
            <w:pPr>
              <w:spacing w:after="0"/>
              <w:rPr>
                <w:sz w:val="15"/>
                <w:szCs w:val="15"/>
                <w:color w:val="auto"/>
              </w:rPr>
            </w:pPr>
          </w:p>
        </w:tc>
        <w:tc>
          <w:tcPr>
            <w:tcW w:w="6080" w:type="dxa"/>
            <w:vAlign w:val="bottom"/>
            <w:gridSpan w:val="2"/>
          </w:tcPr>
          <w:p>
            <w:pPr>
              <w:spacing w:after="0"/>
              <w:rPr>
                <w:sz w:val="15"/>
                <w:szCs w:val="15"/>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5"/>
                <w:szCs w:val="15"/>
                <w:color w:val="0000EE"/>
                <w:w w:val="95"/>
              </w:rPr>
              <w:t>17</w:t>
            </w:r>
          </w:p>
        </w:tc>
      </w:tr>
      <w:tr>
        <w:trPr>
          <w:trHeight w:val="174"/>
        </w:trPr>
        <w:tc>
          <w:tcPr>
            <w:tcW w:w="2200" w:type="dxa"/>
            <w:vAlign w:val="bottom"/>
            <w:tcBorders>
              <w:bottom w:val="single" w:sz="8" w:color="0000EE"/>
            </w:tcBorders>
            <w:gridSpan w:val="9"/>
          </w:tcPr>
          <w:p>
            <w:pPr>
              <w:spacing w:after="0"/>
              <w:rPr>
                <w:sz w:val="20"/>
                <w:szCs w:val="20"/>
                <w:color w:val="auto"/>
              </w:rPr>
            </w:pPr>
            <w:r>
              <w:rPr>
                <w:rFonts w:ascii="Arial" w:cs="Arial" w:eastAsia="Arial" w:hAnsi="Arial"/>
                <w:sz w:val="15"/>
                <w:szCs w:val="15"/>
                <w:color w:val="0000EE"/>
              </w:rPr>
              <w:t>DESCRIPTION OF WARRANTS</w:t>
            </w:r>
          </w:p>
        </w:tc>
        <w:tc>
          <w:tcPr>
            <w:tcW w:w="8880" w:type="dxa"/>
            <w:vAlign w:val="bottom"/>
            <w:gridSpan w:val="10"/>
          </w:tcPr>
          <w:p>
            <w:pPr>
              <w:spacing w:after="0"/>
              <w:rPr>
                <w:sz w:val="15"/>
                <w:szCs w:val="15"/>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5"/>
                <w:szCs w:val="15"/>
                <w:color w:val="0000EE"/>
                <w:w w:val="95"/>
              </w:rPr>
              <w:t>19</w:t>
            </w:r>
          </w:p>
        </w:tc>
      </w:tr>
      <w:tr>
        <w:trPr>
          <w:trHeight w:val="174"/>
        </w:trPr>
        <w:tc>
          <w:tcPr>
            <w:tcW w:w="11080" w:type="dxa"/>
            <w:vAlign w:val="bottom"/>
            <w:gridSpan w:val="19"/>
          </w:tcPr>
          <w:p>
            <w:pPr>
              <w:spacing w:after="0"/>
              <w:rPr>
                <w:sz w:val="20"/>
                <w:szCs w:val="20"/>
                <w:color w:val="auto"/>
              </w:rPr>
            </w:pPr>
            <w:r>
              <w:rPr>
                <w:rFonts w:ascii="Arial" w:cs="Arial" w:eastAsia="Arial" w:hAnsi="Arial"/>
                <w:sz w:val="15"/>
                <w:szCs w:val="15"/>
                <w:color w:val="0000EE"/>
              </w:rPr>
              <w:t>DESCRIPTION OF SUBSCRIPTION RIGHTS</w:t>
            </w:r>
          </w:p>
        </w:tc>
        <w:tc>
          <w:tcPr>
            <w:tcW w:w="180" w:type="dxa"/>
            <w:vAlign w:val="bottom"/>
            <w:gridSpan w:val="2"/>
          </w:tcPr>
          <w:p>
            <w:pPr>
              <w:jc w:val="right"/>
              <w:spacing w:after="0"/>
              <w:rPr>
                <w:sz w:val="20"/>
                <w:szCs w:val="20"/>
                <w:color w:val="auto"/>
              </w:rPr>
            </w:pPr>
            <w:r>
              <w:rPr>
                <w:rFonts w:ascii="Arial" w:cs="Arial" w:eastAsia="Arial" w:hAnsi="Arial"/>
                <w:sz w:val="15"/>
                <w:szCs w:val="15"/>
                <w:color w:val="0000EE"/>
                <w:w w:val="95"/>
              </w:rPr>
              <w:t>20</w:t>
            </w:r>
          </w:p>
        </w:tc>
      </w:tr>
      <w:tr>
        <w:trPr>
          <w:trHeight w:val="20"/>
        </w:trPr>
        <w:tc>
          <w:tcPr>
            <w:tcW w:w="7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54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74"/>
        </w:trPr>
        <w:tc>
          <w:tcPr>
            <w:tcW w:w="11080" w:type="dxa"/>
            <w:vAlign w:val="bottom"/>
            <w:gridSpan w:val="19"/>
          </w:tcPr>
          <w:p>
            <w:pPr>
              <w:spacing w:after="0"/>
              <w:rPr>
                <w:sz w:val="20"/>
                <w:szCs w:val="20"/>
                <w:color w:val="auto"/>
              </w:rPr>
            </w:pPr>
            <w:r>
              <w:rPr>
                <w:rFonts w:ascii="Arial" w:cs="Arial" w:eastAsia="Arial" w:hAnsi="Arial"/>
                <w:sz w:val="15"/>
                <w:szCs w:val="15"/>
                <w:color w:val="0000EE"/>
              </w:rPr>
              <w:t>DESCRIPTION OF PURCHASE CONTRACTS</w:t>
            </w:r>
          </w:p>
        </w:tc>
        <w:tc>
          <w:tcPr>
            <w:tcW w:w="180" w:type="dxa"/>
            <w:vAlign w:val="bottom"/>
            <w:gridSpan w:val="2"/>
          </w:tcPr>
          <w:p>
            <w:pPr>
              <w:jc w:val="right"/>
              <w:spacing w:after="0"/>
              <w:rPr>
                <w:sz w:val="20"/>
                <w:szCs w:val="20"/>
                <w:color w:val="auto"/>
              </w:rPr>
            </w:pPr>
            <w:r>
              <w:rPr>
                <w:rFonts w:ascii="Arial" w:cs="Arial" w:eastAsia="Arial" w:hAnsi="Arial"/>
                <w:sz w:val="15"/>
                <w:szCs w:val="15"/>
                <w:color w:val="0000EE"/>
                <w:w w:val="95"/>
              </w:rPr>
              <w:t>21</w:t>
            </w:r>
          </w:p>
        </w:tc>
      </w:tr>
      <w:tr>
        <w:trPr>
          <w:trHeight w:val="174"/>
        </w:trPr>
        <w:tc>
          <w:tcPr>
            <w:tcW w:w="3160" w:type="dxa"/>
            <w:vAlign w:val="bottom"/>
            <w:tcBorders>
              <w:top w:val="single" w:sz="8" w:color="0000EE"/>
            </w:tcBorders>
            <w:gridSpan w:val="14"/>
          </w:tcPr>
          <w:p>
            <w:pPr>
              <w:spacing w:after="0"/>
              <w:rPr>
                <w:sz w:val="20"/>
                <w:szCs w:val="20"/>
                <w:color w:val="auto"/>
              </w:rPr>
            </w:pPr>
            <w:r>
              <w:rPr>
                <w:rFonts w:ascii="Arial" w:cs="Arial" w:eastAsia="Arial" w:hAnsi="Arial"/>
                <w:sz w:val="15"/>
                <w:szCs w:val="15"/>
                <w:color w:val="0000EE"/>
              </w:rPr>
              <w:t>DESCRIPTION OF UNITS</w:t>
            </w:r>
          </w:p>
        </w:tc>
        <w:tc>
          <w:tcPr>
            <w:tcW w:w="7920" w:type="dxa"/>
            <w:vAlign w:val="bottom"/>
            <w:gridSpan w:val="5"/>
          </w:tcPr>
          <w:p>
            <w:pPr>
              <w:spacing w:after="0"/>
              <w:rPr>
                <w:sz w:val="15"/>
                <w:szCs w:val="15"/>
                <w:color w:val="auto"/>
              </w:rPr>
            </w:pPr>
          </w:p>
        </w:tc>
        <w:tc>
          <w:tcPr>
            <w:tcW w:w="180" w:type="dxa"/>
            <w:vAlign w:val="bottom"/>
            <w:tcBorders>
              <w:top w:val="single" w:sz="8" w:color="0000EE"/>
            </w:tcBorders>
            <w:gridSpan w:val="2"/>
          </w:tcPr>
          <w:p>
            <w:pPr>
              <w:jc w:val="right"/>
              <w:spacing w:after="0"/>
              <w:rPr>
                <w:sz w:val="20"/>
                <w:szCs w:val="20"/>
                <w:color w:val="auto"/>
              </w:rPr>
            </w:pPr>
            <w:r>
              <w:rPr>
                <w:rFonts w:ascii="Arial" w:cs="Arial" w:eastAsia="Arial" w:hAnsi="Arial"/>
                <w:sz w:val="15"/>
                <w:szCs w:val="15"/>
                <w:color w:val="0000EE"/>
                <w:w w:val="95"/>
              </w:rPr>
              <w:t>22</w:t>
            </w:r>
          </w:p>
        </w:tc>
      </w:tr>
      <w:tr>
        <w:trPr>
          <w:trHeight w:val="174"/>
        </w:trPr>
        <w:tc>
          <w:tcPr>
            <w:tcW w:w="176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5"/>
                <w:szCs w:val="15"/>
                <w:color w:val="0000EE"/>
              </w:rPr>
              <w:t>FORMS OF SECURITIES</w:t>
            </w:r>
          </w:p>
        </w:tc>
        <w:tc>
          <w:tcPr>
            <w:tcW w:w="20" w:type="dxa"/>
            <w:vAlign w:val="bottom"/>
            <w:tcBorders>
              <w:top w:val="single" w:sz="8" w:color="0000EE"/>
            </w:tcBorders>
          </w:tcPr>
          <w:p>
            <w:pPr>
              <w:spacing w:after="0"/>
              <w:rPr>
                <w:sz w:val="15"/>
                <w:szCs w:val="15"/>
                <w:color w:val="auto"/>
              </w:rPr>
            </w:pPr>
          </w:p>
        </w:tc>
        <w:tc>
          <w:tcPr>
            <w:tcW w:w="9300" w:type="dxa"/>
            <w:vAlign w:val="bottom"/>
            <w:gridSpan w:val="12"/>
          </w:tcPr>
          <w:p>
            <w:pPr>
              <w:spacing w:after="0"/>
              <w:rPr>
                <w:sz w:val="15"/>
                <w:szCs w:val="15"/>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Arial" w:cs="Arial" w:eastAsia="Arial" w:hAnsi="Arial"/>
                <w:sz w:val="15"/>
                <w:szCs w:val="15"/>
                <w:color w:val="0000EE"/>
                <w:w w:val="95"/>
              </w:rPr>
              <w:t>23</w:t>
            </w:r>
          </w:p>
        </w:tc>
      </w:tr>
      <w:tr>
        <w:trPr>
          <w:trHeight w:val="174"/>
        </w:trPr>
        <w:tc>
          <w:tcPr>
            <w:tcW w:w="1760" w:type="dxa"/>
            <w:vAlign w:val="bottom"/>
            <w:tcBorders>
              <w:bottom w:val="single" w:sz="8" w:color="0000EE"/>
            </w:tcBorders>
            <w:gridSpan w:val="6"/>
          </w:tcPr>
          <w:p>
            <w:pPr>
              <w:spacing w:after="0"/>
              <w:rPr>
                <w:sz w:val="20"/>
                <w:szCs w:val="20"/>
                <w:color w:val="auto"/>
              </w:rPr>
            </w:pPr>
            <w:r>
              <w:rPr>
                <w:rFonts w:ascii="Arial" w:cs="Arial" w:eastAsia="Arial" w:hAnsi="Arial"/>
                <w:sz w:val="15"/>
                <w:szCs w:val="15"/>
                <w:color w:val="0000EE"/>
                <w:w w:val="99"/>
              </w:rPr>
              <w:t>PLAN OF DISTRIBUTION</w:t>
            </w:r>
          </w:p>
        </w:tc>
        <w:tc>
          <w:tcPr>
            <w:tcW w:w="9320" w:type="dxa"/>
            <w:vAlign w:val="bottom"/>
            <w:gridSpan w:val="13"/>
          </w:tcPr>
          <w:p>
            <w:pPr>
              <w:spacing w:after="0"/>
              <w:rPr>
                <w:sz w:val="15"/>
                <w:szCs w:val="15"/>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5"/>
                <w:szCs w:val="15"/>
                <w:color w:val="0000EE"/>
                <w:w w:val="95"/>
              </w:rPr>
              <w:t>25</w:t>
            </w:r>
          </w:p>
        </w:tc>
      </w:tr>
      <w:tr>
        <w:trPr>
          <w:trHeight w:val="174"/>
        </w:trPr>
        <w:tc>
          <w:tcPr>
            <w:tcW w:w="11080" w:type="dxa"/>
            <w:vAlign w:val="bottom"/>
            <w:gridSpan w:val="19"/>
          </w:tcPr>
          <w:p>
            <w:pPr>
              <w:spacing w:after="0"/>
              <w:rPr>
                <w:sz w:val="20"/>
                <w:szCs w:val="20"/>
                <w:color w:val="auto"/>
              </w:rPr>
            </w:pPr>
            <w:r>
              <w:rPr>
                <w:rFonts w:ascii="Arial" w:cs="Arial" w:eastAsia="Arial" w:hAnsi="Arial"/>
                <w:sz w:val="15"/>
                <w:szCs w:val="15"/>
                <w:color w:val="0000EE"/>
              </w:rPr>
              <w:t>EXPENSES OF THE OFFERING</w:t>
            </w:r>
          </w:p>
        </w:tc>
        <w:tc>
          <w:tcPr>
            <w:tcW w:w="180" w:type="dxa"/>
            <w:vAlign w:val="bottom"/>
            <w:gridSpan w:val="2"/>
          </w:tcPr>
          <w:p>
            <w:pPr>
              <w:jc w:val="right"/>
              <w:spacing w:after="0"/>
              <w:rPr>
                <w:sz w:val="20"/>
                <w:szCs w:val="20"/>
                <w:color w:val="auto"/>
              </w:rPr>
            </w:pPr>
            <w:r>
              <w:rPr>
                <w:rFonts w:ascii="Arial" w:cs="Arial" w:eastAsia="Arial" w:hAnsi="Arial"/>
                <w:sz w:val="15"/>
                <w:szCs w:val="15"/>
                <w:color w:val="0000EE"/>
                <w:w w:val="95"/>
              </w:rPr>
              <w:t>27</w:t>
            </w:r>
          </w:p>
        </w:tc>
      </w:tr>
      <w:tr>
        <w:trPr>
          <w:trHeight w:val="174"/>
        </w:trPr>
        <w:tc>
          <w:tcPr>
            <w:tcW w:w="2240" w:type="dxa"/>
            <w:vAlign w:val="bottom"/>
            <w:tcBorders>
              <w:top w:val="single" w:sz="8" w:color="0000EE"/>
            </w:tcBorders>
            <w:gridSpan w:val="10"/>
          </w:tcPr>
          <w:p>
            <w:pPr>
              <w:spacing w:after="0"/>
              <w:rPr>
                <w:sz w:val="20"/>
                <w:szCs w:val="20"/>
                <w:color w:val="auto"/>
              </w:rPr>
            </w:pPr>
            <w:r>
              <w:rPr>
                <w:rFonts w:ascii="Arial" w:cs="Arial" w:eastAsia="Arial" w:hAnsi="Arial"/>
                <w:sz w:val="15"/>
                <w:szCs w:val="15"/>
                <w:color w:val="0000EE"/>
              </w:rPr>
              <w:t>LEGAL MATTERS</w:t>
            </w:r>
          </w:p>
        </w:tc>
        <w:tc>
          <w:tcPr>
            <w:tcW w:w="8840" w:type="dxa"/>
            <w:vAlign w:val="bottom"/>
            <w:gridSpan w:val="9"/>
          </w:tcPr>
          <w:p>
            <w:pPr>
              <w:spacing w:after="0"/>
              <w:rPr>
                <w:sz w:val="15"/>
                <w:szCs w:val="15"/>
                <w:color w:val="auto"/>
              </w:rPr>
            </w:pPr>
          </w:p>
        </w:tc>
        <w:tc>
          <w:tcPr>
            <w:tcW w:w="180" w:type="dxa"/>
            <w:vAlign w:val="bottom"/>
            <w:tcBorders>
              <w:top w:val="single" w:sz="8" w:color="0000EE"/>
            </w:tcBorders>
            <w:gridSpan w:val="2"/>
          </w:tcPr>
          <w:p>
            <w:pPr>
              <w:jc w:val="right"/>
              <w:spacing w:after="0"/>
              <w:rPr>
                <w:sz w:val="20"/>
                <w:szCs w:val="20"/>
                <w:color w:val="auto"/>
              </w:rPr>
            </w:pPr>
            <w:r>
              <w:rPr>
                <w:rFonts w:ascii="Arial" w:cs="Arial" w:eastAsia="Arial" w:hAnsi="Arial"/>
                <w:sz w:val="15"/>
                <w:szCs w:val="15"/>
                <w:color w:val="0000EE"/>
                <w:w w:val="95"/>
              </w:rPr>
              <w:t>28</w:t>
            </w:r>
          </w:p>
        </w:tc>
      </w:tr>
      <w:tr>
        <w:trPr>
          <w:trHeight w:val="174"/>
        </w:trPr>
        <w:tc>
          <w:tcPr>
            <w:tcW w:w="70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5"/>
                <w:szCs w:val="15"/>
                <w:color w:val="0000EE"/>
                <w:w w:val="97"/>
              </w:rPr>
              <w:t>EXPERTS</w:t>
            </w:r>
          </w:p>
        </w:tc>
        <w:tc>
          <w:tcPr>
            <w:tcW w:w="540" w:type="dxa"/>
            <w:vAlign w:val="bottom"/>
            <w:tcBorders>
              <w:top w:val="single" w:sz="8" w:color="0000EE"/>
            </w:tcBorders>
            <w:gridSpan w:val="2"/>
          </w:tcPr>
          <w:p>
            <w:pPr>
              <w:spacing w:after="0"/>
              <w:rPr>
                <w:sz w:val="15"/>
                <w:szCs w:val="15"/>
                <w:color w:val="auto"/>
              </w:rPr>
            </w:pPr>
          </w:p>
        </w:tc>
        <w:tc>
          <w:tcPr>
            <w:tcW w:w="9840" w:type="dxa"/>
            <w:vAlign w:val="bottom"/>
            <w:gridSpan w:val="16"/>
          </w:tcPr>
          <w:p>
            <w:pPr>
              <w:spacing w:after="0"/>
              <w:rPr>
                <w:sz w:val="15"/>
                <w:szCs w:val="15"/>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Arial" w:cs="Arial" w:eastAsia="Arial" w:hAnsi="Arial"/>
                <w:sz w:val="15"/>
                <w:szCs w:val="15"/>
                <w:color w:val="0000EE"/>
                <w:w w:val="95"/>
              </w:rPr>
              <w:t>28</w:t>
            </w:r>
          </w:p>
        </w:tc>
      </w:tr>
      <w:tr>
        <w:trPr>
          <w:trHeight w:val="174"/>
        </w:trPr>
        <w:tc>
          <w:tcPr>
            <w:tcW w:w="11080" w:type="dxa"/>
            <w:vAlign w:val="bottom"/>
            <w:gridSpan w:val="19"/>
          </w:tcPr>
          <w:p>
            <w:pPr>
              <w:spacing w:after="0"/>
              <w:rPr>
                <w:sz w:val="20"/>
                <w:szCs w:val="20"/>
                <w:color w:val="auto"/>
              </w:rPr>
            </w:pPr>
            <w:r>
              <w:rPr>
                <w:rFonts w:ascii="Arial" w:cs="Arial" w:eastAsia="Arial" w:hAnsi="Arial"/>
                <w:sz w:val="15"/>
                <w:szCs w:val="15"/>
                <w:color w:val="0000EE"/>
              </w:rPr>
              <w:t>ENFORCEMENT OF CIVIL LIABILITIES</w:t>
            </w:r>
          </w:p>
        </w:tc>
        <w:tc>
          <w:tcPr>
            <w:tcW w:w="180" w:type="dxa"/>
            <w:vAlign w:val="bottom"/>
            <w:gridSpan w:val="2"/>
          </w:tcPr>
          <w:p>
            <w:pPr>
              <w:jc w:val="right"/>
              <w:spacing w:after="0"/>
              <w:rPr>
                <w:sz w:val="20"/>
                <w:szCs w:val="20"/>
                <w:color w:val="auto"/>
              </w:rPr>
            </w:pPr>
            <w:r>
              <w:rPr>
                <w:rFonts w:ascii="Arial" w:cs="Arial" w:eastAsia="Arial" w:hAnsi="Arial"/>
                <w:sz w:val="15"/>
                <w:szCs w:val="15"/>
                <w:color w:val="0000EE"/>
                <w:w w:val="95"/>
              </w:rPr>
              <w:t>29</w:t>
            </w:r>
          </w:p>
        </w:tc>
      </w:tr>
      <w:tr>
        <w:trPr>
          <w:trHeight w:val="20"/>
        </w:trPr>
        <w:tc>
          <w:tcPr>
            <w:tcW w:w="2720" w:type="dxa"/>
            <w:vAlign w:val="bottom"/>
            <w:gridSpan w:val="12"/>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54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74"/>
        </w:trPr>
        <w:tc>
          <w:tcPr>
            <w:tcW w:w="11080" w:type="dxa"/>
            <w:vAlign w:val="bottom"/>
            <w:gridSpan w:val="19"/>
          </w:tcPr>
          <w:p>
            <w:pPr>
              <w:spacing w:after="0"/>
              <w:rPr>
                <w:sz w:val="20"/>
                <w:szCs w:val="20"/>
                <w:color w:val="auto"/>
              </w:rPr>
            </w:pPr>
            <w:r>
              <w:rPr>
                <w:rFonts w:ascii="Arial" w:cs="Arial" w:eastAsia="Arial" w:hAnsi="Arial"/>
                <w:sz w:val="15"/>
                <w:szCs w:val="15"/>
                <w:color w:val="0000EE"/>
              </w:rPr>
              <w:t>WHERE YOU CAN FIND MORE INFORMATION</w:t>
            </w:r>
          </w:p>
        </w:tc>
        <w:tc>
          <w:tcPr>
            <w:tcW w:w="180" w:type="dxa"/>
            <w:vAlign w:val="bottom"/>
            <w:gridSpan w:val="2"/>
          </w:tcPr>
          <w:p>
            <w:pPr>
              <w:jc w:val="right"/>
              <w:spacing w:after="0"/>
              <w:rPr>
                <w:sz w:val="20"/>
                <w:szCs w:val="20"/>
                <w:color w:val="auto"/>
              </w:rPr>
            </w:pPr>
            <w:r>
              <w:rPr>
                <w:rFonts w:ascii="Arial" w:cs="Arial" w:eastAsia="Arial" w:hAnsi="Arial"/>
                <w:sz w:val="15"/>
                <w:szCs w:val="15"/>
                <w:color w:val="0000EE"/>
                <w:w w:val="95"/>
              </w:rPr>
              <w:t>30</w:t>
            </w:r>
          </w:p>
        </w:tc>
      </w:tr>
      <w:tr>
        <w:trPr>
          <w:trHeight w:val="20"/>
        </w:trPr>
        <w:tc>
          <w:tcPr>
            <w:tcW w:w="3280" w:type="dxa"/>
            <w:vAlign w:val="bottom"/>
            <w:gridSpan w:val="15"/>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54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74"/>
        </w:trPr>
        <w:tc>
          <w:tcPr>
            <w:tcW w:w="3540" w:type="dxa"/>
            <w:vAlign w:val="bottom"/>
            <w:tcBorders>
              <w:bottom w:val="single" w:sz="8" w:color="0000EE"/>
            </w:tcBorders>
            <w:gridSpan w:val="16"/>
          </w:tcPr>
          <w:p>
            <w:pPr>
              <w:spacing w:after="0"/>
              <w:rPr>
                <w:sz w:val="20"/>
                <w:szCs w:val="20"/>
                <w:color w:val="auto"/>
              </w:rPr>
            </w:pPr>
            <w:r>
              <w:rPr>
                <w:rFonts w:ascii="Arial" w:cs="Arial" w:eastAsia="Arial" w:hAnsi="Arial"/>
                <w:sz w:val="15"/>
                <w:szCs w:val="15"/>
                <w:color w:val="0000EE"/>
              </w:rPr>
              <w:t>INFORMATION INCORPORATED BY REFERENCE</w:t>
            </w:r>
          </w:p>
        </w:tc>
        <w:tc>
          <w:tcPr>
            <w:tcW w:w="7540" w:type="dxa"/>
            <w:vAlign w:val="bottom"/>
            <w:gridSpan w:val="3"/>
          </w:tcPr>
          <w:p>
            <w:pPr>
              <w:spacing w:after="0"/>
              <w:rPr>
                <w:sz w:val="15"/>
                <w:szCs w:val="15"/>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5"/>
                <w:szCs w:val="15"/>
                <w:color w:val="0000EE"/>
                <w:w w:val="95"/>
              </w:rPr>
              <w:t>31</w:t>
            </w:r>
          </w:p>
        </w:tc>
      </w:tr>
    </w:tbl>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60"/>
          </w:cols>
          <w:pgMar w:left="320" w:top="479" w:right="319" w:bottom="1440" w:gutter="0" w:footer="0" w:header="0"/>
        </w:sectPr>
      </w:pPr>
    </w:p>
    <w:bookmarkStart w:id="4" w:name="page5"/>
    <w:bookmarkEnd w:id="4"/>
    <w:p>
      <w:pPr>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ABOUT THIS PROSPECTUS</w:t>
      </w:r>
    </w:p>
    <w:p>
      <w:pPr>
        <w:spacing w:after="0" w:line="170" w:lineRule="exact"/>
        <w:rPr>
          <w:sz w:val="20"/>
          <w:szCs w:val="20"/>
          <w:color w:val="auto"/>
        </w:rPr>
      </w:pPr>
    </w:p>
    <w:p>
      <w:pPr>
        <w:ind w:right="180"/>
        <w:spacing w:after="0" w:line="247" w:lineRule="auto"/>
        <w:rPr>
          <w:sz w:val="20"/>
          <w:szCs w:val="20"/>
          <w:color w:val="auto"/>
        </w:rPr>
      </w:pPr>
      <w:r>
        <w:rPr>
          <w:rFonts w:ascii="Arial" w:cs="Arial" w:eastAsia="Arial" w:hAnsi="Arial"/>
          <w:sz w:val="15"/>
          <w:szCs w:val="15"/>
          <w:color w:val="auto"/>
        </w:rPr>
        <w:t>This prospectus is a part of a registration statement that we filed with the SEC using a “shelf” registration process. Under this shelf registration process, we may offer and sell from time to time, in one or more offerings, any combination of the securities described in this prospectus. This prospectus describes the general terms of these securities and the general manner in which these securities will be offered. Each time we offer or sell securities, we will provide the specific terms of these securities and the specific manner in which these securities will be offered and sold in supplements to this prospectus. The prospectus supplements may also supplement, update or amend information contained in this prospectus.</w:t>
      </w:r>
    </w:p>
    <w:p>
      <w:pPr>
        <w:spacing w:after="0" w:line="141" w:lineRule="exact"/>
        <w:rPr>
          <w:sz w:val="20"/>
          <w:szCs w:val="20"/>
          <w:color w:val="auto"/>
        </w:rPr>
      </w:pPr>
    </w:p>
    <w:p>
      <w:pPr>
        <w:ind w:right="80"/>
        <w:spacing w:after="0" w:line="247" w:lineRule="auto"/>
        <w:rPr>
          <w:sz w:val="20"/>
          <w:szCs w:val="20"/>
          <w:color w:val="auto"/>
        </w:rPr>
      </w:pPr>
      <w:r>
        <w:rPr>
          <w:rFonts w:ascii="Arial" w:cs="Arial" w:eastAsia="Arial" w:hAnsi="Arial"/>
          <w:sz w:val="15"/>
          <w:szCs w:val="15"/>
          <w:color w:val="auto"/>
        </w:rPr>
        <w:t>Before buying any of the securities offered by this prospectus, you should carefully read both this prospectus and any prospectus supplement, together with all of the information incorporated by reference in this prospectus, as well as the additional information described under the heading “Where You Can Find More Information” and “Information Incorporated by Reference.” These documents contain important information that you should consider when making your investment decision. We have filed or incorporated by reference exhibits to the registration statement of which this prospectus forms a part. You should read the exhibits carefully for provisions that may be important to you.</w:t>
      </w:r>
    </w:p>
    <w:p>
      <w:pPr>
        <w:spacing w:after="0" w:line="141" w:lineRule="exact"/>
        <w:rPr>
          <w:sz w:val="20"/>
          <w:szCs w:val="20"/>
          <w:color w:val="auto"/>
        </w:rPr>
      </w:pPr>
    </w:p>
    <w:p>
      <w:pPr>
        <w:spacing w:after="0" w:line="251" w:lineRule="auto"/>
        <w:rPr>
          <w:sz w:val="20"/>
          <w:szCs w:val="20"/>
          <w:color w:val="auto"/>
        </w:rPr>
      </w:pPr>
      <w:r>
        <w:rPr>
          <w:rFonts w:ascii="Arial" w:cs="Arial" w:eastAsia="Arial" w:hAnsi="Arial"/>
          <w:sz w:val="15"/>
          <w:szCs w:val="15"/>
          <w:color w:val="auto"/>
        </w:rPr>
        <w:t>To the extent there is a conflict between the information contained in this prospectus, on the one hand, and the information contained in any prospectus supplement or in any document incorporated by reference in this prospectus, on the other hand, you should rely on the information in this prospectus, provided that if any statement in one of these documents is inconsistent with a statement in another document having a later date—for example, a prospectus supplement or a document incorporated by reference in this prospectus—the statement in the document having the later date modifies or supersedes the earlier statement.</w:t>
      </w:r>
    </w:p>
    <w:p>
      <w:pPr>
        <w:spacing w:after="0" w:line="135" w:lineRule="exact"/>
        <w:rPr>
          <w:sz w:val="20"/>
          <w:szCs w:val="20"/>
          <w:color w:val="auto"/>
        </w:rPr>
      </w:pPr>
    </w:p>
    <w:p>
      <w:pPr>
        <w:spacing w:after="0" w:line="257" w:lineRule="auto"/>
        <w:rPr>
          <w:sz w:val="20"/>
          <w:szCs w:val="20"/>
          <w:color w:val="auto"/>
        </w:rPr>
      </w:pPr>
      <w:r>
        <w:rPr>
          <w:rFonts w:ascii="Arial" w:cs="Arial" w:eastAsia="Arial" w:hAnsi="Arial"/>
          <w:sz w:val="15"/>
          <w:szCs w:val="15"/>
          <w:color w:val="auto"/>
        </w:rPr>
        <w:t>The information contained in this prospectus, any applicable prospectus supplement or any document incorporated by reference in this prospectus is accurate only as of their respective dates, regardless of the time of delivery of this prospectus, any applicable prospectus supplement or the documents incorporated by reference in this prospectus or the sale of any securities. Our business, financial condition, results of operations and prospects may have changed materially since those dates.</w:t>
      </w:r>
    </w:p>
    <w:p>
      <w:pPr>
        <w:spacing w:after="0" w:line="131" w:lineRule="exact"/>
        <w:rPr>
          <w:sz w:val="20"/>
          <w:szCs w:val="20"/>
          <w:color w:val="auto"/>
        </w:rPr>
      </w:pPr>
    </w:p>
    <w:p>
      <w:pPr>
        <w:ind w:right="160"/>
        <w:spacing w:after="0" w:line="247" w:lineRule="auto"/>
        <w:rPr>
          <w:sz w:val="20"/>
          <w:szCs w:val="20"/>
          <w:color w:val="auto"/>
        </w:rPr>
      </w:pPr>
      <w:r>
        <w:rPr>
          <w:rFonts w:ascii="Arial" w:cs="Arial" w:eastAsia="Arial" w:hAnsi="Arial"/>
          <w:sz w:val="15"/>
          <w:szCs w:val="15"/>
          <w:color w:val="auto"/>
        </w:rPr>
        <w:t>Neither we nor any underwriters, dealers or agents have authorized anyone to provide you with information that is different from that contained or incorporated by reference in this prospectus, any amendment or supplement to this prospectus, or any free writing prospectus we may authorize to be delivered or made available to you. Neither we nor any underwriters, dealers or agents take responsibility for, or provide assurance as to the reliability of, any other information that others may give you. This prospectus does not constitute an offer to sell or the solicitation of an offer to buy any securities other than the securities described in this prospectus or an offer to sell or the solicitation of an offer to buy such securities in any circumstances in which such offer or solicitation is unlawful.</w:t>
      </w:r>
    </w:p>
    <w:p>
      <w:pPr>
        <w:spacing w:after="0" w:line="141" w:lineRule="exact"/>
        <w:rPr>
          <w:sz w:val="20"/>
          <w:szCs w:val="20"/>
          <w:color w:val="auto"/>
        </w:rPr>
      </w:pPr>
    </w:p>
    <w:p>
      <w:pPr>
        <w:ind w:right="40"/>
        <w:spacing w:after="0" w:line="251" w:lineRule="auto"/>
        <w:rPr>
          <w:sz w:val="20"/>
          <w:szCs w:val="20"/>
          <w:color w:val="auto"/>
        </w:rPr>
      </w:pPr>
      <w:r>
        <w:rPr>
          <w:rFonts w:ascii="Arial" w:cs="Arial" w:eastAsia="Arial" w:hAnsi="Arial"/>
          <w:sz w:val="15"/>
          <w:szCs w:val="15"/>
          <w:color w:val="auto"/>
        </w:rPr>
        <w:t>For investors outside the United States: Neither we nor any underwriters, dealers or agents have taken any action that would permit the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described herein and the distribution of this prospectus outside the United States.</w:t>
      </w:r>
    </w:p>
    <w:p>
      <w:pPr>
        <w:spacing w:after="0" w:line="135" w:lineRule="exact"/>
        <w:rPr>
          <w:sz w:val="20"/>
          <w:szCs w:val="20"/>
          <w:color w:val="auto"/>
        </w:rPr>
      </w:pPr>
    </w:p>
    <w:p>
      <w:pPr>
        <w:spacing w:after="0" w:line="247" w:lineRule="auto"/>
        <w:rPr>
          <w:sz w:val="20"/>
          <w:szCs w:val="20"/>
          <w:color w:val="auto"/>
        </w:rPr>
      </w:pPr>
      <w:r>
        <w:rPr>
          <w:rFonts w:ascii="Arial" w:cs="Arial" w:eastAsia="Arial" w:hAnsi="Arial"/>
          <w:sz w:val="15"/>
          <w:szCs w:val="15"/>
          <w:color w:val="auto"/>
        </w:rPr>
        <w:t>Unless otherwise indicated or the context otherwise requires, (i) all references to the “company,” “we,” “our” or “us” or similar terms refer to Immatics N.V., together with its subsidiaries, including Immatics Biotechnologies GmbH and Immatics US, Inc., and (ii) references to “Immatics” refer solely to Immatics N.V. Immatics N.V. is a Dutch public limited liability company (</w:t>
      </w:r>
      <w:r>
        <w:rPr>
          <w:rFonts w:ascii="Arial" w:cs="Arial" w:eastAsia="Arial" w:hAnsi="Arial"/>
          <w:sz w:val="15"/>
          <w:szCs w:val="15"/>
          <w:i w:val="1"/>
          <w:iCs w:val="1"/>
          <w:color w:val="auto"/>
        </w:rPr>
        <w:t>naamloze vennootschap</w:t>
      </w:r>
      <w:r>
        <w:rPr>
          <w:rFonts w:ascii="Arial" w:cs="Arial" w:eastAsia="Arial" w:hAnsi="Arial"/>
          <w:sz w:val="15"/>
          <w:szCs w:val="15"/>
          <w:color w:val="auto"/>
        </w:rPr>
        <w:t>) incorporated on March 10, 2020 and the holding company of Immatics Biotechnologies GmbH, a German biopharmaceutical company incorporated in 2000 focused on the development of T cell receptor-based immunotherapies for the treatment of cancer. Immatics Biotechnologies GmbH holds all material assets and conducts all business activities and operations of Immatics N.V.</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5" w:name="page6"/>
    <w:bookmarkEnd w:id="5"/>
    <w:p>
      <w:pPr>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Trademarks</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color w:val="auto"/>
        </w:rPr>
        <w:t>We own various trademark registrations and applications, and unregistered trademarks, including Immatics</w:t>
      </w:r>
      <w:r>
        <w:rPr>
          <w:rFonts w:ascii="Arial" w:cs="Arial" w:eastAsia="Arial" w:hAnsi="Arial"/>
          <w:sz w:val="25"/>
          <w:szCs w:val="25"/>
          <w:color w:val="auto"/>
          <w:vertAlign w:val="superscript"/>
        </w:rPr>
        <w:t>®</w:t>
      </w:r>
      <w:r>
        <w:rPr>
          <w:rFonts w:ascii="Arial" w:cs="Arial" w:eastAsia="Arial" w:hAnsi="Arial"/>
          <w:sz w:val="15"/>
          <w:szCs w:val="15"/>
          <w:color w:val="auto"/>
        </w:rPr>
        <w:t>, XPRESIDENT</w:t>
      </w:r>
      <w:r>
        <w:rPr>
          <w:rFonts w:ascii="Arial" w:cs="Arial" w:eastAsia="Arial" w:hAnsi="Arial"/>
          <w:sz w:val="25"/>
          <w:szCs w:val="25"/>
          <w:color w:val="auto"/>
          <w:vertAlign w:val="superscript"/>
        </w:rPr>
        <w:t>®</w:t>
      </w:r>
      <w:r>
        <w:rPr>
          <w:rFonts w:ascii="Arial" w:cs="Arial" w:eastAsia="Arial" w:hAnsi="Arial"/>
          <w:sz w:val="15"/>
          <w:szCs w:val="15"/>
          <w:color w:val="auto"/>
        </w:rPr>
        <w:t>, ACTengine</w:t>
      </w:r>
      <w:r>
        <w:rPr>
          <w:rFonts w:ascii="Arial" w:cs="Arial" w:eastAsia="Arial" w:hAnsi="Arial"/>
          <w:sz w:val="25"/>
          <w:szCs w:val="25"/>
          <w:color w:val="auto"/>
          <w:vertAlign w:val="superscript"/>
        </w:rPr>
        <w:t>®</w:t>
      </w:r>
      <w:r>
        <w:rPr>
          <w:rFonts w:ascii="Arial" w:cs="Arial" w:eastAsia="Arial" w:hAnsi="Arial"/>
          <w:sz w:val="15"/>
          <w:szCs w:val="15"/>
          <w:color w:val="auto"/>
        </w:rPr>
        <w:t>, ACTallo</w:t>
      </w:r>
      <w:r>
        <w:rPr>
          <w:rFonts w:ascii="Arial" w:cs="Arial" w:eastAsia="Arial" w:hAnsi="Arial"/>
          <w:sz w:val="25"/>
          <w:szCs w:val="25"/>
          <w:color w:val="auto"/>
          <w:vertAlign w:val="superscript"/>
        </w:rPr>
        <w:t>®</w:t>
      </w:r>
      <w:r>
        <w:rPr>
          <w:rFonts w:ascii="Arial" w:cs="Arial" w:eastAsia="Arial" w:hAnsi="Arial"/>
          <w:sz w:val="15"/>
          <w:szCs w:val="15"/>
          <w:color w:val="auto"/>
        </w:rPr>
        <w:t>, ACTolog</w:t>
      </w:r>
      <w:r>
        <w:rPr>
          <w:rFonts w:ascii="Arial" w:cs="Arial" w:eastAsia="Arial" w:hAnsi="Arial"/>
          <w:sz w:val="25"/>
          <w:szCs w:val="25"/>
          <w:color w:val="auto"/>
          <w:vertAlign w:val="superscript"/>
        </w:rPr>
        <w:t>®</w:t>
      </w:r>
      <w:r>
        <w:rPr>
          <w:rFonts w:ascii="Arial" w:cs="Arial" w:eastAsia="Arial" w:hAnsi="Arial"/>
          <w:sz w:val="15"/>
          <w:szCs w:val="15"/>
          <w:color w:val="auto"/>
        </w:rPr>
        <w:t>,</w:t>
      </w:r>
    </w:p>
    <w:p>
      <w:pPr>
        <w:spacing w:after="0" w:line="186" w:lineRule="auto"/>
        <w:rPr>
          <w:sz w:val="20"/>
          <w:szCs w:val="20"/>
          <w:color w:val="auto"/>
        </w:rPr>
      </w:pPr>
      <w:r>
        <w:rPr>
          <w:rFonts w:ascii="Arial" w:cs="Arial" w:eastAsia="Arial" w:hAnsi="Arial"/>
          <w:sz w:val="14"/>
          <w:szCs w:val="14"/>
          <w:color w:val="auto"/>
        </w:rPr>
        <w:t>XCEPTOR</w:t>
      </w:r>
      <w:r>
        <w:rPr>
          <w:rFonts w:ascii="Arial" w:cs="Arial" w:eastAsia="Arial" w:hAnsi="Arial"/>
          <w:sz w:val="23"/>
          <w:szCs w:val="23"/>
          <w:color w:val="auto"/>
          <w:vertAlign w:val="superscript"/>
        </w:rPr>
        <w:t>®</w:t>
      </w:r>
      <w:r>
        <w:rPr>
          <w:rFonts w:ascii="Arial" w:cs="Arial" w:eastAsia="Arial" w:hAnsi="Arial"/>
          <w:sz w:val="14"/>
          <w:szCs w:val="14"/>
          <w:color w:val="auto"/>
        </w:rPr>
        <w:t>, TCER</w:t>
      </w:r>
      <w:r>
        <w:rPr>
          <w:rFonts w:ascii="Arial" w:cs="Arial" w:eastAsia="Arial" w:hAnsi="Arial"/>
          <w:sz w:val="23"/>
          <w:szCs w:val="23"/>
          <w:color w:val="auto"/>
          <w:vertAlign w:val="superscript"/>
        </w:rPr>
        <w:t>®</w:t>
      </w:r>
      <w:r>
        <w:rPr>
          <w:rFonts w:ascii="Arial" w:cs="Arial" w:eastAsia="Arial" w:hAnsi="Arial"/>
          <w:sz w:val="14"/>
          <w:szCs w:val="14"/>
          <w:color w:val="auto"/>
        </w:rPr>
        <w:t>, AbsQuant</w:t>
      </w:r>
      <w:r>
        <w:rPr>
          <w:rFonts w:ascii="Arial" w:cs="Arial" w:eastAsia="Arial" w:hAnsi="Arial"/>
          <w:sz w:val="23"/>
          <w:szCs w:val="23"/>
          <w:color w:val="auto"/>
          <w:vertAlign w:val="superscript"/>
        </w:rPr>
        <w:t>®</w:t>
      </w:r>
      <w:r>
        <w:rPr>
          <w:rFonts w:ascii="Arial" w:cs="Arial" w:eastAsia="Arial" w:hAnsi="Arial"/>
          <w:sz w:val="14"/>
          <w:szCs w:val="14"/>
          <w:color w:val="auto"/>
        </w:rPr>
        <w:t>, IMADetect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and our corporate logo. All other trade names, trademarks and service marks of other companies appearing in this</w:t>
      </w:r>
    </w:p>
    <w:p>
      <w:pPr>
        <w:spacing w:after="0" w:line="1" w:lineRule="exact"/>
        <w:rPr>
          <w:sz w:val="20"/>
          <w:szCs w:val="20"/>
          <w:color w:val="auto"/>
        </w:rPr>
      </w:pPr>
    </w:p>
    <w:p>
      <w:pPr>
        <w:ind w:right="40"/>
        <w:spacing w:after="0" w:line="191" w:lineRule="auto"/>
        <w:rPr>
          <w:sz w:val="20"/>
          <w:szCs w:val="20"/>
          <w:color w:val="auto"/>
        </w:rPr>
      </w:pPr>
      <w:r>
        <w:rPr>
          <w:rFonts w:ascii="Arial" w:cs="Arial" w:eastAsia="Arial" w:hAnsi="Arial"/>
          <w:sz w:val="15"/>
          <w:szCs w:val="15"/>
          <w:color w:val="auto"/>
        </w:rPr>
        <w:t xml:space="preserve">prospectus are the property of their respective owners. Solely for convenience, the trademarks and trade names in this prospectus may be referred to without the </w:t>
      </w:r>
      <w:r>
        <w:rPr>
          <w:rFonts w:ascii="Arial" w:cs="Arial" w:eastAsia="Arial" w:hAnsi="Arial"/>
          <w:sz w:val="25"/>
          <w:szCs w:val="25"/>
          <w:color w:val="auto"/>
          <w:vertAlign w:val="superscript"/>
        </w:rPr>
        <w:t>®</w:t>
      </w:r>
      <w:r>
        <w:rPr>
          <w:rFonts w:ascii="Arial" w:cs="Arial" w:eastAsia="Arial" w:hAnsi="Arial"/>
          <w:sz w:val="15"/>
          <w:szCs w:val="15"/>
          <w:color w:val="auto"/>
        </w:rPr>
        <w:t xml:space="preserve"> and </w:t>
      </w:r>
      <w:r>
        <w:rPr>
          <w:rFonts w:ascii="Arial" w:cs="Arial" w:eastAsia="Arial" w:hAnsi="Arial"/>
          <w:sz w:val="25"/>
          <w:szCs w:val="25"/>
          <w:color w:val="auto"/>
          <w:vertAlign w:val="superscript"/>
        </w:rPr>
        <w:t>TM</w:t>
      </w:r>
      <w:r>
        <w:rPr>
          <w:rFonts w:ascii="Arial" w:cs="Arial" w:eastAsia="Arial" w:hAnsi="Arial"/>
          <w:sz w:val="15"/>
          <w:szCs w:val="15"/>
          <w:color w:val="auto"/>
        </w:rPr>
        <w:t xml:space="preserve">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Presentation of Financial Information</w:t>
      </w:r>
    </w:p>
    <w:p>
      <w:pPr>
        <w:spacing w:after="0" w:line="170" w:lineRule="exact"/>
        <w:rPr>
          <w:sz w:val="20"/>
          <w:szCs w:val="20"/>
          <w:color w:val="auto"/>
        </w:rPr>
      </w:pPr>
    </w:p>
    <w:p>
      <w:pPr>
        <w:spacing w:after="0" w:line="246" w:lineRule="auto"/>
        <w:rPr>
          <w:sz w:val="20"/>
          <w:szCs w:val="20"/>
          <w:color w:val="auto"/>
        </w:rPr>
      </w:pPr>
      <w:r>
        <w:rPr>
          <w:rFonts w:ascii="Arial" w:cs="Arial" w:eastAsia="Arial" w:hAnsi="Arial"/>
          <w:sz w:val="15"/>
          <w:szCs w:val="15"/>
          <w:color w:val="auto"/>
        </w:rPr>
        <w:t>Our consolidated financial statements are presented in euros and have been prepared in accordance with International Financial Reporting Standards as issued by the International Accounting Standards Board (“IFRS”). None of the consolidated financial statements were prepared in accordance with generally accepted accounting principles in the United States (“U.S. GAAP”). The terms “dollar,” “USD” or “$” refer to the U.S. dollar and the term “euro,” “EUR” or “€” refer to the euro, unless otherwise indicated. The exchange rate used for conversion between U.S. dollars and euros is based on the ECB euro reference exchange rate published by the European Central Bank. We have made rounding adjustments to some of the figures included in this prospectus. Accordingly, any numerical discrepancies in any table between totals and sums of the amounts listed are due to rounding.</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Market and Industry Data</w:t>
      </w:r>
    </w:p>
    <w:p>
      <w:pPr>
        <w:spacing w:after="0" w:line="170" w:lineRule="exact"/>
        <w:rPr>
          <w:sz w:val="20"/>
          <w:szCs w:val="20"/>
          <w:color w:val="auto"/>
        </w:rPr>
      </w:pPr>
    </w:p>
    <w:p>
      <w:pPr>
        <w:ind w:right="20"/>
        <w:spacing w:after="0" w:line="246" w:lineRule="auto"/>
        <w:rPr>
          <w:sz w:val="20"/>
          <w:szCs w:val="20"/>
          <w:color w:val="auto"/>
        </w:rPr>
      </w:pPr>
      <w:r>
        <w:rPr>
          <w:rFonts w:ascii="Arial" w:cs="Arial" w:eastAsia="Arial" w:hAnsi="Arial"/>
          <w:sz w:val="15"/>
          <w:szCs w:val="15"/>
          <w:color w:val="auto"/>
        </w:rPr>
        <w:t>This prospectus contains industry, market and competitive position data that are based on general and industry publications, surveys and studies conducted by third parties, some of which may not be publicly available, and our own internal estimates and research. Third-party publications, surveys and studies generally state that they have obtained information from sources believed to be reliable, but do not guarantee the accuracy and completeness of such information. While we are not aware of any misstatements regarding such third-party publications, surveys and studies, industry, market and competitive position data involve risks and uncertainties and are subject to change based on various factors, including those identified in the “Risk Factors” section of this prospectus and in any applicable prospectus supplement and the documents incorporated by reference in this prospectus.</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6" w:name="page7"/>
    <w:bookmarkEnd w:id="6"/>
    <w:p>
      <w:pPr>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OUR COMPANY</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170" w:lineRule="exact"/>
        <w:rPr>
          <w:sz w:val="20"/>
          <w:szCs w:val="20"/>
          <w:color w:val="auto"/>
        </w:rPr>
      </w:pPr>
    </w:p>
    <w:p>
      <w:pPr>
        <w:ind w:right="220"/>
        <w:spacing w:after="0" w:line="251" w:lineRule="auto"/>
        <w:rPr>
          <w:sz w:val="20"/>
          <w:szCs w:val="20"/>
          <w:color w:val="auto"/>
        </w:rPr>
      </w:pPr>
      <w:r>
        <w:rPr>
          <w:rFonts w:ascii="Arial" w:cs="Arial" w:eastAsia="Arial" w:hAnsi="Arial"/>
          <w:sz w:val="15"/>
          <w:szCs w:val="15"/>
          <w:color w:val="auto"/>
        </w:rPr>
        <w:t>We are a clinical-stage biotechnology company dedicated to the development of T cell receptor (“TCR”)- based immunotherapies for patients with solid tumors and high unmet medical needs. Our mission is to deliver a meaningful impact on the lives of these patients by producing novel TCR-based immunotherapies that provide tangible clinical benefits. We strive to become an industry-leading, fully integrated global biopharmaceutical company engaged in developing, manufacturing and commercializing TCR-based immunotherapies for the benefit of cancer patients, our shareholders, our employees and our partners.</w:t>
      </w:r>
    </w:p>
    <w:p>
      <w:pPr>
        <w:spacing w:after="0" w:line="135" w:lineRule="exact"/>
        <w:rPr>
          <w:sz w:val="20"/>
          <w:szCs w:val="20"/>
          <w:color w:val="auto"/>
        </w:rPr>
      </w:pPr>
    </w:p>
    <w:p>
      <w:pPr>
        <w:ind w:right="140"/>
        <w:spacing w:after="0" w:line="247" w:lineRule="auto"/>
        <w:rPr>
          <w:sz w:val="20"/>
          <w:szCs w:val="20"/>
          <w:color w:val="auto"/>
        </w:rPr>
      </w:pPr>
      <w:r>
        <w:rPr>
          <w:rFonts w:ascii="Arial" w:cs="Arial" w:eastAsia="Arial" w:hAnsi="Arial"/>
          <w:sz w:val="15"/>
          <w:szCs w:val="15"/>
          <w:color w:val="auto"/>
        </w:rPr>
        <w:t xml:space="preserve">By utilizing TCR-based therapeutics, we are able to direct T cells to intracellular cancer targets that are </w:t>
      </w:r>
      <w:r>
        <w:rPr>
          <w:rFonts w:ascii="Arial" w:cs="Arial" w:eastAsia="Arial" w:hAnsi="Arial"/>
          <w:sz w:val="15"/>
          <w:szCs w:val="15"/>
          <w:i w:val="1"/>
          <w:iCs w:val="1"/>
          <w:color w:val="auto"/>
        </w:rPr>
        <w:t>not</w:t>
      </w:r>
      <w:r>
        <w:rPr>
          <w:rFonts w:ascii="Arial" w:cs="Arial" w:eastAsia="Arial" w:hAnsi="Arial"/>
          <w:sz w:val="15"/>
          <w:szCs w:val="15"/>
          <w:color w:val="auto"/>
        </w:rPr>
        <w:t xml:space="preserve"> accessible through classical antibody-based or CAR-T therapies. We believe that by identifying what we call </w:t>
      </w:r>
      <w:r>
        <w:rPr>
          <w:rFonts w:ascii="Arial" w:cs="Arial" w:eastAsia="Arial" w:hAnsi="Arial"/>
          <w:sz w:val="15"/>
          <w:szCs w:val="15"/>
          <w:i w:val="1"/>
          <w:iCs w:val="1"/>
          <w:color w:val="auto"/>
        </w:rPr>
        <w:t>true</w:t>
      </w:r>
      <w:r>
        <w:rPr>
          <w:rFonts w:ascii="Arial" w:cs="Arial" w:eastAsia="Arial" w:hAnsi="Arial"/>
          <w:sz w:val="15"/>
          <w:szCs w:val="15"/>
          <w:color w:val="auto"/>
        </w:rPr>
        <w:t xml:space="preserve"> cancer targets and the </w:t>
      </w:r>
      <w:r>
        <w:rPr>
          <w:rFonts w:ascii="Arial" w:cs="Arial" w:eastAsia="Arial" w:hAnsi="Arial"/>
          <w:sz w:val="15"/>
          <w:szCs w:val="15"/>
          <w:i w:val="1"/>
          <w:iCs w:val="1"/>
          <w:color w:val="auto"/>
        </w:rPr>
        <w:t>right</w:t>
      </w:r>
      <w:r>
        <w:rPr>
          <w:rFonts w:ascii="Arial" w:cs="Arial" w:eastAsia="Arial" w:hAnsi="Arial"/>
          <w:sz w:val="15"/>
          <w:szCs w:val="15"/>
          <w:color w:val="auto"/>
        </w:rPr>
        <w:t xml:space="preserve"> TCRs, we are well positioned to transform current treatment paradigms. We develop product candidates in two therapeutic modalities: autologous TCR-engineered adoptive T cell therapies, also called TCR-T (“ACTengine”), and antibody-like TCR Bispecifics, also called T Cell Engaging Receptors (“TCER”). Each modality is designed with distinct attributes and mechanisms of action to produce the desired therapeutic effect for the targeted cancer patient populations.</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Company and Corporate Information</w:t>
      </w:r>
    </w:p>
    <w:p>
      <w:pPr>
        <w:spacing w:after="0" w:line="170" w:lineRule="exact"/>
        <w:rPr>
          <w:sz w:val="20"/>
          <w:szCs w:val="20"/>
          <w:color w:val="auto"/>
        </w:rPr>
      </w:pPr>
    </w:p>
    <w:p>
      <w:pPr>
        <w:ind w:right="80"/>
        <w:spacing w:after="0" w:line="247" w:lineRule="auto"/>
        <w:rPr>
          <w:sz w:val="20"/>
          <w:szCs w:val="20"/>
          <w:color w:val="auto"/>
        </w:rPr>
      </w:pPr>
      <w:r>
        <w:rPr>
          <w:rFonts w:ascii="Arial" w:cs="Arial" w:eastAsia="Arial" w:hAnsi="Arial"/>
          <w:sz w:val="15"/>
          <w:szCs w:val="15"/>
          <w:color w:val="auto"/>
        </w:rPr>
        <w:t>We were incorporated as a Dutch private limited liability company (</w:t>
      </w:r>
      <w:r>
        <w:rPr>
          <w:rFonts w:ascii="Arial" w:cs="Arial" w:eastAsia="Arial" w:hAnsi="Arial"/>
          <w:sz w:val="15"/>
          <w:szCs w:val="15"/>
          <w:i w:val="1"/>
          <w:iCs w:val="1"/>
          <w:color w:val="auto"/>
        </w:rPr>
        <w:t>besloten vennootschap met beperkte aansprakelijkheid</w:t>
      </w:r>
      <w:r>
        <w:rPr>
          <w:rFonts w:ascii="Arial" w:cs="Arial" w:eastAsia="Arial" w:hAnsi="Arial"/>
          <w:sz w:val="15"/>
          <w:szCs w:val="15"/>
          <w:color w:val="auto"/>
        </w:rPr>
        <w:t>) under the name Immatics B.V. on March 10, 2020 solely for the purpose of effectuating the business combination (the “Business Combination”) between us, ARYA Sciences Acquisition Corp., a Cayman Islands exempted company, Immatics Biotechnologies GmbH, a German limited liability company, Immatics Merger Sub 1, a Cayman Islands exempted company, and Immatics Merger Sub 2, a Cayman Islands exempted company. Upon the closing of the Business Combination on July 1, 2020, we converted into a Dutch public limited liability company (</w:t>
      </w:r>
      <w:r>
        <w:rPr>
          <w:rFonts w:ascii="Arial" w:cs="Arial" w:eastAsia="Arial" w:hAnsi="Arial"/>
          <w:sz w:val="15"/>
          <w:szCs w:val="15"/>
          <w:i w:val="1"/>
          <w:iCs w:val="1"/>
          <w:color w:val="auto"/>
        </w:rPr>
        <w:t>naamloze vennootschap</w:t>
      </w:r>
      <w:r>
        <w:rPr>
          <w:rFonts w:ascii="Arial" w:cs="Arial" w:eastAsia="Arial" w:hAnsi="Arial"/>
          <w:sz w:val="15"/>
          <w:szCs w:val="15"/>
          <w:color w:val="auto"/>
        </w:rPr>
        <w:t>) and changed our name to Immatics N.V.</w:t>
      </w:r>
    </w:p>
    <w:p>
      <w:pPr>
        <w:spacing w:after="0" w:line="141" w:lineRule="exact"/>
        <w:rPr>
          <w:sz w:val="20"/>
          <w:szCs w:val="20"/>
          <w:color w:val="auto"/>
        </w:rPr>
      </w:pPr>
    </w:p>
    <w:p>
      <w:pPr>
        <w:spacing w:after="0" w:line="247" w:lineRule="auto"/>
        <w:rPr>
          <w:sz w:val="20"/>
          <w:szCs w:val="20"/>
          <w:color w:val="auto"/>
        </w:rPr>
      </w:pPr>
      <w:r>
        <w:rPr>
          <w:rFonts w:ascii="Arial" w:cs="Arial" w:eastAsia="Arial" w:hAnsi="Arial"/>
          <w:sz w:val="15"/>
          <w:szCs w:val="15"/>
          <w:color w:val="auto"/>
        </w:rPr>
        <w:t>We are registered in the Commercial Register of the Chamber of Commerce (</w:t>
      </w:r>
      <w:r>
        <w:rPr>
          <w:rFonts w:ascii="Arial" w:cs="Arial" w:eastAsia="Arial" w:hAnsi="Arial"/>
          <w:sz w:val="15"/>
          <w:szCs w:val="15"/>
          <w:i w:val="1"/>
          <w:iCs w:val="1"/>
          <w:color w:val="auto"/>
        </w:rPr>
        <w:t>Kamer van Koophandel</w:t>
      </w:r>
      <w:r>
        <w:rPr>
          <w:rFonts w:ascii="Arial" w:cs="Arial" w:eastAsia="Arial" w:hAnsi="Arial"/>
          <w:sz w:val="15"/>
          <w:szCs w:val="15"/>
          <w:color w:val="auto"/>
        </w:rPr>
        <w:t xml:space="preserve">) in the Netherlands under number 77595726. We have our corporate seat in Amsterdam, the Netherlands and our registered office is at Paul-Ehrlich-Straße 15, 72076 Tübingen, Federal Republic of Germany, and our telephone number is +49 (7071) 5397-0. Our executive office in the United States is located at Immatics US, Inc., 13203 Murphy Rd., Suite 100, Stafford, Texas 77477 and our telephone number is +1 (346) 204-5400. Our website is </w:t>
      </w:r>
      <w:r>
        <w:rPr>
          <w:rFonts w:ascii="Arial" w:cs="Arial" w:eastAsia="Arial" w:hAnsi="Arial"/>
          <w:sz w:val="15"/>
          <w:szCs w:val="15"/>
          <w:i w:val="1"/>
          <w:iCs w:val="1"/>
          <w:color w:val="auto"/>
        </w:rPr>
        <w:t>www.immatics.com</w:t>
      </w:r>
      <w:r>
        <w:rPr>
          <w:rFonts w:ascii="Arial" w:cs="Arial" w:eastAsia="Arial" w:hAnsi="Arial"/>
          <w:sz w:val="15"/>
          <w:szCs w:val="15"/>
          <w:color w:val="auto"/>
        </w:rPr>
        <w:t>. The reference to our website is an inactive textual reference only, and information contained therein or connected thereto is not incorporated into this prospectus or the registration statement of which it forms a part.</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Implications of Being a Foreign Private Issuer</w:t>
      </w:r>
    </w:p>
    <w:p>
      <w:pPr>
        <w:spacing w:after="0" w:line="170" w:lineRule="exact"/>
        <w:rPr>
          <w:sz w:val="20"/>
          <w:szCs w:val="20"/>
          <w:color w:val="auto"/>
        </w:rPr>
      </w:pPr>
    </w:p>
    <w:p>
      <w:pPr>
        <w:jc w:val="both"/>
        <w:ind w:right="440"/>
        <w:spacing w:after="0" w:line="257" w:lineRule="auto"/>
        <w:rPr>
          <w:sz w:val="20"/>
          <w:szCs w:val="20"/>
          <w:color w:val="auto"/>
        </w:rPr>
      </w:pPr>
      <w:r>
        <w:rPr>
          <w:rFonts w:ascii="Arial" w:cs="Arial" w:eastAsia="Arial" w:hAnsi="Arial"/>
          <w:sz w:val="15"/>
          <w:szCs w:val="15"/>
          <w:color w:val="auto"/>
        </w:rPr>
        <w:t>We are a “foreign private issuer.” Accordingly, we report under the Exchange Act of 1934, as amended (the “Exchange Act”), as a non-U.S. company with foreign private issuer status. This means that, as long as we qualify as a foreign private issuer under the Exchange Act, we will be exempt from certain provisions of the Exchange Act that are applicable to U.S. domestic public companies, including:</w:t>
      </w:r>
    </w:p>
    <w:p>
      <w:pPr>
        <w:spacing w:after="0" w:line="131" w:lineRule="exact"/>
        <w:rPr>
          <w:sz w:val="20"/>
          <w:szCs w:val="20"/>
          <w:color w:val="auto"/>
        </w:rPr>
      </w:pPr>
    </w:p>
    <w:p>
      <w:pPr>
        <w:ind w:left="540" w:hanging="274"/>
        <w:spacing w:after="0"/>
        <w:tabs>
          <w:tab w:leader="none" w:pos="54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the sections of the Exchange Act regulating the solicitation of proxies, consents or authorizations in respect of a security registered under the Exchange Act;</w:t>
      </w:r>
    </w:p>
    <w:p>
      <w:pPr>
        <w:spacing w:after="0" w:line="181" w:lineRule="exact"/>
        <w:rPr>
          <w:rFonts w:ascii="Times New Roman" w:cs="Times New Roman" w:eastAsia="Times New Roman" w:hAnsi="Times New Roman"/>
          <w:sz w:val="15"/>
          <w:szCs w:val="15"/>
          <w:color w:val="auto"/>
        </w:rPr>
      </w:pPr>
    </w:p>
    <w:p>
      <w:pPr>
        <w:ind w:left="540" w:right="240" w:hanging="274"/>
        <w:spacing w:after="0" w:line="275" w:lineRule="auto"/>
        <w:tabs>
          <w:tab w:leader="none" w:pos="54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the sections of the Exchange Act requiring insiders to file public reports of their stock ownership and trading activities and liability for insiders who profit from trades made in a short period of time; and</w:t>
      </w:r>
    </w:p>
    <w:p>
      <w:pPr>
        <w:spacing w:after="0" w:line="118" w:lineRule="exact"/>
        <w:rPr>
          <w:rFonts w:ascii="Times New Roman" w:cs="Times New Roman" w:eastAsia="Times New Roman" w:hAnsi="Times New Roman"/>
          <w:sz w:val="15"/>
          <w:szCs w:val="15"/>
          <w:color w:val="auto"/>
        </w:rPr>
      </w:pPr>
    </w:p>
    <w:p>
      <w:pPr>
        <w:ind w:left="540" w:right="620" w:hanging="274"/>
        <w:spacing w:after="0" w:line="275" w:lineRule="auto"/>
        <w:tabs>
          <w:tab w:leader="none" w:pos="54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the rules under the Exchange Act requiring the filing with the SEC of quarterly reports on Form 10-Q containing unaudited financial and other specified information, or current reports on Form 8-K upon the occurrence of specified significant events.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60"/>
          </w:cols>
          <w:pgMar w:left="320" w:top="223" w:right="319" w:bottom="1440" w:gutter="0" w:footer="0" w:header="0"/>
        </w:sectPr>
      </w:pPr>
    </w:p>
    <w:bookmarkStart w:id="7" w:name="page8"/>
    <w:bookmarkEnd w:id="7"/>
    <w:p>
      <w:pPr>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spacing w:after="0" w:line="251" w:lineRule="auto"/>
        <w:rPr>
          <w:sz w:val="20"/>
          <w:szCs w:val="20"/>
          <w:color w:val="auto"/>
        </w:rPr>
      </w:pPr>
      <w:r>
        <w:rPr>
          <w:rFonts w:ascii="Arial" w:cs="Arial" w:eastAsia="Arial" w:hAnsi="Arial"/>
          <w:sz w:val="15"/>
          <w:szCs w:val="15"/>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w:t>
      </w:r>
    </w:p>
    <w:p>
      <w:pPr>
        <w:spacing w:after="0" w:line="135" w:lineRule="exact"/>
        <w:rPr>
          <w:sz w:val="20"/>
          <w:szCs w:val="20"/>
          <w:color w:val="auto"/>
        </w:rPr>
      </w:pPr>
    </w:p>
    <w:p>
      <w:pPr>
        <w:ind w:right="20"/>
        <w:spacing w:after="0" w:line="257" w:lineRule="auto"/>
        <w:rPr>
          <w:sz w:val="20"/>
          <w:szCs w:val="20"/>
          <w:color w:val="auto"/>
        </w:rPr>
      </w:pPr>
      <w:r>
        <w:rPr>
          <w:rFonts w:ascii="Arial" w:cs="Arial" w:eastAsia="Arial" w:hAnsi="Arial"/>
          <w:sz w:val="15"/>
          <w:szCs w:val="15"/>
          <w:color w:val="auto"/>
        </w:rPr>
        <w:t>In this prospectus and in the documents incorporated by reference in this prospectus, we have taken advantage of certain of the reduced reporting requirements as a result of being a foreign private issuer. Accordingly, the information contained in this prospectus and in the documents incorporated by reference in this prospectus may be different than the information you receive from other public companies in which you hold equity securities.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8" w:name="page9"/>
    <w:bookmarkEnd w:id="8"/>
    <w:p>
      <w:pPr>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RISK FACTORS</w:t>
      </w:r>
    </w:p>
    <w:p>
      <w:pPr>
        <w:spacing w:after="0" w:line="170" w:lineRule="exact"/>
        <w:rPr>
          <w:sz w:val="20"/>
          <w:szCs w:val="20"/>
          <w:color w:val="auto"/>
        </w:rPr>
      </w:pPr>
    </w:p>
    <w:p>
      <w:pPr>
        <w:ind w:right="220"/>
        <w:spacing w:after="0" w:line="246" w:lineRule="auto"/>
        <w:rPr>
          <w:sz w:val="20"/>
          <w:szCs w:val="20"/>
          <w:color w:val="auto"/>
        </w:rPr>
      </w:pPr>
      <w:r>
        <w:rPr>
          <w:rFonts w:ascii="Arial" w:cs="Arial" w:eastAsia="Arial" w:hAnsi="Arial"/>
          <w:sz w:val="15"/>
          <w:szCs w:val="15"/>
          <w:color w:val="auto"/>
        </w:rPr>
        <w:t>Investing in our securities involves risk. Before making a decision to invest in our securities, you should carefully consider the risks described under “Risk Factors” in the applicable prospectus supplement and in our then-most recent Annual Report on Form 20-F, and any updates to those risk factors in our reports on Form 6-K incorporated by reference in this prospectus, together with all of the other information appearing or incorporated by reference in this prospectus and any applicable prospectus supplement, in light of your particular investment objectives and financial circumstances. Although we discuss key risks in our discussion of risk factors, new risks may emerge in the future, which may prove to be significant. We cannot predict future risks or estimate the extent to which they may affect our business, results of operations, financial condition and prospects.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CAUTIONARY STATEMENT REGARDING FORWARD-LOOKING STATEMENTS</w:t>
      </w:r>
    </w:p>
    <w:p>
      <w:pPr>
        <w:spacing w:after="0" w:line="170" w:lineRule="exact"/>
        <w:rPr>
          <w:sz w:val="20"/>
          <w:szCs w:val="20"/>
          <w:color w:val="auto"/>
        </w:rPr>
      </w:pPr>
    </w:p>
    <w:p>
      <w:pPr>
        <w:ind w:right="20"/>
        <w:spacing w:after="0" w:line="244" w:lineRule="auto"/>
        <w:rPr>
          <w:sz w:val="20"/>
          <w:szCs w:val="20"/>
          <w:color w:val="auto"/>
        </w:rPr>
      </w:pPr>
      <w:r>
        <w:rPr>
          <w:rFonts w:ascii="Arial" w:cs="Arial" w:eastAsia="Arial" w:hAnsi="Arial"/>
          <w:sz w:val="15"/>
          <w:szCs w:val="15"/>
          <w:color w:val="auto"/>
        </w:rPr>
        <w:t>This prospectus and the documents incorporated by reference in this prospectus contain statements that constitute forward-looking statements within the meaning of Section 21E of the Exchange Act and Section 27A of the Securities Act of 1933, as amended (the “Securities Act”). All statements other than statements of historical facts, including statements regarding our future results of operations and financial position, business and commercial strategy, potential market opportunities, products and product candidates, research pipeline, ongoing and planned preclinical studies and clinical trials, regulatory submissions and approvals, research and development costs, timing and likelihood of success, as well as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w:t>
      </w:r>
    </w:p>
    <w:p>
      <w:pPr>
        <w:spacing w:after="0" w:line="144" w:lineRule="exact"/>
        <w:rPr>
          <w:sz w:val="20"/>
          <w:szCs w:val="20"/>
          <w:color w:val="auto"/>
        </w:rPr>
      </w:pPr>
    </w:p>
    <w:p>
      <w:pPr>
        <w:spacing w:after="0" w:line="242" w:lineRule="auto"/>
        <w:rPr>
          <w:sz w:val="20"/>
          <w:szCs w:val="20"/>
          <w:color w:val="auto"/>
        </w:rPr>
      </w:pPr>
      <w:r>
        <w:rPr>
          <w:rFonts w:ascii="Arial" w:cs="Arial" w:eastAsia="Arial" w:hAnsi="Arial"/>
          <w:sz w:val="15"/>
          <w:szCs w:val="15"/>
          <w:color w:val="auto"/>
        </w:rPr>
        <w:t>Forward-looking statements are based on our management’s beliefs and assumptions and on information available to our management at the time such statements are made. Such statements are subject to risks and uncertainties, and actual results may differ materially from those expressed or implied in the forward-looking statements due to various factors, including, but not limited to, those identified in the “Risk Factors” section of this prospectus and in the documents incorporated by reference in this prospectus.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whether as a result of any new information, future events, changed circumstances or otherwise. You should read this prospectus, the documents incorporated by reference in this prospectus and the documents that we have filed as exhibits to the registration statement of which this prospectus is a part completely and with the understanding that our actual future results may be materially different from what we expect.</w:t>
      </w:r>
    </w:p>
    <w:p>
      <w:pPr>
        <w:spacing w:after="0" w:line="143" w:lineRule="exact"/>
        <w:rPr>
          <w:sz w:val="20"/>
          <w:szCs w:val="20"/>
          <w:color w:val="auto"/>
        </w:rPr>
      </w:pPr>
    </w:p>
    <w:p>
      <w:pPr>
        <w:ind w:right="20"/>
        <w:spacing w:after="0" w:line="251" w:lineRule="auto"/>
        <w:rPr>
          <w:sz w:val="20"/>
          <w:szCs w:val="20"/>
          <w:color w:val="auto"/>
        </w:rPr>
      </w:pPr>
      <w:r>
        <w:rPr>
          <w:rFonts w:ascii="Arial" w:cs="Arial" w:eastAsia="Arial" w:hAnsi="Arial"/>
          <w:sz w:val="15"/>
          <w:szCs w:val="15"/>
          <w:color w:val="auto"/>
        </w:rPr>
        <w:t>In addition, statements that “we believe” and similar statements reflect our beliefs and opinions on the relevant subject. These statements are based upon information available to us as of the date of such statements,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60"/>
          </w:cols>
          <w:pgMar w:left="320" w:top="223" w:right="319" w:bottom="1440" w:gutter="0" w:footer="0" w:header="0"/>
        </w:sectPr>
      </w:pPr>
    </w:p>
    <w:bookmarkStart w:id="9" w:name="page10"/>
    <w:bookmarkEnd w:id="9"/>
    <w:p>
      <w:pPr>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USE OF PROCEEDS</w:t>
      </w:r>
    </w:p>
    <w:p>
      <w:pPr>
        <w:spacing w:after="0" w:line="170" w:lineRule="exact"/>
        <w:rPr>
          <w:sz w:val="20"/>
          <w:szCs w:val="20"/>
          <w:color w:val="auto"/>
        </w:rPr>
      </w:pPr>
    </w:p>
    <w:p>
      <w:pPr>
        <w:ind w:right="280"/>
        <w:spacing w:after="0" w:line="276" w:lineRule="auto"/>
        <w:rPr>
          <w:sz w:val="20"/>
          <w:szCs w:val="20"/>
          <w:color w:val="auto"/>
        </w:rPr>
      </w:pPr>
      <w:r>
        <w:rPr>
          <w:rFonts w:ascii="Arial" w:cs="Arial" w:eastAsia="Arial" w:hAnsi="Arial"/>
          <w:sz w:val="15"/>
          <w:szCs w:val="15"/>
          <w:color w:val="auto"/>
        </w:rPr>
        <w:t>Unless otherwise indicated in a prospectus supplement, the principal purpose of an offering of securities by us would be to increase our capitalization and financial flexibility and the net proceeds from our sale of the securities will be used for general corporate purposes and other business opportunities.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DIVIDEND POLICY</w:t>
      </w:r>
    </w:p>
    <w:p>
      <w:pPr>
        <w:spacing w:after="0" w:line="170" w:lineRule="exact"/>
        <w:rPr>
          <w:sz w:val="20"/>
          <w:szCs w:val="20"/>
          <w:color w:val="auto"/>
        </w:rPr>
      </w:pPr>
    </w:p>
    <w:p>
      <w:pPr>
        <w:ind w:right="160"/>
        <w:spacing w:after="0" w:line="276" w:lineRule="auto"/>
        <w:rPr>
          <w:sz w:val="20"/>
          <w:szCs w:val="20"/>
          <w:color w:val="auto"/>
        </w:rPr>
      </w:pPr>
      <w:r>
        <w:rPr>
          <w:rFonts w:ascii="Arial" w:cs="Arial" w:eastAsia="Arial" w:hAnsi="Arial"/>
          <w:sz w:val="15"/>
          <w:szCs w:val="15"/>
          <w:color w:val="auto"/>
        </w:rPr>
        <w:t>We have never declared or paid any cash dividends and have no plan to declare or pay any dividends on our ordinary shares in the foreseeable future. We currently intend to retain any earnings for future operations and expansion.</w:t>
      </w:r>
    </w:p>
    <w:p>
      <w:pPr>
        <w:spacing w:after="0" w:line="117" w:lineRule="exact"/>
        <w:rPr>
          <w:sz w:val="20"/>
          <w:szCs w:val="20"/>
          <w:color w:val="auto"/>
        </w:rPr>
      </w:pPr>
    </w:p>
    <w:p>
      <w:pPr>
        <w:ind w:right="60"/>
        <w:spacing w:after="0" w:line="251" w:lineRule="auto"/>
        <w:rPr>
          <w:sz w:val="20"/>
          <w:szCs w:val="20"/>
          <w:color w:val="auto"/>
        </w:rPr>
      </w:pPr>
      <w:r>
        <w:rPr>
          <w:rFonts w:ascii="Arial" w:cs="Arial" w:eastAsia="Arial" w:hAnsi="Arial"/>
          <w:sz w:val="15"/>
          <w:szCs w:val="15"/>
          <w:color w:val="auto"/>
        </w:rPr>
        <w:t>Since we are a holding company, our ability to pay dividends will be dependent upon the financial condition, liquidity and results of operations of, and the receipt of dividends, loans or other funds from, our subsidiaries. Our subsidiaries are separate and distinct legal entities and have no obligation to make funds available to us. In addition, there are various statutory, regulatory and contractual limitations and business considerations on the extent, if any, to which our subsidiaries may pay dividends, make loans or otherwise provide funds to us.</w:t>
      </w:r>
    </w:p>
    <w:p>
      <w:pPr>
        <w:spacing w:after="0" w:line="135" w:lineRule="exact"/>
        <w:rPr>
          <w:sz w:val="20"/>
          <w:szCs w:val="20"/>
          <w:color w:val="auto"/>
        </w:rPr>
      </w:pPr>
    </w:p>
    <w:p>
      <w:pPr>
        <w:spacing w:after="0" w:line="246" w:lineRule="auto"/>
        <w:rPr>
          <w:sz w:val="20"/>
          <w:szCs w:val="20"/>
          <w:color w:val="auto"/>
        </w:rPr>
      </w:pPr>
      <w:r>
        <w:rPr>
          <w:rFonts w:ascii="Arial" w:cs="Arial" w:eastAsia="Arial" w:hAnsi="Arial"/>
          <w:sz w:val="15"/>
          <w:szCs w:val="15"/>
          <w:color w:val="auto"/>
        </w:rPr>
        <w:t>Under Dutch law, we may only pay dividends and other distributions from our reserves to the extent our shareholders’ equity (</w:t>
      </w:r>
      <w:r>
        <w:rPr>
          <w:rFonts w:ascii="Arial" w:cs="Arial" w:eastAsia="Arial" w:hAnsi="Arial"/>
          <w:sz w:val="15"/>
          <w:szCs w:val="15"/>
          <w:i w:val="1"/>
          <w:iCs w:val="1"/>
          <w:color w:val="auto"/>
        </w:rPr>
        <w:t>eigen vermogen</w:t>
      </w:r>
      <w:r>
        <w:rPr>
          <w:rFonts w:ascii="Arial" w:cs="Arial" w:eastAsia="Arial" w:hAnsi="Arial"/>
          <w:sz w:val="15"/>
          <w:szCs w:val="15"/>
          <w:color w:val="auto"/>
        </w:rPr>
        <w:t>) exceeds the sum of our paid-in and called-up share capital plus the reserves we must maintain under Dutch law or our articles of association and (if it concerns a distribution of profits) after adoption of our statutory annual accounts by our general meeting from which it appears that such dividend distribution is allowed. Subject to those restrictions, any future determination to pay dividends or other distributions from our reserves will be at the discretion of our board of directors and will depend upon a number of factors, including our results of operations, financial condition, future prospects, contractual restrictions, restrictions imposed by applicable law and other factors we deem relevant.</w:t>
      </w:r>
    </w:p>
    <w:p>
      <w:pPr>
        <w:spacing w:after="0" w:line="139" w:lineRule="exact"/>
        <w:rPr>
          <w:sz w:val="20"/>
          <w:szCs w:val="20"/>
          <w:color w:val="auto"/>
        </w:rPr>
      </w:pPr>
    </w:p>
    <w:p>
      <w:pPr>
        <w:ind w:right="180"/>
        <w:spacing w:after="0" w:line="247" w:lineRule="auto"/>
        <w:rPr>
          <w:sz w:val="20"/>
          <w:szCs w:val="20"/>
          <w:color w:val="auto"/>
        </w:rPr>
      </w:pPr>
      <w:r>
        <w:rPr>
          <w:rFonts w:ascii="Arial" w:cs="Arial" w:eastAsia="Arial" w:hAnsi="Arial"/>
          <w:sz w:val="15"/>
          <w:szCs w:val="15"/>
          <w:color w:val="auto"/>
        </w:rPr>
        <w:t>Under our articles of association, profits will be at the disposal of the general meeting at the proposal of our board of directors for distribution on our ordinary shares, subject to applicable restrictions of Dutch law. Our board of directors is permitted, subject to certain requirements and applicable restrictions of Dutch law, to declare interim dividends without the approval of our general meeting. Dividends and other distributions shall be made payable four weeks after they have been declared unless our general meeting determines another date at the proposal of our board of directors. Claims to dividends and other distributions not made within five years from the date that such dividends or distributions became payable will lapse and any such amounts will be considered to have been forfeited to us (</w:t>
      </w:r>
      <w:r>
        <w:rPr>
          <w:rFonts w:ascii="Arial" w:cs="Arial" w:eastAsia="Arial" w:hAnsi="Arial"/>
          <w:sz w:val="15"/>
          <w:szCs w:val="15"/>
          <w:i w:val="1"/>
          <w:iCs w:val="1"/>
          <w:color w:val="auto"/>
        </w:rPr>
        <w:t>verjaring</w:t>
      </w:r>
      <w:r>
        <w:rPr>
          <w:rFonts w:ascii="Arial" w:cs="Arial" w:eastAsia="Arial" w:hAnsi="Arial"/>
          <w:sz w:val="15"/>
          <w:szCs w:val="15"/>
          <w:color w:val="auto"/>
        </w:rPr>
        <w:t>).</w:t>
      </w: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00"/>
          </w:cols>
          <w:pgMar w:left="320" w:top="223" w:right="379" w:bottom="1440" w:gutter="0" w:footer="0" w:header="0"/>
        </w:sectPr>
      </w:pPr>
    </w:p>
    <w:bookmarkStart w:id="10" w:name="page11"/>
    <w:bookmarkEnd w:id="10"/>
    <w:p>
      <w:pPr>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DESCRIPTION OF SHARE CAPITAL AND ARTICLES OF ASSOCIATION</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Company</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We were incorporated on March 10, 2020 as a private limited liability company (</w:t>
      </w:r>
      <w:r>
        <w:rPr>
          <w:rFonts w:ascii="Arial" w:cs="Arial" w:eastAsia="Arial" w:hAnsi="Arial"/>
          <w:sz w:val="15"/>
          <w:szCs w:val="15"/>
          <w:i w:val="1"/>
          <w:iCs w:val="1"/>
          <w:color w:val="auto"/>
        </w:rPr>
        <w:t>besloten vennootschap met beperkte aansprakelijkheid)</w:t>
      </w:r>
      <w:r>
        <w:rPr>
          <w:rFonts w:ascii="Arial" w:cs="Arial" w:eastAsia="Arial" w:hAnsi="Arial"/>
          <w:sz w:val="15"/>
          <w:szCs w:val="15"/>
          <w:color w:val="auto"/>
        </w:rPr>
        <w:t xml:space="preserve"> under Dutch law, and upon the consummation of the Business Combination, we converted into a Dutch public limited liability company (</w:t>
      </w:r>
      <w:r>
        <w:rPr>
          <w:rFonts w:ascii="Arial" w:cs="Arial" w:eastAsia="Arial" w:hAnsi="Arial"/>
          <w:sz w:val="15"/>
          <w:szCs w:val="15"/>
          <w:i w:val="1"/>
          <w:iCs w:val="1"/>
          <w:color w:val="auto"/>
        </w:rPr>
        <w:t>naamloze vennootschap</w:t>
      </w:r>
      <w:r>
        <w:rPr>
          <w:rFonts w:ascii="Arial" w:cs="Arial" w:eastAsia="Arial" w:hAnsi="Arial"/>
          <w:sz w:val="15"/>
          <w:szCs w:val="15"/>
          <w:color w:val="auto"/>
        </w:rPr>
        <w:t>).</w:t>
      </w:r>
    </w:p>
    <w:p>
      <w:pPr>
        <w:spacing w:after="0" w:line="117" w:lineRule="exact"/>
        <w:rPr>
          <w:sz w:val="20"/>
          <w:szCs w:val="20"/>
          <w:color w:val="auto"/>
        </w:rPr>
      </w:pPr>
    </w:p>
    <w:p>
      <w:pPr>
        <w:ind w:right="420"/>
        <w:spacing w:after="0" w:line="276" w:lineRule="auto"/>
        <w:rPr>
          <w:sz w:val="20"/>
          <w:szCs w:val="20"/>
          <w:color w:val="auto"/>
        </w:rPr>
      </w:pPr>
      <w:r>
        <w:rPr>
          <w:rFonts w:ascii="Arial" w:cs="Arial" w:eastAsia="Arial" w:hAnsi="Arial"/>
          <w:sz w:val="15"/>
          <w:szCs w:val="15"/>
          <w:color w:val="auto"/>
        </w:rPr>
        <w:t>We are registered in the Commercial Register of the Chamber of Commerce (</w:t>
      </w:r>
      <w:r>
        <w:rPr>
          <w:rFonts w:ascii="Arial" w:cs="Arial" w:eastAsia="Arial" w:hAnsi="Arial"/>
          <w:sz w:val="15"/>
          <w:szCs w:val="15"/>
          <w:i w:val="1"/>
          <w:iCs w:val="1"/>
          <w:color w:val="auto"/>
        </w:rPr>
        <w:t>Kamer van Koophandel</w:t>
      </w:r>
      <w:r>
        <w:rPr>
          <w:rFonts w:ascii="Arial" w:cs="Arial" w:eastAsia="Arial" w:hAnsi="Arial"/>
          <w:sz w:val="15"/>
          <w:szCs w:val="15"/>
          <w:color w:val="auto"/>
        </w:rPr>
        <w:t>) in the Netherlands under number 77595726. We have our corporate seat in Amsterdam, the Netherlands and our registered office is at Paul-Ehrlich-Straße 15, 72076 Tübingen, Federal Republic of Germany.</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Share Capital</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Authorized Share Capital</w:t>
      </w:r>
    </w:p>
    <w:p>
      <w:pPr>
        <w:spacing w:after="0" w:line="170" w:lineRule="exact"/>
        <w:rPr>
          <w:sz w:val="20"/>
          <w:szCs w:val="20"/>
          <w:color w:val="auto"/>
        </w:rPr>
      </w:pPr>
    </w:p>
    <w:p>
      <w:pPr>
        <w:ind w:right="320"/>
        <w:spacing w:after="0" w:line="276" w:lineRule="auto"/>
        <w:rPr>
          <w:sz w:val="20"/>
          <w:szCs w:val="20"/>
          <w:color w:val="auto"/>
        </w:rPr>
      </w:pPr>
      <w:r>
        <w:rPr>
          <w:rFonts w:ascii="Arial" w:cs="Arial" w:eastAsia="Arial" w:hAnsi="Arial"/>
          <w:sz w:val="15"/>
          <w:szCs w:val="15"/>
          <w:color w:val="auto"/>
        </w:rPr>
        <w:t>Our authorized share capital consists of 285,000,000 ordinary shares, nominal value of €0.01 per share, and 15,000,000 financing preferred shares. The financing preferred shares are divided into five series, each consisting of 3,000,000 financing preferred shares.</w:t>
      </w:r>
    </w:p>
    <w:p>
      <w:pPr>
        <w:spacing w:after="0" w:line="117" w:lineRule="exact"/>
        <w:rPr>
          <w:sz w:val="20"/>
          <w:szCs w:val="20"/>
          <w:color w:val="auto"/>
        </w:rPr>
      </w:pPr>
    </w:p>
    <w:p>
      <w:pPr>
        <w:spacing w:after="0" w:line="251" w:lineRule="auto"/>
        <w:rPr>
          <w:sz w:val="20"/>
          <w:szCs w:val="20"/>
          <w:color w:val="auto"/>
        </w:rPr>
      </w:pPr>
      <w:r>
        <w:rPr>
          <w:rFonts w:ascii="Arial" w:cs="Arial" w:eastAsia="Arial" w:hAnsi="Arial"/>
          <w:sz w:val="15"/>
          <w:szCs w:val="15"/>
          <w:color w:val="auto"/>
        </w:rPr>
        <w:t>The financing preferred shares may, at the request of the holder, be converted into ordinary shares pursuant to a resolution of our board of directors. The conditions for conversion and the further terms and conditions related to the financing preferred shares will be determined by our board of directors, our general meeting and the meeting of holders of the series of financing preferred shares concerned, if such series of financing preferred shares has been issued and are held by persons other than us. The preceding sentence applies by analogy to any adjustment to the conditions.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Our Share Capital</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In this section, share amounts are presented as of the date of the relevant transaction. Since January 1, 2022, our share capital has changed as follows:</w:t>
      </w:r>
    </w:p>
    <w:p>
      <w:pPr>
        <w:spacing w:after="0" w:line="170" w:lineRule="exact"/>
        <w:rPr>
          <w:sz w:val="20"/>
          <w:szCs w:val="20"/>
          <w:color w:val="auto"/>
        </w:rPr>
      </w:pPr>
    </w:p>
    <w:p>
      <w:pPr>
        <w:ind w:left="540" w:right="600" w:hanging="274"/>
        <w:spacing w:after="0" w:line="275" w:lineRule="auto"/>
        <w:tabs>
          <w:tab w:leader="none" w:pos="540" w:val="left"/>
        </w:tabs>
        <w:numPr>
          <w:ilvl w:val="0"/>
          <w:numId w:val="4"/>
        </w:numPr>
        <w:rPr>
          <w:rFonts w:ascii="Times New Roman" w:cs="Times New Roman" w:eastAsia="Times New Roman" w:hAnsi="Times New Roman"/>
          <w:sz w:val="15"/>
          <w:szCs w:val="15"/>
          <w:color w:val="auto"/>
        </w:rPr>
      </w:pPr>
      <w:r>
        <w:rPr>
          <w:rFonts w:ascii="Arial" w:cs="Arial" w:eastAsia="Arial" w:hAnsi="Arial"/>
          <w:sz w:val="15"/>
          <w:szCs w:val="15"/>
          <w:color w:val="auto"/>
        </w:rPr>
        <w:t>On October 12, 2022, we completed an SEC-registered equity offering, pursuant to which we issued and sold 10,905,000 ordinary shares, resulting in increases in share capital of €109 thousand and share premium of €106.1 million;</w:t>
      </w:r>
    </w:p>
    <w:p>
      <w:pPr>
        <w:spacing w:after="0" w:line="118" w:lineRule="exact"/>
        <w:rPr>
          <w:rFonts w:ascii="Times New Roman" w:cs="Times New Roman" w:eastAsia="Times New Roman" w:hAnsi="Times New Roman"/>
          <w:sz w:val="15"/>
          <w:szCs w:val="15"/>
          <w:color w:val="auto"/>
        </w:rPr>
      </w:pPr>
    </w:p>
    <w:p>
      <w:pPr>
        <w:ind w:left="540" w:right="280" w:hanging="274"/>
        <w:spacing w:after="0" w:line="275" w:lineRule="auto"/>
        <w:tabs>
          <w:tab w:leader="none" w:pos="540" w:val="left"/>
        </w:tabs>
        <w:numPr>
          <w:ilvl w:val="0"/>
          <w:numId w:val="4"/>
        </w:numPr>
        <w:rPr>
          <w:rFonts w:ascii="Times New Roman" w:cs="Times New Roman" w:eastAsia="Times New Roman" w:hAnsi="Times New Roman"/>
          <w:sz w:val="15"/>
          <w:szCs w:val="15"/>
          <w:color w:val="auto"/>
        </w:rPr>
      </w:pPr>
      <w:r>
        <w:rPr>
          <w:rFonts w:ascii="Arial" w:cs="Arial" w:eastAsia="Arial" w:hAnsi="Arial"/>
          <w:sz w:val="15"/>
          <w:szCs w:val="15"/>
          <w:color w:val="auto"/>
        </w:rPr>
        <w:t>During the year ended December 31, 2022, we issued and sold approximately 2.8 million ordinary shares under the sales agreement with Leerink Partners LLC, resulting in increases in share capital of €28 thousand and share premium of €20.2 million;</w:t>
      </w:r>
    </w:p>
    <w:p>
      <w:pPr>
        <w:spacing w:after="0" w:line="118" w:lineRule="exact"/>
        <w:rPr>
          <w:rFonts w:ascii="Times New Roman" w:cs="Times New Roman" w:eastAsia="Times New Roman" w:hAnsi="Times New Roman"/>
          <w:sz w:val="15"/>
          <w:szCs w:val="15"/>
          <w:color w:val="auto"/>
        </w:rPr>
      </w:pPr>
    </w:p>
    <w:p>
      <w:pPr>
        <w:ind w:left="540" w:right="20" w:hanging="274"/>
        <w:spacing w:after="0" w:line="275" w:lineRule="auto"/>
        <w:tabs>
          <w:tab w:leader="none" w:pos="540" w:val="left"/>
        </w:tabs>
        <w:numPr>
          <w:ilvl w:val="0"/>
          <w:numId w:val="4"/>
        </w:numPr>
        <w:rPr>
          <w:rFonts w:ascii="Times New Roman" w:cs="Times New Roman" w:eastAsia="Times New Roman" w:hAnsi="Times New Roman"/>
          <w:sz w:val="15"/>
          <w:szCs w:val="15"/>
          <w:color w:val="auto"/>
        </w:rPr>
      </w:pPr>
      <w:r>
        <w:rPr>
          <w:rFonts w:ascii="Arial" w:cs="Arial" w:eastAsia="Arial" w:hAnsi="Arial"/>
          <w:sz w:val="15"/>
          <w:szCs w:val="15"/>
          <w:color w:val="auto"/>
        </w:rPr>
        <w:t>On July 21, 2023, we issued and sold 2,419,818 ordinary shares to Bristol-Myers Squibb Company, resulting in increases in share capital of €24 thousand and share premium of €31.2 million;</w:t>
      </w:r>
    </w:p>
    <w:p>
      <w:pPr>
        <w:spacing w:after="0" w:line="118" w:lineRule="exact"/>
        <w:rPr>
          <w:rFonts w:ascii="Times New Roman" w:cs="Times New Roman" w:eastAsia="Times New Roman" w:hAnsi="Times New Roman"/>
          <w:sz w:val="15"/>
          <w:szCs w:val="15"/>
          <w:color w:val="auto"/>
        </w:rPr>
      </w:pPr>
    </w:p>
    <w:p>
      <w:pPr>
        <w:ind w:left="540" w:right="280" w:hanging="274"/>
        <w:spacing w:after="0" w:line="275" w:lineRule="auto"/>
        <w:tabs>
          <w:tab w:leader="none" w:pos="540" w:val="left"/>
        </w:tabs>
        <w:numPr>
          <w:ilvl w:val="0"/>
          <w:numId w:val="4"/>
        </w:numPr>
        <w:rPr>
          <w:rFonts w:ascii="Times New Roman" w:cs="Times New Roman" w:eastAsia="Times New Roman" w:hAnsi="Times New Roman"/>
          <w:sz w:val="15"/>
          <w:szCs w:val="15"/>
          <w:color w:val="auto"/>
        </w:rPr>
      </w:pPr>
      <w:r>
        <w:rPr>
          <w:rFonts w:ascii="Arial" w:cs="Arial" w:eastAsia="Arial" w:hAnsi="Arial"/>
          <w:sz w:val="15"/>
          <w:szCs w:val="15"/>
          <w:color w:val="auto"/>
        </w:rPr>
        <w:t>During the year ended December 31, 2023, we issued and sold approximately 5.5 million ordinary shares under the sales agreement with Leerink Partners LLC, resulting in increases in share capital of €55 thousand and share premium of €57.0 million;</w:t>
      </w:r>
    </w:p>
    <w:p>
      <w:pPr>
        <w:spacing w:after="0" w:line="118" w:lineRule="exact"/>
        <w:rPr>
          <w:rFonts w:ascii="Times New Roman" w:cs="Times New Roman" w:eastAsia="Times New Roman" w:hAnsi="Times New Roman"/>
          <w:sz w:val="15"/>
          <w:szCs w:val="15"/>
          <w:color w:val="auto"/>
        </w:rPr>
      </w:pPr>
    </w:p>
    <w:p>
      <w:pPr>
        <w:ind w:left="540" w:right="600" w:hanging="274"/>
        <w:spacing w:after="0" w:line="275" w:lineRule="auto"/>
        <w:tabs>
          <w:tab w:leader="none" w:pos="540" w:val="left"/>
        </w:tabs>
        <w:numPr>
          <w:ilvl w:val="0"/>
          <w:numId w:val="4"/>
        </w:numPr>
        <w:rPr>
          <w:rFonts w:ascii="Times New Roman" w:cs="Times New Roman" w:eastAsia="Times New Roman" w:hAnsi="Times New Roman"/>
          <w:sz w:val="15"/>
          <w:szCs w:val="15"/>
          <w:color w:val="auto"/>
        </w:rPr>
      </w:pPr>
      <w:r>
        <w:rPr>
          <w:rFonts w:ascii="Arial" w:cs="Arial" w:eastAsia="Arial" w:hAnsi="Arial"/>
          <w:sz w:val="15"/>
          <w:szCs w:val="15"/>
          <w:color w:val="auto"/>
        </w:rPr>
        <w:t>On January 22, 2024, we completed an SEC-registered equity offering, pursuant to which we issued and sold 18,313,750 ordinary shares, resulting in increases in share capital of €183 thousand and share premium of €173.3 million;</w:t>
      </w:r>
    </w:p>
    <w:p>
      <w:pPr>
        <w:spacing w:after="0" w:line="118" w:lineRule="exact"/>
        <w:rPr>
          <w:rFonts w:ascii="Times New Roman" w:cs="Times New Roman" w:eastAsia="Times New Roman" w:hAnsi="Times New Roman"/>
          <w:sz w:val="15"/>
          <w:szCs w:val="15"/>
          <w:color w:val="auto"/>
        </w:rPr>
      </w:pPr>
    </w:p>
    <w:p>
      <w:pPr>
        <w:ind w:left="540" w:right="600" w:hanging="274"/>
        <w:spacing w:after="0" w:line="275" w:lineRule="auto"/>
        <w:tabs>
          <w:tab w:leader="none" w:pos="540" w:val="left"/>
        </w:tabs>
        <w:numPr>
          <w:ilvl w:val="0"/>
          <w:numId w:val="4"/>
        </w:numPr>
        <w:rPr>
          <w:rFonts w:ascii="Times New Roman" w:cs="Times New Roman" w:eastAsia="Times New Roman" w:hAnsi="Times New Roman"/>
          <w:sz w:val="15"/>
          <w:szCs w:val="15"/>
          <w:color w:val="auto"/>
        </w:rPr>
      </w:pPr>
      <w:r>
        <w:rPr>
          <w:rFonts w:ascii="Arial" w:cs="Arial" w:eastAsia="Arial" w:hAnsi="Arial"/>
          <w:sz w:val="15"/>
          <w:szCs w:val="15"/>
          <w:color w:val="auto"/>
        </w:rPr>
        <w:t>On October 15, 2024, we completed an SEC-registered equity offering, pursuant to which we issued and sold 16,250,000 ordinary shares, resulting in increases in share capital of €162 thousand and share premium of €129.1 million; and</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11" w:name="page12"/>
    <w:bookmarkEnd w:id="11"/>
    <w:p>
      <w:pPr>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ind w:left="540" w:right="220" w:hanging="274"/>
        <w:spacing w:after="0" w:line="275" w:lineRule="auto"/>
        <w:tabs>
          <w:tab w:leader="none" w:pos="540" w:val="left"/>
        </w:tabs>
        <w:numPr>
          <w:ilvl w:val="0"/>
          <w:numId w:val="5"/>
        </w:numPr>
        <w:rPr>
          <w:rFonts w:ascii="Times New Roman" w:cs="Times New Roman" w:eastAsia="Times New Roman" w:hAnsi="Times New Roman"/>
          <w:sz w:val="15"/>
          <w:szCs w:val="15"/>
          <w:color w:val="auto"/>
        </w:rPr>
      </w:pPr>
      <w:r>
        <w:rPr>
          <w:rFonts w:ascii="Arial" w:cs="Arial" w:eastAsia="Arial" w:hAnsi="Arial"/>
          <w:sz w:val="15"/>
          <w:szCs w:val="15"/>
          <w:color w:val="auto"/>
        </w:rPr>
        <w:t>On November 12, 2024, pursuant to the underwriters’ exercise of their option to purchase additional shares, we issued and sold 2,185,884 ordinary shares, resulting in increases in share capital of €22 thousand and share premium of €17.9 million.</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Issuance of Ordinary Shares</w:t>
      </w:r>
    </w:p>
    <w:p>
      <w:pPr>
        <w:spacing w:after="0" w:line="170" w:lineRule="exact"/>
        <w:rPr>
          <w:sz w:val="20"/>
          <w:szCs w:val="20"/>
          <w:color w:val="auto"/>
        </w:rPr>
      </w:pPr>
    </w:p>
    <w:p>
      <w:pPr>
        <w:ind w:right="120"/>
        <w:spacing w:after="0" w:line="251" w:lineRule="auto"/>
        <w:rPr>
          <w:sz w:val="20"/>
          <w:szCs w:val="20"/>
          <w:color w:val="auto"/>
        </w:rPr>
      </w:pPr>
      <w:r>
        <w:rPr>
          <w:rFonts w:ascii="Arial" w:cs="Arial" w:eastAsia="Arial" w:hAnsi="Arial"/>
          <w:sz w:val="15"/>
          <w:szCs w:val="15"/>
          <w:color w:val="auto"/>
        </w:rPr>
        <w:t>Under Dutch law, shares are issued and rights to subscribe for shares are granted pursuant to a resolution of our general meeting. Our articles of association provide that the general meeting may only resolve to issue shares upon the proposal of our board of directors. The general meeting may authorize our board of directors to issue new ordinary shares or grant rights to subscribe for ordinary shares. The authorization can be granted and extended, in each case for a period not exceeding five years. For as long as, and to the extent, that such authorization is effective, our general meeting will not have the power to issue ordinary shares.</w:t>
      </w:r>
    </w:p>
    <w:p>
      <w:pPr>
        <w:spacing w:after="0" w:line="135" w:lineRule="exact"/>
        <w:rPr>
          <w:sz w:val="20"/>
          <w:szCs w:val="20"/>
          <w:color w:val="auto"/>
        </w:rPr>
      </w:pPr>
    </w:p>
    <w:p>
      <w:pPr>
        <w:jc w:val="both"/>
        <w:ind w:right="40"/>
        <w:spacing w:after="0" w:line="257" w:lineRule="auto"/>
        <w:rPr>
          <w:sz w:val="20"/>
          <w:szCs w:val="20"/>
          <w:color w:val="auto"/>
        </w:rPr>
      </w:pPr>
      <w:r>
        <w:rPr>
          <w:rFonts w:ascii="Arial" w:cs="Arial" w:eastAsia="Arial" w:hAnsi="Arial"/>
          <w:sz w:val="15"/>
          <w:szCs w:val="15"/>
          <w:color w:val="auto"/>
        </w:rPr>
        <w:t>Pursuant to a resolution of the general meeting dated June 20, 2024, our board of directors is irrevocably authorized for a period of five years from such date, to issue ordinary shares in the Company’s capital and/or to grant rights to subscribe for ordinary shares in the Company’s capital up to the authorized share capital as included in the Company’s articles of association from time to time.</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Preemptive Rights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Subject to restrictions in our articles of association, holders of ordinary shares have preemptive rights in relation to newly issued ordinary shares under Dutch law.</w:t>
      </w:r>
    </w:p>
    <w:p>
      <w:pPr>
        <w:spacing w:after="0" w:line="170" w:lineRule="exact"/>
        <w:rPr>
          <w:sz w:val="20"/>
          <w:szCs w:val="20"/>
          <w:color w:val="auto"/>
        </w:rPr>
      </w:pPr>
    </w:p>
    <w:p>
      <w:pPr>
        <w:ind w:right="20"/>
        <w:spacing w:after="0" w:line="247" w:lineRule="auto"/>
        <w:rPr>
          <w:sz w:val="20"/>
          <w:szCs w:val="20"/>
          <w:color w:val="auto"/>
        </w:rPr>
      </w:pPr>
      <w:r>
        <w:rPr>
          <w:rFonts w:ascii="Arial" w:cs="Arial" w:eastAsia="Arial" w:hAnsi="Arial"/>
          <w:sz w:val="15"/>
          <w:szCs w:val="15"/>
          <w:color w:val="auto"/>
        </w:rPr>
        <w:t>Under our articles of association, the preemptive rights in respect of newly issued ordinary shares may be restricted or excluded by a resolution of our general meeting upon the proposal of our board of directors, which resolution requires a two-thirds majority of the votes cast if less than half of the issued share capital is present or represented at the meeting. The general meeting may authorize our board of directors to limit or exclude the preemptive rights in respect of newly issued ordinary shares, which resolution requires a two-thirds majority of the votes cast if less than half of the issued share capital is present or represented at the meeting. Such authorization for our board of directors can be granted and extended, in each case for a period not exceeding five years.</w:t>
      </w:r>
    </w:p>
    <w:p>
      <w:pPr>
        <w:spacing w:after="0" w:line="141" w:lineRule="exact"/>
        <w:rPr>
          <w:sz w:val="20"/>
          <w:szCs w:val="20"/>
          <w:color w:val="auto"/>
        </w:rPr>
      </w:pPr>
    </w:p>
    <w:p>
      <w:pPr>
        <w:ind w:right="20"/>
        <w:spacing w:after="0" w:line="257" w:lineRule="auto"/>
        <w:rPr>
          <w:sz w:val="20"/>
          <w:szCs w:val="20"/>
          <w:color w:val="auto"/>
        </w:rPr>
      </w:pPr>
      <w:r>
        <w:rPr>
          <w:rFonts w:ascii="Arial" w:cs="Arial" w:eastAsia="Arial" w:hAnsi="Arial"/>
          <w:sz w:val="15"/>
          <w:szCs w:val="15"/>
          <w:color w:val="auto"/>
        </w:rPr>
        <w:t>Pursuant to a resolution of the general meeting dated June 20, 2024, our board of directors is irrevocably authorized for a period of five years from such date to limit or exclude preemptive rights in relation to any issuance of ordinary shares in the Company’s capital or granting of rights to subscribe for such ordinary shares the Company’s capital up to the authorized share capital as included in the Company’s articles of association from time to time.</w:t>
      </w:r>
    </w:p>
    <w:p>
      <w:pPr>
        <w:spacing w:after="0" w:line="131" w:lineRule="exact"/>
        <w:rPr>
          <w:sz w:val="20"/>
          <w:szCs w:val="20"/>
          <w:color w:val="auto"/>
        </w:rPr>
      </w:pPr>
    </w:p>
    <w:p>
      <w:pPr>
        <w:ind w:right="420"/>
        <w:spacing w:after="0" w:line="257" w:lineRule="auto"/>
        <w:rPr>
          <w:sz w:val="20"/>
          <w:szCs w:val="20"/>
          <w:color w:val="auto"/>
        </w:rPr>
      </w:pPr>
      <w:r>
        <w:rPr>
          <w:rFonts w:ascii="Arial" w:cs="Arial" w:eastAsia="Arial" w:hAnsi="Arial"/>
          <w:sz w:val="15"/>
          <w:szCs w:val="15"/>
          <w:color w:val="auto"/>
        </w:rPr>
        <w:t>Preemptive rights do not exist with respect to (a) the issuance of ordinary shares or grant of rights to subscribe for ordinary shares to our employees or a “group” company of ours, and (b) the issuance of ordinary shares against a contribution in kind. Preemptive rights do not exist with respect to the issuance of financing preferred shares and holders of financing preferred shares have no preemptive right to acquire newly issued ordinary shares.</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Transfer of Ordinary Shares</w:t>
      </w:r>
    </w:p>
    <w:p>
      <w:pPr>
        <w:spacing w:after="0" w:line="170" w:lineRule="exact"/>
        <w:rPr>
          <w:sz w:val="20"/>
          <w:szCs w:val="20"/>
          <w:color w:val="auto"/>
        </w:rPr>
      </w:pPr>
    </w:p>
    <w:p>
      <w:pPr>
        <w:ind w:right="440"/>
        <w:spacing w:after="0" w:line="276" w:lineRule="auto"/>
        <w:rPr>
          <w:sz w:val="20"/>
          <w:szCs w:val="20"/>
          <w:color w:val="auto"/>
        </w:rPr>
      </w:pPr>
      <w:r>
        <w:rPr>
          <w:rFonts w:ascii="Arial" w:cs="Arial" w:eastAsia="Arial" w:hAnsi="Arial"/>
          <w:sz w:val="15"/>
          <w:szCs w:val="15"/>
          <w:color w:val="auto"/>
        </w:rPr>
        <w:t>Under Dutch law, transfers of ordinary shares (other than in book-entry form) require a written deed of transfer and, unless the company is a party to the deed of transfer, and acknowledgement by or proper service upon the company to be effective.</w:t>
      </w:r>
    </w:p>
    <w:p>
      <w:pPr>
        <w:spacing w:after="0" w:line="117" w:lineRule="exact"/>
        <w:rPr>
          <w:sz w:val="20"/>
          <w:szCs w:val="20"/>
          <w:color w:val="auto"/>
        </w:rPr>
      </w:pPr>
    </w:p>
    <w:p>
      <w:pPr>
        <w:spacing w:after="0" w:line="251" w:lineRule="auto"/>
        <w:rPr>
          <w:sz w:val="20"/>
          <w:szCs w:val="20"/>
          <w:color w:val="auto"/>
        </w:rPr>
      </w:pPr>
      <w:r>
        <w:rPr>
          <w:rFonts w:ascii="Arial" w:cs="Arial" w:eastAsia="Arial" w:hAnsi="Arial"/>
          <w:sz w:val="15"/>
          <w:szCs w:val="15"/>
          <w:color w:val="auto"/>
        </w:rPr>
        <w:t>Under our articles of association, if one or more ordinary shares are admitted to trading on Nasdaq or any other regulated foreign stock exchange located in the United States, we may, by resolution of our board of directors, determine that the laws of the State of New York will apply to the property law aspects of the ordinary shares included in the part of the register of shareholders kept by the relevant transfer agent. Such resolution, as well as the revocation thereof, will be made public as required by law and will be</w:t>
      </w: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00"/>
          </w:cols>
          <w:pgMar w:left="320" w:top="223" w:right="379" w:bottom="1440" w:gutter="0" w:footer="0" w:header="0"/>
        </w:sectPr>
      </w:pPr>
    </w:p>
    <w:bookmarkStart w:id="12" w:name="page13"/>
    <w:bookmarkEnd w:id="12"/>
    <w:p>
      <w:pPr>
        <w:ind w:left="9"/>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ind w:left="9"/>
        <w:spacing w:after="0"/>
        <w:rPr>
          <w:sz w:val="20"/>
          <w:szCs w:val="20"/>
          <w:color w:val="auto"/>
        </w:rPr>
      </w:pPr>
      <w:r>
        <w:rPr>
          <w:rFonts w:ascii="Arial" w:cs="Arial" w:eastAsia="Arial" w:hAnsi="Arial"/>
          <w:sz w:val="15"/>
          <w:szCs w:val="15"/>
          <w:color w:val="auto"/>
        </w:rPr>
        <w:t>made available for inspection at our office and the Dutch trade register. Our management has adopted such resolution effective as of July 1, 2020.</w:t>
      </w:r>
    </w:p>
    <w:p>
      <w:pPr>
        <w:spacing w:after="0" w:line="170"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Form of Ordinary Shares</w:t>
      </w:r>
    </w:p>
    <w:p>
      <w:pPr>
        <w:spacing w:after="0" w:line="170" w:lineRule="exact"/>
        <w:rPr>
          <w:sz w:val="20"/>
          <w:szCs w:val="20"/>
          <w:color w:val="auto"/>
        </w:rPr>
      </w:pPr>
    </w:p>
    <w:p>
      <w:pPr>
        <w:ind w:left="9"/>
        <w:spacing w:after="0"/>
        <w:rPr>
          <w:sz w:val="20"/>
          <w:szCs w:val="20"/>
          <w:color w:val="auto"/>
        </w:rPr>
      </w:pPr>
      <w:r>
        <w:rPr>
          <w:rFonts w:ascii="Arial" w:cs="Arial" w:eastAsia="Arial" w:hAnsi="Arial"/>
          <w:sz w:val="15"/>
          <w:szCs w:val="15"/>
          <w:color w:val="auto"/>
        </w:rPr>
        <w:t>Pursuant to our articles of association, the ordinary shares are registered shares.</w:t>
      </w:r>
    </w:p>
    <w:p>
      <w:pPr>
        <w:spacing w:after="0" w:line="170"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Purchase and Repurchase of Ordinary Shares</w:t>
      </w:r>
    </w:p>
    <w:p>
      <w:pPr>
        <w:spacing w:after="0" w:line="170" w:lineRule="exact"/>
        <w:rPr>
          <w:sz w:val="20"/>
          <w:szCs w:val="20"/>
          <w:color w:val="auto"/>
        </w:rPr>
      </w:pPr>
    </w:p>
    <w:p>
      <w:pPr>
        <w:ind w:left="9" w:right="200"/>
        <w:spacing w:after="0" w:line="276" w:lineRule="auto"/>
        <w:rPr>
          <w:sz w:val="20"/>
          <w:szCs w:val="20"/>
          <w:color w:val="auto"/>
        </w:rPr>
      </w:pPr>
      <w:r>
        <w:rPr>
          <w:rFonts w:ascii="Arial" w:cs="Arial" w:eastAsia="Arial" w:hAnsi="Arial"/>
          <w:sz w:val="15"/>
          <w:szCs w:val="15"/>
          <w:color w:val="auto"/>
        </w:rPr>
        <w:t>Under Dutch law, we may not subscribe for newly issued ordinary shares. We may acquire ordinary shares, subject to applicable provisions and restrictions of Dutch law and our articles of association, to the extent that:</w:t>
      </w:r>
    </w:p>
    <w:p>
      <w:pPr>
        <w:spacing w:after="0" w:line="117" w:lineRule="exact"/>
        <w:rPr>
          <w:sz w:val="20"/>
          <w:szCs w:val="20"/>
          <w:color w:val="auto"/>
        </w:rPr>
      </w:pPr>
    </w:p>
    <w:p>
      <w:pPr>
        <w:ind w:left="549" w:hanging="274"/>
        <w:spacing w:after="0"/>
        <w:tabs>
          <w:tab w:leader="none" w:pos="549" w:val="left"/>
        </w:tabs>
        <w:numPr>
          <w:ilvl w:val="0"/>
          <w:numId w:val="6"/>
        </w:numPr>
        <w:rPr>
          <w:rFonts w:ascii="Times New Roman" w:cs="Times New Roman" w:eastAsia="Times New Roman" w:hAnsi="Times New Roman"/>
          <w:sz w:val="15"/>
          <w:szCs w:val="15"/>
          <w:color w:val="auto"/>
        </w:rPr>
      </w:pPr>
      <w:r>
        <w:rPr>
          <w:rFonts w:ascii="Arial" w:cs="Arial" w:eastAsia="Arial" w:hAnsi="Arial"/>
          <w:sz w:val="15"/>
          <w:szCs w:val="15"/>
          <w:color w:val="auto"/>
        </w:rPr>
        <w:t>such ordinary shares are fully paid up;</w:t>
      </w:r>
    </w:p>
    <w:p>
      <w:pPr>
        <w:spacing w:after="0" w:line="181" w:lineRule="exact"/>
        <w:rPr>
          <w:rFonts w:ascii="Times New Roman" w:cs="Times New Roman" w:eastAsia="Times New Roman" w:hAnsi="Times New Roman"/>
          <w:sz w:val="15"/>
          <w:szCs w:val="15"/>
          <w:color w:val="auto"/>
        </w:rPr>
      </w:pPr>
    </w:p>
    <w:p>
      <w:pPr>
        <w:ind w:left="549" w:right="420" w:hanging="274"/>
        <w:spacing w:after="0" w:line="275" w:lineRule="auto"/>
        <w:tabs>
          <w:tab w:leader="none" w:pos="549" w:val="left"/>
        </w:tabs>
        <w:numPr>
          <w:ilvl w:val="0"/>
          <w:numId w:val="6"/>
        </w:numPr>
        <w:rPr>
          <w:rFonts w:ascii="Times New Roman" w:cs="Times New Roman" w:eastAsia="Times New Roman" w:hAnsi="Times New Roman"/>
          <w:sz w:val="15"/>
          <w:szCs w:val="15"/>
          <w:color w:val="auto"/>
        </w:rPr>
      </w:pPr>
      <w:r>
        <w:rPr>
          <w:rFonts w:ascii="Arial" w:cs="Arial" w:eastAsia="Arial" w:hAnsi="Arial"/>
          <w:sz w:val="15"/>
          <w:szCs w:val="15"/>
          <w:color w:val="auto"/>
        </w:rPr>
        <w:t>such repurchase would not cause our shareholders’ equity to fall below an amount equal to the sum of the paid-up and called-up part of the issued share capital and the reserves we are required to maintain pursuant to Dutch law or our articles of association; and</w:t>
      </w:r>
    </w:p>
    <w:p>
      <w:pPr>
        <w:spacing w:after="0" w:line="118" w:lineRule="exact"/>
        <w:rPr>
          <w:rFonts w:ascii="Times New Roman" w:cs="Times New Roman" w:eastAsia="Times New Roman" w:hAnsi="Times New Roman"/>
          <w:sz w:val="15"/>
          <w:szCs w:val="15"/>
          <w:color w:val="auto"/>
        </w:rPr>
      </w:pPr>
    </w:p>
    <w:p>
      <w:pPr>
        <w:ind w:left="549" w:right="120" w:hanging="274"/>
        <w:spacing w:after="0" w:line="275" w:lineRule="auto"/>
        <w:tabs>
          <w:tab w:leader="none" w:pos="549" w:val="left"/>
        </w:tabs>
        <w:numPr>
          <w:ilvl w:val="0"/>
          <w:numId w:val="6"/>
        </w:numPr>
        <w:rPr>
          <w:rFonts w:ascii="Times New Roman" w:cs="Times New Roman" w:eastAsia="Times New Roman" w:hAnsi="Times New Roman"/>
          <w:sz w:val="15"/>
          <w:szCs w:val="15"/>
          <w:color w:val="auto"/>
        </w:rPr>
      </w:pPr>
      <w:r>
        <w:rPr>
          <w:rFonts w:ascii="Arial" w:cs="Arial" w:eastAsia="Arial" w:hAnsi="Arial"/>
          <w:sz w:val="15"/>
          <w:szCs w:val="15"/>
          <w:color w:val="auto"/>
        </w:rPr>
        <w:t>immediately after the acquisition of such ordinary shares, we and our subsidiaries would not hold, or would not hold as pledgees, shares having an aggregate nominal value that exceeds 50% of our then-current issued share capital.</w:t>
      </w:r>
    </w:p>
    <w:p>
      <w:pPr>
        <w:spacing w:after="0" w:line="118" w:lineRule="exact"/>
        <w:rPr>
          <w:sz w:val="20"/>
          <w:szCs w:val="20"/>
          <w:color w:val="auto"/>
        </w:rPr>
      </w:pPr>
    </w:p>
    <w:p>
      <w:pPr>
        <w:ind w:left="9"/>
        <w:spacing w:after="0" w:line="244" w:lineRule="auto"/>
        <w:rPr>
          <w:sz w:val="20"/>
          <w:szCs w:val="20"/>
          <w:color w:val="auto"/>
        </w:rPr>
      </w:pPr>
      <w:r>
        <w:rPr>
          <w:rFonts w:ascii="Arial" w:cs="Arial" w:eastAsia="Arial" w:hAnsi="Arial"/>
          <w:sz w:val="15"/>
          <w:szCs w:val="15"/>
          <w:color w:val="auto"/>
        </w:rPr>
        <w:t>Other than ordinary shares acquired for no valuable consideration or under universal title of succession (</w:t>
      </w:r>
      <w:r>
        <w:rPr>
          <w:rFonts w:ascii="Arial" w:cs="Arial" w:eastAsia="Arial" w:hAnsi="Arial"/>
          <w:sz w:val="15"/>
          <w:szCs w:val="15"/>
          <w:i w:val="1"/>
          <w:iCs w:val="1"/>
          <w:color w:val="auto"/>
        </w:rPr>
        <w:t>onder algemene titel</w:t>
      </w:r>
      <w:r>
        <w:rPr>
          <w:rFonts w:ascii="Arial" w:cs="Arial" w:eastAsia="Arial" w:hAnsi="Arial"/>
          <w:sz w:val="15"/>
          <w:szCs w:val="15"/>
          <w:color w:val="auto"/>
        </w:rPr>
        <w:t>) (e.g., through a merger or spin-off) under statutory Dutch or other law, we may acquire ordinary shares only if our general meeting has authorized our board of directors to acquire ordinary shares. An authorization by our general meeting for the acquisition of ordinary shares can be granted for a maximum period of 18 months. Such authorization must specify the number of ordinary shares that may be acquired, the manner in which these shares may be acquired and the price range within which the shares may be acquired. No authorization of our general meeting is required if ordinary shares are acquired by us on Nasdaq with the intention of transferring such ordinary shares to our employees or employees of a group company pursuant to an arrangement applicable to them. We cannot derive any right to any distribution from ordinary shares, or voting rights attached to ordinary shares, acquired by us.</w:t>
      </w:r>
    </w:p>
    <w:p>
      <w:pPr>
        <w:spacing w:after="0" w:line="144" w:lineRule="exact"/>
        <w:rPr>
          <w:sz w:val="20"/>
          <w:szCs w:val="20"/>
          <w:color w:val="auto"/>
        </w:rPr>
      </w:pPr>
    </w:p>
    <w:p>
      <w:pPr>
        <w:ind w:left="9" w:right="20"/>
        <w:spacing w:after="0" w:line="242" w:lineRule="auto"/>
        <w:rPr>
          <w:sz w:val="20"/>
          <w:szCs w:val="20"/>
          <w:color w:val="auto"/>
        </w:rPr>
      </w:pPr>
      <w:r>
        <w:rPr>
          <w:rFonts w:ascii="Arial" w:cs="Arial" w:eastAsia="Arial" w:hAnsi="Arial"/>
          <w:sz w:val="15"/>
          <w:szCs w:val="15"/>
          <w:color w:val="auto"/>
        </w:rPr>
        <w:t>Pursuant to a resolution of the general meeting dated June 20, 2024, our board of directors is irrevocably authorized for a period of 18 months from such date to resolve for us to acquire fully paid-up ordinary shares or depositary receipts thereof up to the maximum number of ordinary shares permitted pursuant to applicable law and our articles of association from time to time, through repurchases negotiated in the open market or privately, in self-tender offers, or through accelerated repurchase arrangements, at prices ranging from the nominal value of the ordinary shares up to 110% of the market price of the ordinary shares, provided that: (i) for open market or privately negotiated repurchases, the market price shall be the price for ordinary shares on Nasdaq at the time the transaction is agreed upon by us,</w:t>
      </w:r>
    </w:p>
    <w:p>
      <w:pPr>
        <w:spacing w:after="0" w:line="1" w:lineRule="exact"/>
        <w:rPr>
          <w:sz w:val="20"/>
          <w:szCs w:val="20"/>
          <w:color w:val="auto"/>
        </w:rPr>
      </w:pPr>
    </w:p>
    <w:p>
      <w:pPr>
        <w:ind w:left="9" w:right="60" w:hanging="9"/>
        <w:spacing w:after="0" w:line="244" w:lineRule="auto"/>
        <w:tabs>
          <w:tab w:leader="none" w:pos="220" w:val="left"/>
        </w:tabs>
        <w:numPr>
          <w:ilvl w:val="0"/>
          <w:numId w:val="7"/>
        </w:numPr>
        <w:rPr>
          <w:rFonts w:ascii="Arial" w:cs="Arial" w:eastAsia="Arial" w:hAnsi="Arial"/>
          <w:sz w:val="15"/>
          <w:szCs w:val="15"/>
          <w:color w:val="auto"/>
        </w:rPr>
      </w:pPr>
      <w:r>
        <w:rPr>
          <w:rFonts w:ascii="Arial" w:cs="Arial" w:eastAsia="Arial" w:hAnsi="Arial"/>
          <w:sz w:val="15"/>
          <w:szCs w:val="15"/>
          <w:color w:val="auto"/>
        </w:rPr>
        <w:t>for self-tender offers, the market price shall be the volume weighted average price for the ordinary shares on Nasdaq during a period, determined by our board of directors, of no less than one and no more than five consecutive trading days immediately prior to the expiration of the tender offer, and (iii) for accelerated repurchase arrangements, the market price shall be the volume weighted average price of the ordinary shares on Nasdaq over the term of the arrangement; the volume weighted average price for any number of trading days shall be calculated as the arithmetic average of the daily volume weighted average price on those trading days.</w:t>
      </w:r>
    </w:p>
    <w:p>
      <w:pPr>
        <w:spacing w:after="0" w:line="141"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Capital Reduction</w:t>
      </w:r>
    </w:p>
    <w:p>
      <w:pPr>
        <w:spacing w:after="0" w:line="170" w:lineRule="exact"/>
        <w:rPr>
          <w:sz w:val="20"/>
          <w:szCs w:val="20"/>
          <w:color w:val="auto"/>
        </w:rPr>
      </w:pPr>
    </w:p>
    <w:p>
      <w:pPr>
        <w:ind w:left="9"/>
        <w:spacing w:after="0"/>
        <w:rPr>
          <w:sz w:val="20"/>
          <w:szCs w:val="20"/>
          <w:color w:val="auto"/>
        </w:rPr>
      </w:pPr>
      <w:r>
        <w:rPr>
          <w:rFonts w:ascii="Arial" w:cs="Arial" w:eastAsia="Arial" w:hAnsi="Arial"/>
          <w:sz w:val="15"/>
          <w:szCs w:val="15"/>
          <w:color w:val="auto"/>
        </w:rPr>
        <w:t>At a general meeting, our shareholders may resolve on the proposal of our board of directors to reduce our issued share capital by (i) cancelling ordinary shares or</w:t>
      </w:r>
    </w:p>
    <w:p>
      <w:pPr>
        <w:spacing w:after="0" w:line="13" w:lineRule="exact"/>
        <w:rPr>
          <w:sz w:val="20"/>
          <w:szCs w:val="20"/>
          <w:color w:val="auto"/>
        </w:rPr>
      </w:pPr>
    </w:p>
    <w:p>
      <w:pPr>
        <w:ind w:left="9" w:right="340" w:hanging="9"/>
        <w:spacing w:after="0" w:line="257" w:lineRule="auto"/>
        <w:tabs>
          <w:tab w:leader="none" w:pos="220" w:val="left"/>
        </w:tabs>
        <w:numPr>
          <w:ilvl w:val="0"/>
          <w:numId w:val="8"/>
        </w:numPr>
        <w:rPr>
          <w:rFonts w:ascii="Arial" w:cs="Arial" w:eastAsia="Arial" w:hAnsi="Arial"/>
          <w:sz w:val="15"/>
          <w:szCs w:val="15"/>
          <w:color w:val="auto"/>
        </w:rPr>
      </w:pPr>
      <w:r>
        <w:rPr>
          <w:rFonts w:ascii="Arial" w:cs="Arial" w:eastAsia="Arial" w:hAnsi="Arial"/>
          <w:sz w:val="15"/>
          <w:szCs w:val="15"/>
          <w:color w:val="auto"/>
        </w:rPr>
        <w:t>reducing the nominal value of the ordinary shares by amending our articles of association. In either case, this reduction would be subject to applicable statutory provisions. A resolution to cancel ordinary shares may only relate to (i) ordinary</w:t>
      </w:r>
    </w:p>
    <w:p>
      <w:pPr>
        <w:spacing w:after="0" w:line="222"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715327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49"/>
          </w:cols>
          <w:pgMar w:left="311" w:top="223" w:right="339" w:bottom="1440" w:gutter="0" w:footer="0" w:header="0"/>
        </w:sectPr>
      </w:pPr>
    </w:p>
    <w:bookmarkStart w:id="13" w:name="page14"/>
    <w:bookmarkEnd w:id="13"/>
    <w:p>
      <w:pPr>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spacing w:after="0" w:line="251" w:lineRule="auto"/>
        <w:rPr>
          <w:sz w:val="20"/>
          <w:szCs w:val="20"/>
          <w:color w:val="auto"/>
        </w:rPr>
      </w:pPr>
      <w:r>
        <w:rPr>
          <w:rFonts w:ascii="Arial" w:cs="Arial" w:eastAsia="Arial" w:hAnsi="Arial"/>
          <w:sz w:val="15"/>
          <w:szCs w:val="15"/>
          <w:color w:val="auto"/>
        </w:rPr>
        <w:t>shares held by us or in respect of which we hold the depository receipts, or (ii) all financing preferred shares of a class if approved by the holders of all shares of that class. In order to be approved by our general meeting, a resolution to reduce the capital requires a two-thirds majority of the votes cast if less than half of the issued share capital is present or represented at the meeting. A reduction of the nominal value of ordinary shares without repayment and without release from the obligation to pay up the ordinary shares must be effectuated proportionally on shares of the same class (unless all affected shareholders agree to a disproportional reduction).</w:t>
      </w:r>
    </w:p>
    <w:p>
      <w:pPr>
        <w:spacing w:after="0" w:line="135" w:lineRule="exact"/>
        <w:rPr>
          <w:sz w:val="20"/>
          <w:szCs w:val="20"/>
          <w:color w:val="auto"/>
        </w:rPr>
      </w:pPr>
    </w:p>
    <w:p>
      <w:pPr>
        <w:jc w:val="both"/>
        <w:ind w:right="180"/>
        <w:spacing w:after="0" w:line="257" w:lineRule="auto"/>
        <w:rPr>
          <w:sz w:val="20"/>
          <w:szCs w:val="20"/>
          <w:color w:val="auto"/>
        </w:rPr>
      </w:pPr>
      <w:r>
        <w:rPr>
          <w:rFonts w:ascii="Arial" w:cs="Arial" w:eastAsia="Arial" w:hAnsi="Arial"/>
          <w:sz w:val="15"/>
          <w:szCs w:val="15"/>
          <w:color w:val="auto"/>
        </w:rPr>
        <w:t>A resolution that would result in a reduction of capital requires approval by a majority of the votes cast of each group of shareholders of the same class whose rights are prejudiced by the reduction. In addition, a reduction of capital involves a two-month waiting period during which creditors have the right to object to a reduction of capital under specified circumstances.</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 Meeting of Shareholders and Voting Rights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General Meeting of Shareholders</w:t>
      </w:r>
    </w:p>
    <w:p>
      <w:pPr>
        <w:spacing w:after="0" w:line="170" w:lineRule="exact"/>
        <w:rPr>
          <w:sz w:val="20"/>
          <w:szCs w:val="20"/>
          <w:color w:val="auto"/>
        </w:rPr>
      </w:pPr>
    </w:p>
    <w:p>
      <w:pPr>
        <w:jc w:val="both"/>
        <w:ind w:right="140"/>
        <w:spacing w:after="0" w:line="257" w:lineRule="auto"/>
        <w:rPr>
          <w:sz w:val="20"/>
          <w:szCs w:val="20"/>
          <w:color w:val="auto"/>
        </w:rPr>
      </w:pPr>
      <w:r>
        <w:rPr>
          <w:rFonts w:ascii="Arial" w:cs="Arial" w:eastAsia="Arial" w:hAnsi="Arial"/>
          <w:sz w:val="15"/>
          <w:szCs w:val="15"/>
          <w:color w:val="auto"/>
        </w:rPr>
        <w:t>General meetings are held in Amsterdam, Rotterdam, The Hague, Arnhem, Utrecht, or in the municipality of Haarlemmermeer (Schiphol Airport), the Netherlands. All of our shareholders and others entitled to attend our general meetings are authorized to address the meeting and, in so far as they have such right, to vote, either in person or by proxy.</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auto"/>
        </w:rPr>
        <w:t>We will hold at least one general meeting each year, to be held within six months after the end of our financial year. A general meeting will also be held within</w:t>
      </w:r>
    </w:p>
    <w:p>
      <w:pPr>
        <w:spacing w:after="0" w:line="13" w:lineRule="exact"/>
        <w:rPr>
          <w:sz w:val="20"/>
          <w:szCs w:val="20"/>
          <w:color w:val="auto"/>
        </w:rPr>
      </w:pPr>
    </w:p>
    <w:p>
      <w:pPr>
        <w:jc w:val="both"/>
        <w:ind w:right="80"/>
        <w:spacing w:after="0" w:line="247" w:lineRule="auto"/>
        <w:rPr>
          <w:sz w:val="20"/>
          <w:szCs w:val="20"/>
          <w:color w:val="auto"/>
        </w:rPr>
      </w:pPr>
      <w:r>
        <w:rPr>
          <w:rFonts w:ascii="Arial" w:cs="Arial" w:eastAsia="Arial" w:hAnsi="Arial"/>
          <w:sz w:val="15"/>
          <w:szCs w:val="15"/>
          <w:color w:val="auto"/>
        </w:rPr>
        <w:t>three months after our board of directors has determined it to be likely that our equity has decreased to an amount equal to or lower than half of its paid-up and called-up capital, in order to discuss the measures to be taken if so required. If our board of directors fails to hold such general meeting in a timely manner, each shareholder and other person entitled to attend our general meeting may be authorized by the Dutch court to convene our general meeting.</w:t>
      </w:r>
    </w:p>
    <w:p>
      <w:pPr>
        <w:spacing w:after="0" w:line="139" w:lineRule="exact"/>
        <w:rPr>
          <w:sz w:val="20"/>
          <w:szCs w:val="20"/>
          <w:color w:val="auto"/>
        </w:rPr>
      </w:pPr>
    </w:p>
    <w:p>
      <w:pPr>
        <w:ind w:right="180"/>
        <w:spacing w:after="0" w:line="247" w:lineRule="auto"/>
        <w:rPr>
          <w:sz w:val="20"/>
          <w:szCs w:val="20"/>
          <w:color w:val="auto"/>
        </w:rPr>
      </w:pPr>
      <w:r>
        <w:rPr>
          <w:rFonts w:ascii="Arial" w:cs="Arial" w:eastAsia="Arial" w:hAnsi="Arial"/>
          <w:sz w:val="15"/>
          <w:szCs w:val="15"/>
          <w:color w:val="auto"/>
        </w:rPr>
        <w:t>Our board of directors may convene additional extraordinary general meetings of shareholders at its discretion, subject to the notice requirements described below. Pursuant to Dutch law, one or more shareholders and/or others entitled to attend general meetings of shareholders, alone or jointly representing at least 10% of our issued share capital, may on their application be authorized by the Dutch court to convene a general meeting. The Dutch court will disallow the application if (i) the applicants have not previously requested in writing that our board of directors convenes a shareholders’ meeting, (ii) our board of directors convenes a shareholders’ meeting or (iii) our board of directors has taken the necessary steps so that the shareholders’ meeting could be held within six weeks after such request.</w:t>
      </w:r>
    </w:p>
    <w:p>
      <w:pPr>
        <w:spacing w:after="0" w:line="141" w:lineRule="exact"/>
        <w:rPr>
          <w:sz w:val="20"/>
          <w:szCs w:val="20"/>
          <w:color w:val="auto"/>
        </w:rPr>
      </w:pPr>
    </w:p>
    <w:p>
      <w:pPr>
        <w:ind w:right="20"/>
        <w:spacing w:after="0" w:line="243" w:lineRule="auto"/>
        <w:rPr>
          <w:sz w:val="20"/>
          <w:szCs w:val="20"/>
          <w:color w:val="auto"/>
        </w:rPr>
      </w:pPr>
      <w:r>
        <w:rPr>
          <w:rFonts w:ascii="Arial" w:cs="Arial" w:eastAsia="Arial" w:hAnsi="Arial"/>
          <w:sz w:val="15"/>
          <w:szCs w:val="15"/>
          <w:color w:val="auto"/>
        </w:rPr>
        <w:t>The general meeting is convened by a notice, which includes an agenda stating the items to be discussed and the location and time of our general meeting. For the annual general meeting, the agenda will include, among other things, the adoption of our annual accounts, the appropriation of its profits or losses and proposals relating to the composition of and filling of any vacancies on our board of directors. In addition, the agenda for a general meeting includes such additional items as determined by our board of directors. Pursuant to Dutch law, one or more shareholders and/or others entitled to attend general meetings of shareholders, alone or jointly representing at least 3% of the issued share capital, have the right to request the inclusion of additional items on the agenda of shareholders’ meetings. Such requests must be made in writing, and may include a proposal for a shareholder resolution, and must be received by us no later than on the sixtieth (60th) day before the day the relevant shareholders’ meeting is held. No resolutions will be adopted on items other than those which have been included in the agenda. Under our articles of association, certain items can only be put on the agenda as a voting item by our board of directors. Shareholders meeting the relevant requirements may still request the inclusion of such items on the agenda as a discussion item.</w:t>
      </w:r>
    </w:p>
    <w:p>
      <w:pPr>
        <w:spacing w:after="0" w:line="142" w:lineRule="exact"/>
        <w:rPr>
          <w:sz w:val="20"/>
          <w:szCs w:val="20"/>
          <w:color w:val="auto"/>
        </w:rPr>
      </w:pPr>
    </w:p>
    <w:p>
      <w:pPr>
        <w:ind w:right="280"/>
        <w:spacing w:after="0" w:line="276" w:lineRule="auto"/>
        <w:rPr>
          <w:sz w:val="20"/>
          <w:szCs w:val="20"/>
          <w:color w:val="auto"/>
        </w:rPr>
      </w:pPr>
      <w:r>
        <w:rPr>
          <w:rFonts w:ascii="Arial" w:cs="Arial" w:eastAsia="Arial" w:hAnsi="Arial"/>
          <w:sz w:val="15"/>
          <w:szCs w:val="15"/>
          <w:color w:val="auto"/>
        </w:rPr>
        <w:t>In accordance with the Dutch Corporate Governance Code, shareholders who have the right to put an item on the agenda for our general meeting or to request the convening of a general meeting shall not exercise such rights until after they have consulted our board of directors. If exercising such rights may</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14" w:name="page15"/>
    <w:bookmarkEnd w:id="14"/>
    <w:p>
      <w:pPr>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spacing w:after="0" w:line="246" w:lineRule="auto"/>
        <w:rPr>
          <w:sz w:val="20"/>
          <w:szCs w:val="20"/>
          <w:color w:val="auto"/>
        </w:rPr>
      </w:pPr>
      <w:r>
        <w:rPr>
          <w:rFonts w:ascii="Arial" w:cs="Arial" w:eastAsia="Arial" w:hAnsi="Arial"/>
          <w:sz w:val="15"/>
          <w:szCs w:val="15"/>
          <w:color w:val="auto"/>
        </w:rPr>
        <w:t>result in a change in our strategy (for example, through the dismissal of one or more of our directors), our board of directors must be given the opportunity to invoke a reasonable period of up to 180 days to respond to the shareholders’ intentions. If invoked, our board of directors must use such response period for further deliberation and constructive consultation, in any event, with the shareholder(s) concerned and exploring alternatives. At the end of the response time, our board of directors shall report on this consultation and the exploration of alternatives to our general meeting. The response period may be invoked only once for any given general meeting and shall not apply (i) in respect of a matter for which a response period or a cooling-off period (as discussed below) has been previously invoked or (ii) if a shareholder holds at least 75% of our issued share capital as a consequence of a successful public bid.</w:t>
      </w:r>
    </w:p>
    <w:p>
      <w:pPr>
        <w:spacing w:after="0" w:line="139" w:lineRule="exact"/>
        <w:rPr>
          <w:sz w:val="20"/>
          <w:szCs w:val="20"/>
          <w:color w:val="auto"/>
        </w:rPr>
      </w:pPr>
    </w:p>
    <w:p>
      <w:pPr>
        <w:ind w:right="20"/>
        <w:spacing w:after="0" w:line="241" w:lineRule="auto"/>
        <w:rPr>
          <w:sz w:val="20"/>
          <w:szCs w:val="20"/>
          <w:color w:val="auto"/>
        </w:rPr>
      </w:pPr>
      <w:r>
        <w:rPr>
          <w:rFonts w:ascii="Arial" w:cs="Arial" w:eastAsia="Arial" w:hAnsi="Arial"/>
          <w:sz w:val="15"/>
          <w:szCs w:val="15"/>
          <w:color w:val="auto"/>
        </w:rPr>
        <w:t>Moreover, our board of directors can invoke a cooling-off period of up to 250 days when shareholders, using their right to have items added to the agenda for a general meeting or their right to request a general meeting, propose an agenda item for our general meeting to dismiss, suspend or appoint one or more directors (or to amend any provision in our articles of association dealing with those matters) or when a public offer for our company is made or announced without our support, provided, in each case, that our board of directors believes that such proposal or offer materially conflicts with the interests of our company and its business. During a cooling-off period, our general meeting cannot dismiss, suspend or appoint directors (or amend the provisions in our articles of association dealing with those matters) except at the proposal of our board of directors. During a cooling-off period, our board of directors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board of directors must publish a report in respect of its policy and conduct of affairs during the cooling-off period on our website. This report must remain available for inspection by shareholders and others with meeting rights under Dutch law at our office and must be tabled for discussion at the next general meeting. Shareholders representing at least 3% of our issued share capital may request the Enterprise Chamber for early termination of the cooling-off period. The Enterprise Chamber must rule in favor of the request if the shareholders can demonstrate that:</w:t>
      </w:r>
    </w:p>
    <w:p>
      <w:pPr>
        <w:spacing w:after="0" w:line="148" w:lineRule="exact"/>
        <w:rPr>
          <w:sz w:val="20"/>
          <w:szCs w:val="20"/>
          <w:color w:val="auto"/>
        </w:rPr>
      </w:pPr>
    </w:p>
    <w:p>
      <w:pPr>
        <w:ind w:left="540" w:right="260" w:hanging="274"/>
        <w:spacing w:after="0" w:line="275" w:lineRule="auto"/>
        <w:tabs>
          <w:tab w:leader="none" w:pos="540" w:val="left"/>
        </w:tabs>
        <w:numPr>
          <w:ilvl w:val="0"/>
          <w:numId w:val="9"/>
        </w:numPr>
        <w:rPr>
          <w:rFonts w:ascii="Times New Roman" w:cs="Times New Roman" w:eastAsia="Times New Roman" w:hAnsi="Times New Roman"/>
          <w:sz w:val="15"/>
          <w:szCs w:val="15"/>
          <w:color w:val="auto"/>
        </w:rPr>
      </w:pPr>
      <w:r>
        <w:rPr>
          <w:rFonts w:ascii="Arial" w:cs="Arial" w:eastAsia="Arial" w:hAnsi="Arial"/>
          <w:sz w:val="15"/>
          <w:szCs w:val="15"/>
          <w:color w:val="auto"/>
        </w:rPr>
        <w:t>our board of directors, in light of the circumstances at hand when the cooling-off period was invoked, could not reasonably have concluded that the relevant proposal or hostile offer constituted a material conflict with the interests of our company and its business;</w:t>
      </w:r>
    </w:p>
    <w:p>
      <w:pPr>
        <w:spacing w:after="0" w:line="118"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9"/>
        </w:numPr>
        <w:rPr>
          <w:rFonts w:ascii="Times New Roman" w:cs="Times New Roman" w:eastAsia="Times New Roman" w:hAnsi="Times New Roman"/>
          <w:sz w:val="15"/>
          <w:szCs w:val="15"/>
          <w:color w:val="auto"/>
        </w:rPr>
      </w:pPr>
      <w:r>
        <w:rPr>
          <w:rFonts w:ascii="Arial" w:cs="Arial" w:eastAsia="Arial" w:hAnsi="Arial"/>
          <w:sz w:val="15"/>
          <w:szCs w:val="15"/>
          <w:color w:val="auto"/>
        </w:rPr>
        <w:t>our board of directors cannot reasonably believe that a continuation of the cooling-off period would contribute to careful policy-making; or</w:t>
      </w:r>
    </w:p>
    <w:p>
      <w:pPr>
        <w:spacing w:after="0" w:line="181" w:lineRule="exact"/>
        <w:rPr>
          <w:rFonts w:ascii="Times New Roman" w:cs="Times New Roman" w:eastAsia="Times New Roman" w:hAnsi="Times New Roman"/>
          <w:sz w:val="15"/>
          <w:szCs w:val="15"/>
          <w:color w:val="auto"/>
        </w:rPr>
      </w:pPr>
    </w:p>
    <w:p>
      <w:pPr>
        <w:ind w:left="540" w:right="180" w:hanging="274"/>
        <w:spacing w:after="0" w:line="275" w:lineRule="auto"/>
        <w:tabs>
          <w:tab w:leader="none" w:pos="540" w:val="left"/>
        </w:tabs>
        <w:numPr>
          <w:ilvl w:val="0"/>
          <w:numId w:val="9"/>
        </w:numPr>
        <w:rPr>
          <w:rFonts w:ascii="Times New Roman" w:cs="Times New Roman" w:eastAsia="Times New Roman" w:hAnsi="Times New Roman"/>
          <w:sz w:val="15"/>
          <w:szCs w:val="15"/>
          <w:color w:val="auto"/>
        </w:rPr>
      </w:pPr>
      <w:r>
        <w:rPr>
          <w:rFonts w:ascii="Arial" w:cs="Arial" w:eastAsia="Arial" w:hAnsi="Arial"/>
          <w:sz w:val="15"/>
          <w:szCs w:val="15"/>
          <w:color w:val="auto"/>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p>
      <w:pPr>
        <w:spacing w:after="0" w:line="118" w:lineRule="exact"/>
        <w:rPr>
          <w:sz w:val="20"/>
          <w:szCs w:val="20"/>
          <w:color w:val="auto"/>
        </w:rPr>
      </w:pPr>
    </w:p>
    <w:p>
      <w:pPr>
        <w:ind w:right="40"/>
        <w:spacing w:after="0" w:line="251" w:lineRule="auto"/>
        <w:rPr>
          <w:sz w:val="20"/>
          <w:szCs w:val="20"/>
          <w:color w:val="auto"/>
        </w:rPr>
      </w:pPr>
      <w:r>
        <w:rPr>
          <w:rFonts w:ascii="Arial" w:cs="Arial" w:eastAsia="Arial" w:hAnsi="Arial"/>
          <w:sz w:val="15"/>
          <w:szCs w:val="15"/>
          <w:color w:val="auto"/>
        </w:rPr>
        <w:t>We will give notice of each general meeting by publication on our website and, to the extent required by applicable law, in a Dutch daily newspaper with national distribution, and in any other manner that we may be required to follow in order to comply with Dutch law and applicable stock exchange and SEC requirements. We will observe the statutory minimum convening notice period for a general meeting. Holders of registered shares may further be provided notice of the meeting in writing at their addresses as stated in its shareholders’ register.</w:t>
      </w:r>
    </w:p>
    <w:p>
      <w:pPr>
        <w:spacing w:after="0" w:line="135" w:lineRule="exact"/>
        <w:rPr>
          <w:sz w:val="20"/>
          <w:szCs w:val="20"/>
          <w:color w:val="auto"/>
        </w:rPr>
      </w:pPr>
    </w:p>
    <w:p>
      <w:pPr>
        <w:ind w:right="100"/>
        <w:spacing w:after="0" w:line="251" w:lineRule="auto"/>
        <w:rPr>
          <w:sz w:val="20"/>
          <w:szCs w:val="20"/>
          <w:color w:val="auto"/>
        </w:rPr>
      </w:pPr>
      <w:r>
        <w:rPr>
          <w:rFonts w:ascii="Arial" w:cs="Arial" w:eastAsia="Arial" w:hAnsi="Arial"/>
          <w:sz w:val="15"/>
          <w:szCs w:val="15"/>
          <w:color w:val="auto"/>
        </w:rPr>
        <w:t>Pursuant to our articles of association and Dutch law, our board of directors may determine a record date (</w:t>
      </w:r>
      <w:r>
        <w:rPr>
          <w:rFonts w:ascii="Arial" w:cs="Arial" w:eastAsia="Arial" w:hAnsi="Arial"/>
          <w:sz w:val="15"/>
          <w:szCs w:val="15"/>
          <w:i w:val="1"/>
          <w:iCs w:val="1"/>
          <w:color w:val="auto"/>
        </w:rPr>
        <w:t>registratiedatum</w:t>
      </w:r>
      <w:r>
        <w:rPr>
          <w:rFonts w:ascii="Arial" w:cs="Arial" w:eastAsia="Arial" w:hAnsi="Arial"/>
          <w:sz w:val="15"/>
          <w:szCs w:val="15"/>
          <w:color w:val="auto"/>
        </w:rPr>
        <w:t>) of 28 calendar days prior to a general meeting to establish which shareholders and others with meeting rights are entitled to attend and, if applicable, vote at our general meeting. The record date, if any, and the manner in which shareholders can register and exercise their rights will be set out in the notice of our general meeting. Our articles of association provide that a shareholder must notify us in</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15" w:name="page16"/>
    <w:bookmarkEnd w:id="15"/>
    <w:p>
      <w:pPr>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jc w:val="both"/>
        <w:ind w:right="60"/>
        <w:spacing w:after="0" w:line="251" w:lineRule="auto"/>
        <w:rPr>
          <w:sz w:val="20"/>
          <w:szCs w:val="20"/>
          <w:color w:val="auto"/>
        </w:rPr>
      </w:pPr>
      <w:r>
        <w:rPr>
          <w:rFonts w:ascii="Arial" w:cs="Arial" w:eastAsia="Arial" w:hAnsi="Arial"/>
          <w:sz w:val="15"/>
          <w:szCs w:val="15"/>
          <w:color w:val="auto"/>
        </w:rPr>
        <w:t>writing of his or her identity and his or her intention to attend (or be represented at) our general meeting, such notice to be received by us on the date set by our board of directors in accordance with our articles of association and as set forth in the convening notice. If this requirement is not complied with or if upon request no proper identification is provided by any person wishing to enter our general meeting, the chairman of our general meeting may, in his or her sole discretion, refuse entry to the shareholder or his or her proxy holder.</w:t>
      </w:r>
    </w:p>
    <w:p>
      <w:pPr>
        <w:spacing w:after="0" w:line="135" w:lineRule="exact"/>
        <w:rPr>
          <w:sz w:val="20"/>
          <w:szCs w:val="20"/>
          <w:color w:val="auto"/>
        </w:rPr>
      </w:pPr>
    </w:p>
    <w:p>
      <w:pPr>
        <w:ind w:right="220"/>
        <w:spacing w:after="0" w:line="251" w:lineRule="auto"/>
        <w:rPr>
          <w:sz w:val="20"/>
          <w:szCs w:val="20"/>
          <w:color w:val="auto"/>
        </w:rPr>
      </w:pPr>
      <w:r>
        <w:rPr>
          <w:rFonts w:ascii="Arial" w:cs="Arial" w:eastAsia="Arial" w:hAnsi="Arial"/>
          <w:sz w:val="15"/>
          <w:szCs w:val="15"/>
          <w:color w:val="auto"/>
        </w:rPr>
        <w:t>Pursuant to our articles of association, our general meeting is chaired by the chairman of our board of directors, who, nevertheless, may charge another person to preside over the meeting in his place even if he himself is present at the meeting. If the chairman of our board of directors is absent and he has not charged another person to preside over the meeting in his place, our directors present at the meeting will appoint one of them to be chairman. In the absence of all directors, our general meeting will appoint its chairman.</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Voting Rights and Quorum</w:t>
      </w:r>
    </w:p>
    <w:p>
      <w:pPr>
        <w:spacing w:after="0" w:line="170" w:lineRule="exact"/>
        <w:rPr>
          <w:sz w:val="20"/>
          <w:szCs w:val="20"/>
          <w:color w:val="auto"/>
        </w:rPr>
      </w:pPr>
    </w:p>
    <w:p>
      <w:pPr>
        <w:ind w:right="40"/>
        <w:spacing w:after="0" w:line="247" w:lineRule="auto"/>
        <w:rPr>
          <w:sz w:val="20"/>
          <w:szCs w:val="20"/>
          <w:color w:val="auto"/>
        </w:rPr>
      </w:pPr>
      <w:r>
        <w:rPr>
          <w:rFonts w:ascii="Arial" w:cs="Arial" w:eastAsia="Arial" w:hAnsi="Arial"/>
          <w:sz w:val="15"/>
          <w:szCs w:val="15"/>
          <w:color w:val="auto"/>
        </w:rPr>
        <w:t>In accordance with Dutch law and our articles of association, each ordinary share, irrespective of which class it concerns, confers the right on the holder thereof to cast one vote at our general meeting. The voting rights attached to any ordinary shares held by us or our direct or indirect subsidiaries are suspended, unless the ordinary shares were encumbered with a right of usufruct or a pledge in favor of a party other than us or a direct or indirect subsidiary before such ordinary shares were acquired by us or such a subsidiary, in which case, the other party may be entitled to exercise the voting rights on the ordinary shares. We may not exercise voting rights for ordinary shares in respect of which we or a direct or indirect subsidiary has a right of usufruct or a pledge.</w:t>
      </w:r>
    </w:p>
    <w:p>
      <w:pPr>
        <w:spacing w:after="0" w:line="141" w:lineRule="exact"/>
        <w:rPr>
          <w:sz w:val="20"/>
          <w:szCs w:val="20"/>
          <w:color w:val="auto"/>
        </w:rPr>
      </w:pPr>
    </w:p>
    <w:p>
      <w:pPr>
        <w:jc w:val="both"/>
        <w:ind w:right="160"/>
        <w:spacing w:after="0" w:line="257" w:lineRule="auto"/>
        <w:rPr>
          <w:sz w:val="20"/>
          <w:szCs w:val="20"/>
          <w:color w:val="auto"/>
        </w:rPr>
      </w:pPr>
      <w:r>
        <w:rPr>
          <w:rFonts w:ascii="Arial" w:cs="Arial" w:eastAsia="Arial" w:hAnsi="Arial"/>
          <w:sz w:val="15"/>
          <w:szCs w:val="15"/>
          <w:color w:val="auto"/>
        </w:rPr>
        <w:t>Voting rights may be exercised by shareholders or by a duly appointed proxy holder (the written proxy being acceptable to the chairman of our general meeting) of a shareholder, which proxy holder need not be a shareholder. The holder of a usufruct or pledge on shares will have the voting rights attached thereto if so provided for when the usufruct or pledge was created.</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15"/>
          <w:szCs w:val="15"/>
          <w:color w:val="auto"/>
        </w:rPr>
        <w:t>Under our articles of association, blank votes (votes where no choice has been made), abstentions and invalid votes will not be counted as votes cast. However, shares in respect of which a blank vote or invalid vote has been cast and shares in respect of which the person with meeting rights who is present or represented at the meeting has abstained from voting are counted when determining the part of the issued share capital that is present or represented at a general meeting. The chairman of our general meeting will determine the manner of voting and whether voting may take place by acclamation.</w:t>
      </w:r>
    </w:p>
    <w:p>
      <w:pPr>
        <w:spacing w:after="0" w:line="135" w:lineRule="exact"/>
        <w:rPr>
          <w:sz w:val="20"/>
          <w:szCs w:val="20"/>
          <w:color w:val="auto"/>
        </w:rPr>
      </w:pPr>
    </w:p>
    <w:p>
      <w:pPr>
        <w:ind w:right="260"/>
        <w:spacing w:after="0" w:line="257" w:lineRule="auto"/>
        <w:rPr>
          <w:sz w:val="20"/>
          <w:szCs w:val="20"/>
          <w:color w:val="auto"/>
        </w:rPr>
      </w:pPr>
      <w:r>
        <w:rPr>
          <w:rFonts w:ascii="Arial" w:cs="Arial" w:eastAsia="Arial" w:hAnsi="Arial"/>
          <w:sz w:val="15"/>
          <w:szCs w:val="15"/>
          <w:color w:val="auto"/>
        </w:rPr>
        <w:t>Resolutions of the shareholders are adopted at a general meeting by a majority of votes cast, except where Dutch law or our articles of association provide for a special majority in relation to specified resolutions. Our articles of association do not provide for a quorum requirement, subject to any provision of mandatory Dutch law.</w:t>
      </w:r>
    </w:p>
    <w:p>
      <w:pPr>
        <w:spacing w:after="0" w:line="131" w:lineRule="exact"/>
        <w:rPr>
          <w:sz w:val="20"/>
          <w:szCs w:val="20"/>
          <w:color w:val="auto"/>
        </w:rPr>
      </w:pPr>
    </w:p>
    <w:p>
      <w:pPr>
        <w:ind w:right="140"/>
        <w:spacing w:after="0" w:line="276" w:lineRule="auto"/>
        <w:rPr>
          <w:sz w:val="20"/>
          <w:szCs w:val="20"/>
          <w:color w:val="auto"/>
        </w:rPr>
      </w:pPr>
      <w:r>
        <w:rPr>
          <w:rFonts w:ascii="Arial" w:cs="Arial" w:eastAsia="Arial" w:hAnsi="Arial"/>
          <w:sz w:val="15"/>
          <w:szCs w:val="15"/>
          <w:color w:val="auto"/>
        </w:rPr>
        <w:t>Subject to certain restrictions in our articles of association, the determination during our general meeting made by the chairman of that general meeting with regard to the results of a vote will be decisive. Our board of directors will keep a record of the resolutions passed at each general meeting.</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Amendment of Articles of Association</w:t>
      </w:r>
    </w:p>
    <w:p>
      <w:pPr>
        <w:spacing w:after="0" w:line="170" w:lineRule="exact"/>
        <w:rPr>
          <w:sz w:val="20"/>
          <w:szCs w:val="20"/>
          <w:color w:val="auto"/>
        </w:rPr>
      </w:pPr>
    </w:p>
    <w:p>
      <w:pPr>
        <w:ind w:right="100"/>
        <w:spacing w:after="0" w:line="276" w:lineRule="auto"/>
        <w:rPr>
          <w:sz w:val="20"/>
          <w:szCs w:val="20"/>
          <w:color w:val="auto"/>
        </w:rPr>
      </w:pPr>
      <w:r>
        <w:rPr>
          <w:rFonts w:ascii="Arial" w:cs="Arial" w:eastAsia="Arial" w:hAnsi="Arial"/>
          <w:sz w:val="15"/>
          <w:szCs w:val="15"/>
          <w:color w:val="auto"/>
        </w:rPr>
        <w:t>At a general meeting, at the proposal of our board of directors, our general meeting may resolve to amend the articles of association. A resolution by the shareholders to amend the articles of association requires a majority of the votes cast.</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Merger, Demerger and Dissolution</w:t>
      </w:r>
    </w:p>
    <w:p>
      <w:pPr>
        <w:spacing w:after="0" w:line="170" w:lineRule="exact"/>
        <w:rPr>
          <w:sz w:val="20"/>
          <w:szCs w:val="20"/>
          <w:color w:val="auto"/>
        </w:rPr>
      </w:pPr>
    </w:p>
    <w:p>
      <w:pPr>
        <w:ind w:right="100"/>
        <w:spacing w:after="0" w:line="276" w:lineRule="auto"/>
        <w:rPr>
          <w:sz w:val="20"/>
          <w:szCs w:val="20"/>
          <w:color w:val="auto"/>
        </w:rPr>
      </w:pPr>
      <w:r>
        <w:rPr>
          <w:rFonts w:ascii="Arial" w:cs="Arial" w:eastAsia="Arial" w:hAnsi="Arial"/>
          <w:sz w:val="15"/>
          <w:szCs w:val="15"/>
          <w:color w:val="auto"/>
        </w:rPr>
        <w:t>At the proposal of our board of directors, our general meeting may resolve with a majority of the votes cast (subject to certain exceptions), or with at least two-thirds of the votes cast if less than half of the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16" w:name="page17"/>
    <w:bookmarkEnd w:id="16"/>
    <w:p>
      <w:pPr>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issued capital is present or represented at our general meeting, to legally merge or demerge the company within the meaning of Title 7, Book 2 of the Dutch Civil Code.</w:t>
      </w:r>
    </w:p>
    <w:p>
      <w:pPr>
        <w:spacing w:after="0" w:line="170" w:lineRule="exact"/>
        <w:rPr>
          <w:sz w:val="20"/>
          <w:szCs w:val="20"/>
          <w:color w:val="auto"/>
        </w:rPr>
      </w:pPr>
    </w:p>
    <w:p>
      <w:pPr>
        <w:jc w:val="both"/>
        <w:ind w:right="240"/>
        <w:spacing w:after="0" w:line="257" w:lineRule="auto"/>
        <w:rPr>
          <w:sz w:val="20"/>
          <w:szCs w:val="20"/>
          <w:color w:val="auto"/>
        </w:rPr>
      </w:pPr>
      <w:r>
        <w:rPr>
          <w:rFonts w:ascii="Arial" w:cs="Arial" w:eastAsia="Arial" w:hAnsi="Arial"/>
          <w:sz w:val="15"/>
          <w:szCs w:val="15"/>
          <w:color w:val="auto"/>
        </w:rPr>
        <w:t>Our shareholders may at a general meeting, based on a proposal by our board of directors, by means of a resolution passed by a majority of the votes cast, resolve that the company will be dissolved. In the event of dissolution of the company, the liquidation will be effected by our executive directors, under the supervision of our non-executive directors, unless our general meeting decides otherwise.</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Squeeze-Out</w:t>
      </w:r>
    </w:p>
    <w:p>
      <w:pPr>
        <w:spacing w:after="0" w:line="170" w:lineRule="exact"/>
        <w:rPr>
          <w:sz w:val="20"/>
          <w:szCs w:val="20"/>
          <w:color w:val="auto"/>
        </w:rPr>
      </w:pPr>
    </w:p>
    <w:p>
      <w:pPr>
        <w:spacing w:after="0" w:line="242" w:lineRule="auto"/>
        <w:rPr>
          <w:sz w:val="20"/>
          <w:szCs w:val="20"/>
          <w:color w:val="auto"/>
        </w:rPr>
      </w:pPr>
      <w:r>
        <w:rPr>
          <w:rFonts w:ascii="Arial" w:cs="Arial" w:eastAsia="Arial" w:hAnsi="Arial"/>
          <w:sz w:val="15"/>
          <w:szCs w:val="15"/>
          <w:color w:val="auto"/>
        </w:rPr>
        <w:t>A shareholder who for its own account (or together with its group companies) holds at least 95% of our issued share capital may institute proceedings against the other shareholders jointly for the transfer of their shares to the shareholder who holds such 95% majority. The proceedings are held before the Enterprise Chamber of the Amsterdam Court of Appeal (</w:t>
      </w:r>
      <w:r>
        <w:rPr>
          <w:rFonts w:ascii="Arial" w:cs="Arial" w:eastAsia="Arial" w:hAnsi="Arial"/>
          <w:sz w:val="15"/>
          <w:szCs w:val="15"/>
          <w:i w:val="1"/>
          <w:iCs w:val="1"/>
          <w:color w:val="auto"/>
        </w:rPr>
        <w:t>Ondernemingskamer van het Gerechtshof Amsterdam</w:t>
      </w:r>
      <w:r>
        <w:rPr>
          <w:rFonts w:ascii="Arial" w:cs="Arial" w:eastAsia="Arial" w:hAnsi="Arial"/>
          <w:sz w:val="15"/>
          <w:szCs w:val="15"/>
          <w:color w:val="auto"/>
        </w:rPr>
        <w:t>) (the “Enterprise Chamber”) and can be instituted by means of a writ of summons served upon each of the minority shareholders in accordance with the provisions of the Dutch Code of Civil Procedure (</w:t>
      </w:r>
      <w:r>
        <w:rPr>
          <w:rFonts w:ascii="Arial" w:cs="Arial" w:eastAsia="Arial" w:hAnsi="Arial"/>
          <w:sz w:val="15"/>
          <w:szCs w:val="15"/>
          <w:i w:val="1"/>
          <w:iCs w:val="1"/>
          <w:color w:val="auto"/>
        </w:rPr>
        <w:t>Wetboek van Burgerlijke Rechtsvordering</w:t>
      </w:r>
      <w:r>
        <w:rPr>
          <w:rFonts w:ascii="Arial" w:cs="Arial" w:eastAsia="Arial" w:hAnsi="Arial"/>
          <w:sz w:val="15"/>
          <w:szCs w:val="15"/>
          <w:color w:val="auto"/>
        </w:rPr>
        <w:t>). The Enterprise Chamber may grant the claim for squeeze-out in relation to all minority shareholders and will determine the price to be paid for the shares, if necessary, after appointment of one or three experts who will offer an opinion to the Enterprise Chamber on the value of the shares of the minority shareholders. Once the order to transfer by the Enterprise Chamber becomes final and irrevocable, the majority shareholder that instituted the squeeze-out proceedings will give written notice of the date and place of payment and the price to the holders of the shares to be acquired whose addresses are known to the majority shareholder. Unless the addresses of all minority shareholders are known to the majority shareholder acquiring the shares, the majority shareholder is required to publish the same in a newspaper with a national circulation.</w:t>
      </w:r>
    </w:p>
    <w:p>
      <w:pPr>
        <w:spacing w:after="0" w:line="146" w:lineRule="exact"/>
        <w:rPr>
          <w:sz w:val="20"/>
          <w:szCs w:val="20"/>
          <w:color w:val="auto"/>
        </w:rPr>
      </w:pPr>
    </w:p>
    <w:p>
      <w:pPr>
        <w:ind w:right="80"/>
        <w:spacing w:after="0" w:line="247" w:lineRule="auto"/>
        <w:rPr>
          <w:sz w:val="20"/>
          <w:szCs w:val="20"/>
          <w:color w:val="auto"/>
        </w:rPr>
      </w:pPr>
      <w:r>
        <w:rPr>
          <w:rFonts w:ascii="Arial" w:cs="Arial" w:eastAsia="Arial" w:hAnsi="Arial"/>
          <w:sz w:val="15"/>
          <w:szCs w:val="15"/>
          <w:color w:val="auto"/>
        </w:rPr>
        <w:t>A shareholder that holds a majority of our issued share capital, but less than the 95% required to institute the squeeze-out proceedings described above, may seek to propose and implement one or more restructuring transactions with the objective of obtaining at least 95% of our issued share capital so the shareholder may initiate squeeze-out proceedings. Those restructuring transactions could, among other things, include a merger or demerger involving the company, a contribution of cash and/or assets against issuance of ordinary shares, the issuance of new ordinary shares to the majority shareholder without preemptive rights for minority shareholders or an asset sale transaction.</w:t>
      </w:r>
    </w:p>
    <w:p>
      <w:pPr>
        <w:spacing w:after="0" w:line="141" w:lineRule="exact"/>
        <w:rPr>
          <w:sz w:val="20"/>
          <w:szCs w:val="20"/>
          <w:color w:val="auto"/>
        </w:rPr>
      </w:pPr>
    </w:p>
    <w:p>
      <w:pPr>
        <w:ind w:right="40"/>
        <w:spacing w:after="0" w:line="243" w:lineRule="auto"/>
        <w:rPr>
          <w:sz w:val="20"/>
          <w:szCs w:val="20"/>
          <w:color w:val="auto"/>
        </w:rPr>
      </w:pPr>
      <w:r>
        <w:rPr>
          <w:rFonts w:ascii="Arial" w:cs="Arial" w:eastAsia="Arial" w:hAnsi="Arial"/>
          <w:sz w:val="15"/>
          <w:szCs w:val="15"/>
          <w:color w:val="auto"/>
        </w:rPr>
        <w:t>Depending on the circumstances, an asset sale of a Dutch public limited liability company (</w:t>
      </w:r>
      <w:r>
        <w:rPr>
          <w:rFonts w:ascii="Arial" w:cs="Arial" w:eastAsia="Arial" w:hAnsi="Arial"/>
          <w:sz w:val="15"/>
          <w:szCs w:val="15"/>
          <w:i w:val="1"/>
          <w:iCs w:val="1"/>
          <w:color w:val="auto"/>
        </w:rPr>
        <w:t>naamloze vennootschap</w:t>
      </w:r>
      <w:r>
        <w:rPr>
          <w:rFonts w:ascii="Arial" w:cs="Arial" w:eastAsia="Arial" w:hAnsi="Arial"/>
          <w:sz w:val="15"/>
          <w:szCs w:val="15"/>
          <w:color w:val="auto"/>
        </w:rPr>
        <w:t>) or a triangular legal merger (</w:t>
      </w:r>
      <w:r>
        <w:rPr>
          <w:rFonts w:ascii="Arial" w:cs="Arial" w:eastAsia="Arial" w:hAnsi="Arial"/>
          <w:sz w:val="15"/>
          <w:szCs w:val="15"/>
          <w:i w:val="1"/>
          <w:iCs w:val="1"/>
          <w:color w:val="auto"/>
        </w:rPr>
        <w:t>driehoeksfusie</w:t>
      </w:r>
      <w:r>
        <w:rPr>
          <w:rFonts w:ascii="Arial" w:cs="Arial" w:eastAsia="Arial" w:hAnsi="Arial"/>
          <w:sz w:val="15"/>
          <w:szCs w:val="15"/>
          <w:color w:val="auto"/>
        </w:rPr>
        <w:t>) of a Dutch public limited liability company (</w:t>
      </w:r>
      <w:r>
        <w:rPr>
          <w:rFonts w:ascii="Arial" w:cs="Arial" w:eastAsia="Arial" w:hAnsi="Arial"/>
          <w:sz w:val="15"/>
          <w:szCs w:val="15"/>
          <w:i w:val="1"/>
          <w:iCs w:val="1"/>
          <w:color w:val="auto"/>
        </w:rPr>
        <w:t>naamloze vennootschap</w:t>
      </w:r>
      <w:r>
        <w:rPr>
          <w:rFonts w:ascii="Arial" w:cs="Arial" w:eastAsia="Arial" w:hAnsi="Arial"/>
          <w:sz w:val="15"/>
          <w:szCs w:val="15"/>
          <w:color w:val="auto"/>
        </w:rPr>
        <w:t>) with and into a subsidiary followed by a share sale of that subsidiary (as legal successor to the Dutch public limited liability company (</w:t>
      </w:r>
      <w:r>
        <w:rPr>
          <w:rFonts w:ascii="Arial" w:cs="Arial" w:eastAsia="Arial" w:hAnsi="Arial"/>
          <w:sz w:val="15"/>
          <w:szCs w:val="15"/>
          <w:i w:val="1"/>
          <w:iCs w:val="1"/>
          <w:color w:val="auto"/>
        </w:rPr>
        <w:t>naamloze vennootschap</w:t>
      </w:r>
      <w:r>
        <w:rPr>
          <w:rFonts w:ascii="Arial" w:cs="Arial" w:eastAsia="Arial" w:hAnsi="Arial"/>
          <w:sz w:val="15"/>
          <w:szCs w:val="15"/>
          <w:color w:val="auto"/>
        </w:rPr>
        <w:t>) concerned) is sometimes used as a way to squeeze out minority shareholders, for example, after a successful tender offer through which a third party acquires a supermajority, but less than all, of the company’s shares. In such scenarios, either (a) the business of the target company is sold to a third party or a special purpose vehicle, followed by the liquidation of the target company or (b) the shares in the legal successor to the target company is sold to a third party or a special purpose vehicle, followed by the liquidation of the holding vehicle of such legal successor. The purchase price is distributed to all shareholders in proportion to their respective shareholding as liquidation proceeds, thus separating the business from the company in which minority shareholders had an interest.</w:t>
      </w:r>
    </w:p>
    <w:p>
      <w:pPr>
        <w:spacing w:after="0" w:line="145" w:lineRule="exact"/>
        <w:rPr>
          <w:sz w:val="20"/>
          <w:szCs w:val="20"/>
          <w:color w:val="auto"/>
        </w:rPr>
      </w:pPr>
    </w:p>
    <w:p>
      <w:pPr>
        <w:ind w:right="300"/>
        <w:spacing w:after="0" w:line="276" w:lineRule="auto"/>
        <w:rPr>
          <w:sz w:val="20"/>
          <w:szCs w:val="20"/>
          <w:color w:val="auto"/>
        </w:rPr>
      </w:pPr>
      <w:r>
        <w:rPr>
          <w:rFonts w:ascii="Arial" w:cs="Arial" w:eastAsia="Arial" w:hAnsi="Arial"/>
          <w:sz w:val="15"/>
          <w:szCs w:val="15"/>
          <w:color w:val="auto"/>
        </w:rPr>
        <w:t>Any sale or transfer of all of our assets and our dissolution or liquidation is subject to approval by a majority of the votes cast in our general meeting. Our articles of association provide that our general meeting may only adopt such resolution upon a proposal of our board of directors.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Certain Other Major Transactions</w:t>
      </w:r>
    </w:p>
    <w:p>
      <w:pPr>
        <w:spacing w:after="0" w:line="170" w:lineRule="exact"/>
        <w:rPr>
          <w:sz w:val="20"/>
          <w:szCs w:val="20"/>
          <w:color w:val="auto"/>
        </w:rPr>
      </w:pPr>
    </w:p>
    <w:p>
      <w:pPr>
        <w:ind w:right="440"/>
        <w:spacing w:after="0" w:line="276" w:lineRule="auto"/>
        <w:rPr>
          <w:sz w:val="20"/>
          <w:szCs w:val="20"/>
          <w:color w:val="auto"/>
        </w:rPr>
      </w:pPr>
      <w:r>
        <w:rPr>
          <w:rFonts w:ascii="Arial" w:cs="Arial" w:eastAsia="Arial" w:hAnsi="Arial"/>
          <w:sz w:val="15"/>
          <w:szCs w:val="15"/>
          <w:color w:val="auto"/>
        </w:rPr>
        <w:t>Our articles of association and Dutch law provide that resolutions of our board of directors concerning a material change in our identity, character or business are subject to the approval of our general meeting. Such changes include: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17" w:name="page18"/>
    <w:bookmarkEnd w:id="17"/>
    <w:p>
      <w:pPr>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ind w:left="540" w:hanging="274"/>
        <w:spacing w:after="0"/>
        <w:tabs>
          <w:tab w:leader="none" w:pos="540" w:val="left"/>
        </w:tabs>
        <w:numPr>
          <w:ilvl w:val="0"/>
          <w:numId w:val="10"/>
        </w:numPr>
        <w:rPr>
          <w:rFonts w:ascii="Times New Roman" w:cs="Times New Roman" w:eastAsia="Times New Roman" w:hAnsi="Times New Roman"/>
          <w:sz w:val="15"/>
          <w:szCs w:val="15"/>
          <w:color w:val="auto"/>
        </w:rPr>
      </w:pPr>
      <w:r>
        <w:rPr>
          <w:rFonts w:ascii="Arial" w:cs="Arial" w:eastAsia="Arial" w:hAnsi="Arial"/>
          <w:sz w:val="15"/>
          <w:szCs w:val="15"/>
          <w:color w:val="auto"/>
        </w:rPr>
        <w:t>a transfer of all or materially all of our business to a third party;</w:t>
      </w:r>
    </w:p>
    <w:p>
      <w:pPr>
        <w:spacing w:after="0" w:line="181" w:lineRule="exact"/>
        <w:rPr>
          <w:rFonts w:ascii="Times New Roman" w:cs="Times New Roman" w:eastAsia="Times New Roman" w:hAnsi="Times New Roman"/>
          <w:sz w:val="15"/>
          <w:szCs w:val="15"/>
          <w:color w:val="auto"/>
        </w:rPr>
      </w:pPr>
    </w:p>
    <w:p>
      <w:pPr>
        <w:ind w:left="540" w:right="280" w:hanging="274"/>
        <w:spacing w:after="0" w:line="275" w:lineRule="auto"/>
        <w:tabs>
          <w:tab w:leader="none" w:pos="540" w:val="left"/>
        </w:tabs>
        <w:numPr>
          <w:ilvl w:val="0"/>
          <w:numId w:val="10"/>
        </w:numPr>
        <w:rPr>
          <w:rFonts w:ascii="Times New Roman" w:cs="Times New Roman" w:eastAsia="Times New Roman" w:hAnsi="Times New Roman"/>
          <w:sz w:val="15"/>
          <w:szCs w:val="15"/>
          <w:color w:val="auto"/>
        </w:rPr>
      </w:pPr>
      <w:r>
        <w:rPr>
          <w:rFonts w:ascii="Arial" w:cs="Arial" w:eastAsia="Arial" w:hAnsi="Arial"/>
          <w:sz w:val="15"/>
          <w:szCs w:val="15"/>
          <w:color w:val="auto"/>
        </w:rPr>
        <w:t>the entry into or termination of a long-lasting alliance of the company or of a subsidiary either with another entity or company, or as a fully liable partner of a limited partnership or partnership, if this alliance or termination is of significant importance to the company; and</w:t>
      </w:r>
    </w:p>
    <w:p>
      <w:pPr>
        <w:spacing w:after="0" w:line="118" w:lineRule="exact"/>
        <w:rPr>
          <w:rFonts w:ascii="Times New Roman" w:cs="Times New Roman" w:eastAsia="Times New Roman" w:hAnsi="Times New Roman"/>
          <w:sz w:val="15"/>
          <w:szCs w:val="15"/>
          <w:color w:val="auto"/>
        </w:rPr>
      </w:pPr>
    </w:p>
    <w:p>
      <w:pPr>
        <w:ind w:left="540" w:hanging="274"/>
        <w:spacing w:after="0" w:line="256" w:lineRule="auto"/>
        <w:tabs>
          <w:tab w:leader="none" w:pos="540" w:val="left"/>
        </w:tabs>
        <w:numPr>
          <w:ilvl w:val="0"/>
          <w:numId w:val="10"/>
        </w:numPr>
        <w:rPr>
          <w:rFonts w:ascii="Times New Roman" w:cs="Times New Roman" w:eastAsia="Times New Roman" w:hAnsi="Times New Roman"/>
          <w:sz w:val="15"/>
          <w:szCs w:val="15"/>
          <w:color w:val="auto"/>
        </w:rPr>
      </w:pPr>
      <w:r>
        <w:rPr>
          <w:rFonts w:ascii="Arial" w:cs="Arial" w:eastAsia="Arial" w:hAnsi="Arial"/>
          <w:sz w:val="15"/>
          <w:szCs w:val="15"/>
          <w:color w:val="auto"/>
        </w:rPr>
        <w:t>the acquisition or disposition of an interest in the capital of a company by the company or by its subsidiary with a value of at least one-third of the value of our assets, according to the balance sheet with explanatory notes or, if the company prepares a consolidated balance sheet, according to the consolidated balance sheet with explanatory notes in our most recently adopted annual accounts.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Dividends and Other Distributions</w:t>
      </w:r>
    </w:p>
    <w:p>
      <w:pPr>
        <w:spacing w:after="0" w:line="170" w:lineRule="exact"/>
        <w:rPr>
          <w:sz w:val="20"/>
          <w:szCs w:val="20"/>
          <w:color w:val="auto"/>
        </w:rPr>
      </w:pPr>
    </w:p>
    <w:p>
      <w:pPr>
        <w:ind w:right="100"/>
        <w:spacing w:after="0" w:line="247" w:lineRule="auto"/>
        <w:rPr>
          <w:sz w:val="20"/>
          <w:szCs w:val="20"/>
          <w:color w:val="auto"/>
        </w:rPr>
      </w:pPr>
      <w:r>
        <w:rPr>
          <w:rFonts w:ascii="Arial" w:cs="Arial" w:eastAsia="Arial" w:hAnsi="Arial"/>
          <w:sz w:val="15"/>
          <w:szCs w:val="15"/>
          <w:color w:val="auto"/>
        </w:rPr>
        <w:t>We may only make distributions to our shareholders if our equity exceeds the aggregate amount of the issued share capital and the reserves that must be maintained pursuant to Dutch law or our articles of association. We may not make any distribution of profits on shares held by the company as treasury shares and such treasury shares will not be taken into account when determining the profit entitlement of our shareholders, unless such treasury shares are encumbered with a right of usufruct or a right of pledge. Under our articles of association, any profits or distributable reserves must first be applied to pay a dividend on the financing preferred shares, if outstanding.</w:t>
      </w:r>
    </w:p>
    <w:p>
      <w:pPr>
        <w:spacing w:after="0" w:line="141" w:lineRule="exact"/>
        <w:rPr>
          <w:sz w:val="20"/>
          <w:szCs w:val="20"/>
          <w:color w:val="auto"/>
        </w:rPr>
      </w:pPr>
    </w:p>
    <w:p>
      <w:pPr>
        <w:spacing w:after="0" w:line="243" w:lineRule="auto"/>
        <w:rPr>
          <w:sz w:val="20"/>
          <w:szCs w:val="20"/>
          <w:color w:val="auto"/>
        </w:rPr>
      </w:pPr>
      <w:r>
        <w:rPr>
          <w:rFonts w:ascii="Arial" w:cs="Arial" w:eastAsia="Arial" w:hAnsi="Arial"/>
          <w:sz w:val="15"/>
          <w:szCs w:val="15"/>
          <w:color w:val="auto"/>
        </w:rPr>
        <w:t>Any remaining profits may be reserved by our board of directors. After reservation by our board of directors of any distributable profits, our general meeting will be authorized to declare distributions on the proposal of our board of directors. Our board of directors is permitted, subject to certain requirements, to declare interim dividends without the approval of the shareholders. Interim dividends may be declared as provided in our articles of association and may be distributed to the extent that the shareholders’ equity, based on interim financial statements, exceeds the paid-up and called-up share capital and the reserves that must be maintained under Dutch law or our articles of association. We may reclaim any distributions, whether interim or not interim, made in contravention of certain restrictions of Dutch law from shareholders that knew or should have known that such distribution was not permissible. In addition, on the basis of Dutch case law, if after a distribution we are not able to pay its due and collectable debts, then our shareholders or directors who at the time of the distribution knew or reasonably should have foreseen that result may be liable to its creditors.</w:t>
      </w:r>
    </w:p>
    <w:p>
      <w:pPr>
        <w:spacing w:after="0" w:line="145"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Upon proposal of our board of directors, the general meeting may determine that distributions will be made in whole or in part in a currency other than the euro. We shall announce any proposal for a distribution and the date when and the place where the distribution will be payable to all shareholders by electronic means of communication with due observance of the applicable law and stock exchange rules. Claims for payment of dividends and other distributions not made within five years from the date that such dividends or distributions became payable will lapse, and any such amounts will be considered to have been forfeited to the company (</w:t>
      </w:r>
      <w:r>
        <w:rPr>
          <w:rFonts w:ascii="Arial" w:cs="Arial" w:eastAsia="Arial" w:hAnsi="Arial"/>
          <w:sz w:val="15"/>
          <w:szCs w:val="15"/>
          <w:i w:val="1"/>
          <w:iCs w:val="1"/>
          <w:color w:val="auto"/>
        </w:rPr>
        <w:t>verjaring</w:t>
      </w:r>
      <w:r>
        <w:rPr>
          <w:rFonts w:ascii="Arial" w:cs="Arial" w:eastAsia="Arial" w:hAnsi="Arial"/>
          <w:sz w:val="15"/>
          <w:szCs w:val="15"/>
          <w:color w:val="auto"/>
        </w:rPr>
        <w:t>).</w:t>
      </w:r>
    </w:p>
    <w:p>
      <w:pPr>
        <w:spacing w:after="0" w:line="3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Notices</w:t>
      </w:r>
    </w:p>
    <w:p>
      <w:pPr>
        <w:spacing w:after="0" w:line="170" w:lineRule="exact"/>
        <w:rPr>
          <w:sz w:val="20"/>
          <w:szCs w:val="20"/>
          <w:color w:val="auto"/>
        </w:rPr>
      </w:pPr>
    </w:p>
    <w:p>
      <w:pPr>
        <w:jc w:val="both"/>
        <w:ind w:right="480"/>
        <w:spacing w:after="0" w:line="257" w:lineRule="auto"/>
        <w:rPr>
          <w:sz w:val="20"/>
          <w:szCs w:val="20"/>
          <w:color w:val="auto"/>
        </w:rPr>
      </w:pPr>
      <w:r>
        <w:rPr>
          <w:rFonts w:ascii="Arial" w:cs="Arial" w:eastAsia="Arial" w:hAnsi="Arial"/>
          <w:sz w:val="15"/>
          <w:szCs w:val="15"/>
          <w:color w:val="auto"/>
        </w:rPr>
        <w:t>We will give notice of each general meeting by publication on our website and, to the extent required by applicable law, in a Dutch daily newspaper with national distribution, and in any other manner that we may be required to follow in order to comply with Dutch law and applicable stock exchange and SEC requirements. Holders of registered shares may further be provided notice of the meeting in writing at their addresses as stated in our shareholders’ register.</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Registration Rights</w:t>
      </w:r>
    </w:p>
    <w:p>
      <w:pPr>
        <w:spacing w:after="0" w:line="170" w:lineRule="exact"/>
        <w:rPr>
          <w:sz w:val="20"/>
          <w:szCs w:val="20"/>
          <w:color w:val="auto"/>
        </w:rPr>
      </w:pPr>
    </w:p>
    <w:p>
      <w:pPr>
        <w:ind w:right="320"/>
        <w:spacing w:after="0" w:line="257" w:lineRule="auto"/>
        <w:rPr>
          <w:sz w:val="20"/>
          <w:szCs w:val="20"/>
          <w:color w:val="auto"/>
        </w:rPr>
      </w:pPr>
      <w:r>
        <w:rPr>
          <w:rFonts w:ascii="Arial" w:cs="Arial" w:eastAsia="Arial" w:hAnsi="Arial"/>
          <w:sz w:val="15"/>
          <w:szCs w:val="15"/>
          <w:color w:val="auto"/>
        </w:rPr>
        <w:t>We have granted to certain of our securityholders registration rights pursuant to an Investor Rights and Lock-Up Agreement, dated July 1, 2020, among us and the investors party thereto. Such securityholders are entitled to the following rights with respect to the registration of their ordinary shares for public resale under the Securities Act.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18" w:name="page19"/>
    <w:bookmarkEnd w:id="18"/>
    <w:p>
      <w:pPr>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ind w:right="100"/>
        <w:spacing w:after="0" w:line="276" w:lineRule="auto"/>
        <w:rPr>
          <w:sz w:val="20"/>
          <w:szCs w:val="20"/>
          <w:color w:val="auto"/>
        </w:rPr>
      </w:pPr>
      <w:r>
        <w:rPr>
          <w:rFonts w:ascii="Arial" w:cs="Arial" w:eastAsia="Arial" w:hAnsi="Arial"/>
          <w:sz w:val="15"/>
          <w:szCs w:val="15"/>
          <w:i w:val="1"/>
          <w:iCs w:val="1"/>
          <w:color w:val="auto"/>
        </w:rPr>
        <w:t>Shelf Registration</w:t>
      </w:r>
      <w:r>
        <w:rPr>
          <w:rFonts w:ascii="Arial" w:cs="Arial" w:eastAsia="Arial" w:hAnsi="Arial"/>
          <w:sz w:val="15"/>
          <w:szCs w:val="15"/>
          <w:color w:val="auto"/>
        </w:rPr>
        <w:t>. We are obligated to file and keep effective a shelf registration statement pursuant to Rule 415 under the Securities Act with respect to all securities</w:t>
      </w:r>
      <w:r>
        <w:rPr>
          <w:rFonts w:ascii="Arial" w:cs="Arial" w:eastAsia="Arial" w:hAnsi="Arial"/>
          <w:sz w:val="15"/>
          <w:szCs w:val="15"/>
          <w:i w:val="1"/>
          <w:iCs w:val="1"/>
          <w:color w:val="auto"/>
        </w:rPr>
        <w:t xml:space="preserve"> </w:t>
      </w:r>
      <w:r>
        <w:rPr>
          <w:rFonts w:ascii="Arial" w:cs="Arial" w:eastAsia="Arial" w:hAnsi="Arial"/>
          <w:sz w:val="15"/>
          <w:szCs w:val="15"/>
          <w:color w:val="auto"/>
        </w:rPr>
        <w:t>subject to registration rights, subject to certain exceptions.</w:t>
      </w:r>
    </w:p>
    <w:p>
      <w:pPr>
        <w:spacing w:after="0" w:line="117" w:lineRule="exact"/>
        <w:rPr>
          <w:sz w:val="20"/>
          <w:szCs w:val="20"/>
          <w:color w:val="auto"/>
        </w:rPr>
      </w:pPr>
    </w:p>
    <w:p>
      <w:pPr>
        <w:jc w:val="both"/>
        <w:ind w:right="260"/>
        <w:spacing w:after="0" w:line="257" w:lineRule="auto"/>
        <w:rPr>
          <w:sz w:val="20"/>
          <w:szCs w:val="20"/>
          <w:color w:val="auto"/>
        </w:rPr>
      </w:pPr>
      <w:r>
        <w:rPr>
          <w:rFonts w:ascii="Arial" w:cs="Arial" w:eastAsia="Arial" w:hAnsi="Arial"/>
          <w:sz w:val="15"/>
          <w:szCs w:val="15"/>
          <w:i w:val="1"/>
          <w:iCs w:val="1"/>
          <w:color w:val="auto"/>
        </w:rPr>
        <w:t>Demand Registration</w:t>
      </w:r>
      <w:r>
        <w:rPr>
          <w:rFonts w:ascii="Arial" w:cs="Arial" w:eastAsia="Arial" w:hAnsi="Arial"/>
          <w:sz w:val="15"/>
          <w:szCs w:val="15"/>
          <w:color w:val="auto"/>
        </w:rPr>
        <w:t>. Upon the demand of certain securityholders, we are obligated to effect a resale registration under the Securities Act with respect to all or any</w:t>
      </w:r>
      <w:r>
        <w:rPr>
          <w:rFonts w:ascii="Arial" w:cs="Arial" w:eastAsia="Arial" w:hAnsi="Arial"/>
          <w:sz w:val="15"/>
          <w:szCs w:val="15"/>
          <w:i w:val="1"/>
          <w:iCs w:val="1"/>
          <w:color w:val="auto"/>
        </w:rPr>
        <w:t xml:space="preserve"> </w:t>
      </w:r>
      <w:r>
        <w:rPr>
          <w:rFonts w:ascii="Arial" w:cs="Arial" w:eastAsia="Arial" w:hAnsi="Arial"/>
          <w:sz w:val="15"/>
          <w:szCs w:val="15"/>
          <w:color w:val="auto"/>
        </w:rPr>
        <w:t>portion of their shares subject to registration rights, subject to certain exceptions. Demand registration rights will not be triggered if there is an effective resale shelf registration statement.</w:t>
      </w:r>
    </w:p>
    <w:p>
      <w:pPr>
        <w:spacing w:after="0" w:line="131" w:lineRule="exact"/>
        <w:rPr>
          <w:sz w:val="20"/>
          <w:szCs w:val="20"/>
          <w:color w:val="auto"/>
        </w:rPr>
      </w:pPr>
    </w:p>
    <w:p>
      <w:pPr>
        <w:spacing w:after="0" w:line="246" w:lineRule="auto"/>
        <w:rPr>
          <w:sz w:val="20"/>
          <w:szCs w:val="20"/>
          <w:color w:val="auto"/>
        </w:rPr>
      </w:pPr>
      <w:r>
        <w:rPr>
          <w:rFonts w:ascii="Arial" w:cs="Arial" w:eastAsia="Arial" w:hAnsi="Arial"/>
          <w:sz w:val="15"/>
          <w:szCs w:val="15"/>
          <w:i w:val="1"/>
          <w:iCs w:val="1"/>
          <w:color w:val="auto"/>
        </w:rPr>
        <w:t>Piggyback Registration</w:t>
      </w:r>
      <w:r>
        <w:rPr>
          <w:rFonts w:ascii="Arial" w:cs="Arial" w:eastAsia="Arial" w:hAnsi="Arial"/>
          <w:sz w:val="15"/>
          <w:szCs w:val="15"/>
          <w:color w:val="auto"/>
        </w:rPr>
        <w:t>. In the event that we propose to register any of our securities under the Securities Act, either for our account or for the account of our other</w:t>
      </w:r>
      <w:r>
        <w:rPr>
          <w:rFonts w:ascii="Arial" w:cs="Arial" w:eastAsia="Arial" w:hAnsi="Arial"/>
          <w:sz w:val="15"/>
          <w:szCs w:val="15"/>
          <w:i w:val="1"/>
          <w:iCs w:val="1"/>
          <w:color w:val="auto"/>
        </w:rPr>
        <w:t xml:space="preserve"> </w:t>
      </w:r>
      <w:r>
        <w:rPr>
          <w:rFonts w:ascii="Arial" w:cs="Arial" w:eastAsia="Arial" w:hAnsi="Arial"/>
          <w:sz w:val="15"/>
          <w:szCs w:val="15"/>
          <w:color w:val="auto"/>
        </w:rPr>
        <w:t>securityholders, holders will be entitled to certain piggyback registration rights allowing each to include its shares in the registration, subject to certain marketing and other limitations. As a result, whenever we propose to file a registration statement under the Securities Act, other than with respect to a demand registration, a registration statement on Form S-4, F-4 or S-8 or a registration of convertible debt securities, these holders will be entitled to notice of the registration and will have the right to include their registrable securities in the registration, subject to certain limitations. Piggyback registration rights will not be triggered if there is an effective resale shelf registration statement, the registration is solely for an offering of securities by us and no other securityholder is entitled to participate in such registration.</w:t>
      </w:r>
    </w:p>
    <w:p>
      <w:pPr>
        <w:spacing w:after="0" w:line="139" w:lineRule="exact"/>
        <w:rPr>
          <w:sz w:val="20"/>
          <w:szCs w:val="20"/>
          <w:color w:val="auto"/>
        </w:rPr>
      </w:pPr>
    </w:p>
    <w:p>
      <w:pPr>
        <w:ind w:right="40"/>
        <w:spacing w:after="0" w:line="276" w:lineRule="auto"/>
        <w:rPr>
          <w:sz w:val="20"/>
          <w:szCs w:val="20"/>
          <w:color w:val="auto"/>
        </w:rPr>
      </w:pPr>
      <w:r>
        <w:rPr>
          <w:rFonts w:ascii="Arial" w:cs="Arial" w:eastAsia="Arial" w:hAnsi="Arial"/>
          <w:sz w:val="15"/>
          <w:szCs w:val="15"/>
          <w:i w:val="1"/>
          <w:iCs w:val="1"/>
          <w:color w:val="auto"/>
        </w:rPr>
        <w:t>Expenses; Indemnification</w:t>
      </w:r>
      <w:r>
        <w:rPr>
          <w:rFonts w:ascii="Arial" w:cs="Arial" w:eastAsia="Arial" w:hAnsi="Arial"/>
          <w:sz w:val="15"/>
          <w:szCs w:val="15"/>
          <w:color w:val="auto"/>
        </w:rPr>
        <w:t>. We must pay all registration expenses in connection with effecting any demand registration, piggyback registration or shelf registration. We</w:t>
      </w:r>
      <w:r>
        <w:rPr>
          <w:rFonts w:ascii="Arial" w:cs="Arial" w:eastAsia="Arial" w:hAnsi="Arial"/>
          <w:sz w:val="15"/>
          <w:szCs w:val="15"/>
          <w:i w:val="1"/>
          <w:iCs w:val="1"/>
          <w:color w:val="auto"/>
        </w:rPr>
        <w:t xml:space="preserve"> </w:t>
      </w:r>
      <w:r>
        <w:rPr>
          <w:rFonts w:ascii="Arial" w:cs="Arial" w:eastAsia="Arial" w:hAnsi="Arial"/>
          <w:sz w:val="15"/>
          <w:szCs w:val="15"/>
          <w:color w:val="auto"/>
        </w:rPr>
        <w:t>are also subject to customary indemnification and contribution provisions.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Exchange Listing</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Our ordinary shares are listed on Nasdaq under the symbol “IMTX.”</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Transfer Agent</w:t>
      </w:r>
    </w:p>
    <w:p>
      <w:pPr>
        <w:spacing w:after="0" w:line="170" w:lineRule="exact"/>
        <w:rPr>
          <w:sz w:val="20"/>
          <w:szCs w:val="20"/>
          <w:color w:val="auto"/>
        </w:rPr>
      </w:pPr>
    </w:p>
    <w:p>
      <w:pPr>
        <w:ind w:right="280"/>
        <w:spacing w:after="0" w:line="276" w:lineRule="auto"/>
        <w:rPr>
          <w:sz w:val="20"/>
          <w:szCs w:val="20"/>
          <w:color w:val="auto"/>
        </w:rPr>
      </w:pPr>
      <w:r>
        <w:rPr>
          <w:rFonts w:ascii="Arial" w:cs="Arial" w:eastAsia="Arial" w:hAnsi="Arial"/>
          <w:sz w:val="15"/>
          <w:szCs w:val="15"/>
          <w:color w:val="auto"/>
        </w:rPr>
        <w:t>Continental Stock Transfer &amp; Trust Company serves as our agent in New York to maintain our shareholders’ register on behalf of our board of directors and acts as transfer agent and registrar for the ordinary shares.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Exchange Controls</w:t>
      </w:r>
    </w:p>
    <w:p>
      <w:pPr>
        <w:spacing w:after="0" w:line="170" w:lineRule="exact"/>
        <w:rPr>
          <w:sz w:val="20"/>
          <w:szCs w:val="20"/>
          <w:color w:val="auto"/>
        </w:rPr>
      </w:pPr>
    </w:p>
    <w:p>
      <w:pPr>
        <w:ind w:right="120"/>
        <w:spacing w:after="0" w:line="243" w:lineRule="auto"/>
        <w:rPr>
          <w:sz w:val="20"/>
          <w:szCs w:val="20"/>
          <w:color w:val="auto"/>
        </w:rPr>
      </w:pPr>
      <w:r>
        <w:rPr>
          <w:rFonts w:ascii="Arial" w:cs="Arial" w:eastAsia="Arial" w:hAnsi="Arial"/>
          <w:sz w:val="15"/>
          <w:szCs w:val="15"/>
          <w:color w:val="auto"/>
        </w:rPr>
        <w:t>Under Dutch law, there are no exchange controls applicable to the transfer to persons outside of the Netherlands of dividends or other distributions with respect to, or of the proceeds from the sale of, shares of a Dutch company, subject to applicable restrictions under sanctions and measures, including those concerning export control, pursuant to applicable resolutions adopted by the United Nations, regulations of the European Union, the Dutch Sanctions Act 1977 (</w:t>
      </w:r>
      <w:r>
        <w:rPr>
          <w:rFonts w:ascii="Arial" w:cs="Arial" w:eastAsia="Arial" w:hAnsi="Arial"/>
          <w:sz w:val="15"/>
          <w:szCs w:val="15"/>
          <w:i w:val="1"/>
          <w:iCs w:val="1"/>
          <w:color w:val="auto"/>
        </w:rPr>
        <w:t>Sanctiewet 1977</w:t>
      </w:r>
      <w:r>
        <w:rPr>
          <w:rFonts w:ascii="Arial" w:cs="Arial" w:eastAsia="Arial" w:hAnsi="Arial"/>
          <w:sz w:val="15"/>
          <w:szCs w:val="15"/>
          <w:color w:val="auto"/>
        </w:rPr>
        <w:t>), national emergency legislation, or other legislation, applicable anti-boycott regulations, applicable anti-money laundering regulations and similar rules and provided that, under certain circumstances, payments of such dividends or other distributions must be reported to the Dutch Central Bank at their request for statistical purposes. There are no special restrictions in our articles of association or Dutch law that limit the right of shareholders who are not citizens or residents of the Netherlands to hold or vote shares. The European Directive Mandatory Disclosure Rules (2011/16/EU) in relation to cross-border tax arrangements can provide for future notification requirements.</w:t>
      </w:r>
    </w:p>
    <w:p>
      <w:pPr>
        <w:spacing w:after="0" w:line="145" w:lineRule="exact"/>
        <w:rPr>
          <w:sz w:val="20"/>
          <w:szCs w:val="20"/>
          <w:color w:val="auto"/>
        </w:rPr>
      </w:pPr>
    </w:p>
    <w:p>
      <w:pPr>
        <w:ind w:right="280"/>
        <w:spacing w:after="0" w:line="257" w:lineRule="auto"/>
        <w:rPr>
          <w:sz w:val="20"/>
          <w:szCs w:val="20"/>
          <w:color w:val="auto"/>
        </w:rPr>
      </w:pPr>
      <w:r>
        <w:rPr>
          <w:rFonts w:ascii="Arial" w:cs="Arial" w:eastAsia="Arial" w:hAnsi="Arial"/>
          <w:sz w:val="15"/>
          <w:szCs w:val="15"/>
          <w:color w:val="auto"/>
        </w:rPr>
        <w:t>Under German law, there are no exchange controls restricting the transfer of funds between Germany and other countries or individuals, subject to applicable restrictions concerning import or export control or sanctions and measures against certain persons, entities and countries subject to embargoes in accordance with German law and applicable resolutions adopted by the United Nations and the European Union.</w:t>
      </w:r>
    </w:p>
    <w:p>
      <w:pPr>
        <w:spacing w:after="0" w:line="131" w:lineRule="exact"/>
        <w:rPr>
          <w:sz w:val="20"/>
          <w:szCs w:val="20"/>
          <w:color w:val="auto"/>
        </w:rPr>
      </w:pPr>
    </w:p>
    <w:p>
      <w:pPr>
        <w:ind w:right="220"/>
        <w:spacing w:after="0" w:line="276" w:lineRule="auto"/>
        <w:rPr>
          <w:sz w:val="20"/>
          <w:szCs w:val="20"/>
          <w:color w:val="auto"/>
        </w:rPr>
      </w:pPr>
      <w:r>
        <w:rPr>
          <w:rFonts w:ascii="Arial" w:cs="Arial" w:eastAsia="Arial" w:hAnsi="Arial"/>
          <w:sz w:val="15"/>
          <w:szCs w:val="15"/>
          <w:color w:val="auto"/>
        </w:rPr>
        <w:t>Under German foreign trade regulation, with certain exceptions, every corporation or individual residing in Germany must report to the German Central Bank on any payment received from or made to a non-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19" w:name="page20"/>
    <w:bookmarkEnd w:id="19"/>
    <w:p>
      <w:pPr>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spacing w:after="0" w:line="246" w:lineRule="auto"/>
        <w:rPr>
          <w:sz w:val="20"/>
          <w:szCs w:val="20"/>
          <w:color w:val="auto"/>
        </w:rPr>
      </w:pPr>
      <w:r>
        <w:rPr>
          <w:rFonts w:ascii="Arial" w:cs="Arial" w:eastAsia="Arial" w:hAnsi="Arial"/>
          <w:sz w:val="15"/>
          <w:szCs w:val="15"/>
          <w:color w:val="auto"/>
        </w:rPr>
        <w:t>resident corporation or individual if the payment exceeds €12,500 (or the equivalent in a foreign currency). Additionally, corporations and individuals residing in Germany must report to the German Central Bank on any claims of a resident against, or liabilities payable to, a non-resident corporation or individual exceeding an aggregate of €5 million (or the equivalent in a foreign currency) at the end of any calendar month. Resident corporations and individuals are also required to report annually to the German Central Bank on any stakes of 10% or more they hold in the equity of non-resident corporations with total assets of more than €3 million. Corporations residing in Germany with assets in excess of €3 million must report annually to the German Central Bank on any stake of 10% or more in the company held by an individual or a corporation located outside Germany.</w:t>
      </w:r>
    </w:p>
    <w:p>
      <w:pPr>
        <w:spacing w:after="0" w:line="230"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020"/>
          </w:cols>
          <w:pgMar w:left="320" w:top="223" w:right="559" w:bottom="1440" w:gutter="0" w:footer="0" w:header="0"/>
        </w:sectPr>
      </w:pPr>
    </w:p>
    <w:bookmarkStart w:id="20" w:name="page21"/>
    <w:bookmarkEnd w:id="20"/>
    <w:p>
      <w:pPr>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DESCRIPTION OF DEBT SECURITIES</w:t>
      </w:r>
    </w:p>
    <w:p>
      <w:pPr>
        <w:spacing w:after="0" w:line="170" w:lineRule="exact"/>
        <w:rPr>
          <w:sz w:val="20"/>
          <w:szCs w:val="20"/>
          <w:color w:val="auto"/>
        </w:rPr>
      </w:pPr>
    </w:p>
    <w:p>
      <w:pPr>
        <w:spacing w:after="0" w:line="251" w:lineRule="auto"/>
        <w:rPr>
          <w:sz w:val="20"/>
          <w:szCs w:val="20"/>
          <w:color w:val="auto"/>
        </w:rPr>
      </w:pPr>
      <w:r>
        <w:rPr>
          <w:rFonts w:ascii="Arial" w:cs="Arial" w:eastAsia="Arial" w:hAnsi="Arial"/>
          <w:sz w:val="15"/>
          <w:szCs w:val="15"/>
          <w:color w:val="auto"/>
        </w:rPr>
        <w:t>We may issue debt securities, which may be secured or unsecured and may be exchangeable for and/or convertible into other securities, including our ordinary shares. The debt securities will be issued under one or more separate indentures between us and a designated trustee. The terms of each series of debt securities being offered, including the terms, if any, on which a series of debt securities may be convertible into or exchangeable for other securities, and the material terms of the indenture will be set forth in the applicable prospectus supplement.</w:t>
      </w:r>
    </w:p>
    <w:p>
      <w:pPr>
        <w:spacing w:after="0" w:line="135" w:lineRule="exact"/>
        <w:rPr>
          <w:sz w:val="20"/>
          <w:szCs w:val="20"/>
          <w:color w:val="auto"/>
        </w:rPr>
      </w:pPr>
    </w:p>
    <w:p>
      <w:pPr>
        <w:ind w:right="140"/>
        <w:spacing w:after="0" w:line="276" w:lineRule="auto"/>
        <w:rPr>
          <w:sz w:val="20"/>
          <w:szCs w:val="20"/>
          <w:color w:val="auto"/>
        </w:rPr>
      </w:pPr>
      <w:r>
        <w:rPr>
          <w:rFonts w:ascii="Arial" w:cs="Arial" w:eastAsia="Arial" w:hAnsi="Arial"/>
          <w:sz w:val="15"/>
          <w:szCs w:val="15"/>
          <w:color w:val="auto"/>
        </w:rPr>
        <w:t>The applicable prospectus supplement will set forth, to the extent required, the following terms of the debt securities in respect of which the prospectus supplement is delivered:</w:t>
      </w:r>
    </w:p>
    <w:p>
      <w:pPr>
        <w:spacing w:after="0" w:line="117" w:lineRule="exact"/>
        <w:rPr>
          <w:sz w:val="20"/>
          <w:szCs w:val="20"/>
          <w:color w:val="auto"/>
        </w:rPr>
      </w:pPr>
    </w:p>
    <w:p>
      <w:pPr>
        <w:ind w:left="540" w:hanging="274"/>
        <w:spacing w:after="0"/>
        <w:tabs>
          <w:tab w:leader="none" w:pos="540" w:val="left"/>
        </w:tabs>
        <w:numPr>
          <w:ilvl w:val="0"/>
          <w:numId w:val="11"/>
        </w:numPr>
        <w:rPr>
          <w:rFonts w:ascii="Times New Roman" w:cs="Times New Roman" w:eastAsia="Times New Roman" w:hAnsi="Times New Roman"/>
          <w:sz w:val="15"/>
          <w:szCs w:val="15"/>
          <w:color w:val="auto"/>
        </w:rPr>
      </w:pPr>
      <w:r>
        <w:rPr>
          <w:rFonts w:ascii="Arial" w:cs="Arial" w:eastAsia="Arial" w:hAnsi="Arial"/>
          <w:sz w:val="15"/>
          <w:szCs w:val="15"/>
          <w:color w:val="auto"/>
        </w:rPr>
        <w:t>the title of the series;</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1"/>
        </w:numPr>
        <w:rPr>
          <w:rFonts w:ascii="Times New Roman" w:cs="Times New Roman" w:eastAsia="Times New Roman" w:hAnsi="Times New Roman"/>
          <w:sz w:val="15"/>
          <w:szCs w:val="15"/>
          <w:color w:val="auto"/>
        </w:rPr>
      </w:pPr>
      <w:r>
        <w:rPr>
          <w:rFonts w:ascii="Arial" w:cs="Arial" w:eastAsia="Arial" w:hAnsi="Arial"/>
          <w:sz w:val="15"/>
          <w:szCs w:val="15"/>
          <w:color w:val="auto"/>
        </w:rPr>
        <w:t>the aggregate principal amount;</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1"/>
        </w:numPr>
        <w:rPr>
          <w:rFonts w:ascii="Times New Roman" w:cs="Times New Roman" w:eastAsia="Times New Roman" w:hAnsi="Times New Roman"/>
          <w:sz w:val="15"/>
          <w:szCs w:val="15"/>
          <w:color w:val="auto"/>
        </w:rPr>
      </w:pPr>
      <w:r>
        <w:rPr>
          <w:rFonts w:ascii="Arial" w:cs="Arial" w:eastAsia="Arial" w:hAnsi="Arial"/>
          <w:sz w:val="15"/>
          <w:szCs w:val="15"/>
          <w:color w:val="auto"/>
        </w:rPr>
        <w:t>the issue price or prices, expressed as a percentage of the aggregate principal amount of the debt securities;</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1"/>
        </w:numPr>
        <w:rPr>
          <w:rFonts w:ascii="Times New Roman" w:cs="Times New Roman" w:eastAsia="Times New Roman" w:hAnsi="Times New Roman"/>
          <w:sz w:val="15"/>
          <w:szCs w:val="15"/>
          <w:color w:val="auto"/>
        </w:rPr>
      </w:pPr>
      <w:r>
        <w:rPr>
          <w:rFonts w:ascii="Arial" w:cs="Arial" w:eastAsia="Arial" w:hAnsi="Arial"/>
          <w:sz w:val="15"/>
          <w:szCs w:val="15"/>
          <w:color w:val="auto"/>
        </w:rPr>
        <w:t>any limit on the aggregate principal amount;</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1"/>
        </w:numPr>
        <w:rPr>
          <w:rFonts w:ascii="Times New Roman" w:cs="Times New Roman" w:eastAsia="Times New Roman" w:hAnsi="Times New Roman"/>
          <w:sz w:val="15"/>
          <w:szCs w:val="15"/>
          <w:color w:val="auto"/>
        </w:rPr>
      </w:pPr>
      <w:r>
        <w:rPr>
          <w:rFonts w:ascii="Arial" w:cs="Arial" w:eastAsia="Arial" w:hAnsi="Arial"/>
          <w:sz w:val="15"/>
          <w:szCs w:val="15"/>
          <w:color w:val="auto"/>
        </w:rPr>
        <w:t>the date or dates on which principal is payable;</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1"/>
        </w:numPr>
        <w:rPr>
          <w:rFonts w:ascii="Times New Roman" w:cs="Times New Roman" w:eastAsia="Times New Roman" w:hAnsi="Times New Roman"/>
          <w:sz w:val="15"/>
          <w:szCs w:val="15"/>
          <w:color w:val="auto"/>
        </w:rPr>
      </w:pPr>
      <w:r>
        <w:rPr>
          <w:rFonts w:ascii="Arial" w:cs="Arial" w:eastAsia="Arial" w:hAnsi="Arial"/>
          <w:sz w:val="15"/>
          <w:szCs w:val="15"/>
          <w:color w:val="auto"/>
        </w:rPr>
        <w:t>the interest rate or rates (which may be fixed or variable) or, if applicable, the method used to determine such rate or rates;</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1"/>
        </w:numPr>
        <w:rPr>
          <w:rFonts w:ascii="Times New Roman" w:cs="Times New Roman" w:eastAsia="Times New Roman" w:hAnsi="Times New Roman"/>
          <w:sz w:val="15"/>
          <w:szCs w:val="15"/>
          <w:color w:val="auto"/>
        </w:rPr>
      </w:pPr>
      <w:r>
        <w:rPr>
          <w:rFonts w:ascii="Arial" w:cs="Arial" w:eastAsia="Arial" w:hAnsi="Arial"/>
          <w:sz w:val="15"/>
          <w:szCs w:val="15"/>
          <w:color w:val="auto"/>
        </w:rPr>
        <w:t>the date or dates on which interest, if any, will be payable and any regular record date for the interest payable;</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1"/>
        </w:numPr>
        <w:rPr>
          <w:rFonts w:ascii="Times New Roman" w:cs="Times New Roman" w:eastAsia="Times New Roman" w:hAnsi="Times New Roman"/>
          <w:sz w:val="15"/>
          <w:szCs w:val="15"/>
          <w:color w:val="auto"/>
        </w:rPr>
      </w:pPr>
      <w:r>
        <w:rPr>
          <w:rFonts w:ascii="Arial" w:cs="Arial" w:eastAsia="Arial" w:hAnsi="Arial"/>
          <w:sz w:val="15"/>
          <w:szCs w:val="15"/>
          <w:color w:val="auto"/>
        </w:rPr>
        <w:t>the place or places where principal and, if applicable, premium and interest, is payable;</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1"/>
        </w:numPr>
        <w:rPr>
          <w:rFonts w:ascii="Times New Roman" w:cs="Times New Roman" w:eastAsia="Times New Roman" w:hAnsi="Times New Roman"/>
          <w:sz w:val="15"/>
          <w:szCs w:val="15"/>
          <w:color w:val="auto"/>
        </w:rPr>
      </w:pPr>
      <w:r>
        <w:rPr>
          <w:rFonts w:ascii="Arial" w:cs="Arial" w:eastAsia="Arial" w:hAnsi="Arial"/>
          <w:sz w:val="15"/>
          <w:szCs w:val="15"/>
          <w:color w:val="auto"/>
        </w:rPr>
        <w:t>the terms and conditions upon which we may, or the holders may require us to, redeem or repurchase the debt securities;</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1"/>
        </w:numPr>
        <w:rPr>
          <w:rFonts w:ascii="Times New Roman" w:cs="Times New Roman" w:eastAsia="Times New Roman" w:hAnsi="Times New Roman"/>
          <w:sz w:val="15"/>
          <w:szCs w:val="15"/>
          <w:color w:val="auto"/>
        </w:rPr>
      </w:pPr>
      <w:r>
        <w:rPr>
          <w:rFonts w:ascii="Arial" w:cs="Arial" w:eastAsia="Arial" w:hAnsi="Arial"/>
          <w:sz w:val="15"/>
          <w:szCs w:val="15"/>
          <w:color w:val="auto"/>
        </w:rPr>
        <w:t>the denominations in which such debt securities may be issuable, if other than denomination of $1,000 or any integral multiple of that number;</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1"/>
        </w:numPr>
        <w:rPr>
          <w:rFonts w:ascii="Times New Roman" w:cs="Times New Roman" w:eastAsia="Times New Roman" w:hAnsi="Times New Roman"/>
          <w:sz w:val="15"/>
          <w:szCs w:val="15"/>
          <w:color w:val="auto"/>
        </w:rPr>
      </w:pPr>
      <w:r>
        <w:rPr>
          <w:rFonts w:ascii="Arial" w:cs="Arial" w:eastAsia="Arial" w:hAnsi="Arial"/>
          <w:sz w:val="15"/>
          <w:szCs w:val="15"/>
          <w:color w:val="auto"/>
        </w:rPr>
        <w:t>whether the debt securities are to be issuable in the form of certificated debt securities or global debt securities;</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1"/>
        </w:numPr>
        <w:rPr>
          <w:rFonts w:ascii="Times New Roman" w:cs="Times New Roman" w:eastAsia="Times New Roman" w:hAnsi="Times New Roman"/>
          <w:sz w:val="15"/>
          <w:szCs w:val="15"/>
          <w:color w:val="auto"/>
        </w:rPr>
      </w:pPr>
      <w:r>
        <w:rPr>
          <w:rFonts w:ascii="Arial" w:cs="Arial" w:eastAsia="Arial" w:hAnsi="Arial"/>
          <w:sz w:val="15"/>
          <w:szCs w:val="15"/>
          <w:color w:val="auto"/>
        </w:rPr>
        <w:t>the portion of principal amount that will be payable upon declaration of acceleration of the maturity date if other than the principal amount of the debt securities;</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1"/>
        </w:numPr>
        <w:rPr>
          <w:rFonts w:ascii="Times New Roman" w:cs="Times New Roman" w:eastAsia="Times New Roman" w:hAnsi="Times New Roman"/>
          <w:sz w:val="15"/>
          <w:szCs w:val="15"/>
          <w:color w:val="auto"/>
        </w:rPr>
      </w:pPr>
      <w:r>
        <w:rPr>
          <w:rFonts w:ascii="Arial" w:cs="Arial" w:eastAsia="Arial" w:hAnsi="Arial"/>
          <w:sz w:val="15"/>
          <w:szCs w:val="15"/>
          <w:color w:val="auto"/>
        </w:rPr>
        <w:t>the currency of denomination;</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1"/>
        </w:numPr>
        <w:rPr>
          <w:rFonts w:ascii="Times New Roman" w:cs="Times New Roman" w:eastAsia="Times New Roman" w:hAnsi="Times New Roman"/>
          <w:sz w:val="15"/>
          <w:szCs w:val="15"/>
          <w:color w:val="auto"/>
        </w:rPr>
      </w:pPr>
      <w:r>
        <w:rPr>
          <w:rFonts w:ascii="Arial" w:cs="Arial" w:eastAsia="Arial" w:hAnsi="Arial"/>
          <w:sz w:val="15"/>
          <w:szCs w:val="15"/>
          <w:color w:val="auto"/>
        </w:rPr>
        <w:t>the designation of the currency, currencies or currency units in which payment of principal and, if applicable, premium and interest, will be made;</w:t>
      </w:r>
    </w:p>
    <w:p>
      <w:pPr>
        <w:spacing w:after="0" w:line="181" w:lineRule="exact"/>
        <w:rPr>
          <w:rFonts w:ascii="Times New Roman" w:cs="Times New Roman" w:eastAsia="Times New Roman" w:hAnsi="Times New Roman"/>
          <w:sz w:val="15"/>
          <w:szCs w:val="15"/>
          <w:color w:val="auto"/>
        </w:rPr>
      </w:pPr>
    </w:p>
    <w:p>
      <w:pPr>
        <w:ind w:left="540" w:right="40" w:hanging="274"/>
        <w:spacing w:after="0" w:line="275" w:lineRule="auto"/>
        <w:tabs>
          <w:tab w:leader="none" w:pos="540" w:val="left"/>
        </w:tabs>
        <w:numPr>
          <w:ilvl w:val="0"/>
          <w:numId w:val="11"/>
        </w:numPr>
        <w:rPr>
          <w:rFonts w:ascii="Times New Roman" w:cs="Times New Roman" w:eastAsia="Times New Roman" w:hAnsi="Times New Roman"/>
          <w:sz w:val="15"/>
          <w:szCs w:val="15"/>
          <w:color w:val="auto"/>
        </w:rPr>
      </w:pPr>
      <w:r>
        <w:rPr>
          <w:rFonts w:ascii="Arial" w:cs="Arial" w:eastAsia="Arial" w:hAnsi="Arial"/>
          <w:sz w:val="15"/>
          <w:szCs w:val="15"/>
          <w:color w:val="auto"/>
        </w:rPr>
        <w:t>if payments of principal and, if applicable, premium or interest, on the debt securities are to be made in one or more currencies or currency units other than the currency of denominations, the manner in which exchange rate with respect to such payments will be determined;</w:t>
      </w:r>
    </w:p>
    <w:p>
      <w:pPr>
        <w:spacing w:after="0" w:line="118" w:lineRule="exact"/>
        <w:rPr>
          <w:rFonts w:ascii="Times New Roman" w:cs="Times New Roman" w:eastAsia="Times New Roman" w:hAnsi="Times New Roman"/>
          <w:sz w:val="15"/>
          <w:szCs w:val="15"/>
          <w:color w:val="auto"/>
        </w:rPr>
      </w:pPr>
    </w:p>
    <w:p>
      <w:pPr>
        <w:ind w:left="540" w:right="40" w:hanging="274"/>
        <w:spacing w:after="0" w:line="275" w:lineRule="auto"/>
        <w:tabs>
          <w:tab w:leader="none" w:pos="540" w:val="left"/>
        </w:tabs>
        <w:numPr>
          <w:ilvl w:val="0"/>
          <w:numId w:val="11"/>
        </w:numPr>
        <w:rPr>
          <w:rFonts w:ascii="Times New Roman" w:cs="Times New Roman" w:eastAsia="Times New Roman" w:hAnsi="Times New Roman"/>
          <w:sz w:val="15"/>
          <w:szCs w:val="15"/>
          <w:color w:val="auto"/>
        </w:rPr>
      </w:pPr>
      <w:r>
        <w:rPr>
          <w:rFonts w:ascii="Arial" w:cs="Arial" w:eastAsia="Arial" w:hAnsi="Arial"/>
          <w:sz w:val="15"/>
          <w:szCs w:val="15"/>
          <w:color w:val="auto"/>
        </w:rPr>
        <w:t>if amounts of principal and, if applicable, premium and interest may be determined by reference to an index based on a currency or currencies, or by reference to a commodity, commodity index, stock exchange index, or financial index, then the manner in which such amounts will be determined;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21" w:name="page22"/>
    <w:bookmarkEnd w:id="21"/>
    <w:p>
      <w:pPr>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ind w:left="540" w:hanging="274"/>
        <w:spacing w:after="0"/>
        <w:tabs>
          <w:tab w:leader="none" w:pos="540" w:val="left"/>
        </w:tabs>
        <w:numPr>
          <w:ilvl w:val="0"/>
          <w:numId w:val="12"/>
        </w:numPr>
        <w:rPr>
          <w:rFonts w:ascii="Times New Roman" w:cs="Times New Roman" w:eastAsia="Times New Roman" w:hAnsi="Times New Roman"/>
          <w:sz w:val="15"/>
          <w:szCs w:val="15"/>
          <w:color w:val="auto"/>
        </w:rPr>
      </w:pPr>
      <w:r>
        <w:rPr>
          <w:rFonts w:ascii="Arial" w:cs="Arial" w:eastAsia="Arial" w:hAnsi="Arial"/>
          <w:sz w:val="15"/>
          <w:szCs w:val="15"/>
          <w:color w:val="auto"/>
        </w:rPr>
        <w:t>the provisions, if any, relating to any collateral provided for such debt securities;</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2"/>
        </w:numPr>
        <w:rPr>
          <w:rFonts w:ascii="Times New Roman" w:cs="Times New Roman" w:eastAsia="Times New Roman" w:hAnsi="Times New Roman"/>
          <w:sz w:val="15"/>
          <w:szCs w:val="15"/>
          <w:color w:val="auto"/>
        </w:rPr>
      </w:pPr>
      <w:r>
        <w:rPr>
          <w:rFonts w:ascii="Arial" w:cs="Arial" w:eastAsia="Arial" w:hAnsi="Arial"/>
          <w:sz w:val="15"/>
          <w:szCs w:val="15"/>
          <w:color w:val="auto"/>
        </w:rPr>
        <w:t>any events of default;</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2"/>
        </w:numPr>
        <w:rPr>
          <w:rFonts w:ascii="Times New Roman" w:cs="Times New Roman" w:eastAsia="Times New Roman" w:hAnsi="Times New Roman"/>
          <w:sz w:val="15"/>
          <w:szCs w:val="15"/>
          <w:color w:val="auto"/>
        </w:rPr>
      </w:pPr>
      <w:r>
        <w:rPr>
          <w:rFonts w:ascii="Arial" w:cs="Arial" w:eastAsia="Arial" w:hAnsi="Arial"/>
          <w:sz w:val="15"/>
          <w:szCs w:val="15"/>
          <w:color w:val="auto"/>
        </w:rPr>
        <w:t>the terms and conditions, if any, for conversion into or exchange for ordinary shares;</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2"/>
        </w:numPr>
        <w:rPr>
          <w:rFonts w:ascii="Times New Roman" w:cs="Times New Roman" w:eastAsia="Times New Roman" w:hAnsi="Times New Roman"/>
          <w:sz w:val="15"/>
          <w:szCs w:val="15"/>
          <w:color w:val="auto"/>
        </w:rPr>
      </w:pPr>
      <w:r>
        <w:rPr>
          <w:rFonts w:ascii="Arial" w:cs="Arial" w:eastAsia="Arial" w:hAnsi="Arial"/>
          <w:sz w:val="15"/>
          <w:szCs w:val="15"/>
          <w:color w:val="auto"/>
        </w:rPr>
        <w:t>any depositaries, interest rate calculation agents, exchange rate calculation agents, or other agents; and</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2"/>
        </w:numPr>
        <w:rPr>
          <w:rFonts w:ascii="Times New Roman" w:cs="Times New Roman" w:eastAsia="Times New Roman" w:hAnsi="Times New Roman"/>
          <w:sz w:val="15"/>
          <w:szCs w:val="15"/>
          <w:color w:val="auto"/>
        </w:rPr>
      </w:pPr>
      <w:r>
        <w:rPr>
          <w:rFonts w:ascii="Arial" w:cs="Arial" w:eastAsia="Arial" w:hAnsi="Arial"/>
          <w:sz w:val="15"/>
          <w:szCs w:val="15"/>
          <w:color w:val="auto"/>
        </w:rPr>
        <w:t>the terms and conditions, if any, upon which the debt securities shall be subordinated in right of payment to other indebtedness of our company.</w:t>
      </w:r>
    </w:p>
    <w:p>
      <w:pPr>
        <w:spacing w:after="0" w:line="27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0180"/>
          </w:cols>
          <w:pgMar w:left="320" w:top="223" w:right="1399" w:bottom="1440" w:gutter="0" w:footer="0" w:header="0"/>
        </w:sectPr>
      </w:pPr>
    </w:p>
    <w:bookmarkStart w:id="22" w:name="page23"/>
    <w:bookmarkEnd w:id="22"/>
    <w:p>
      <w:pPr>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DESCRIPTION OF WARRANTS</w:t>
      </w:r>
    </w:p>
    <w:p>
      <w:pPr>
        <w:spacing w:after="0" w:line="170" w:lineRule="exact"/>
        <w:rPr>
          <w:sz w:val="20"/>
          <w:szCs w:val="20"/>
          <w:color w:val="auto"/>
        </w:rPr>
      </w:pPr>
    </w:p>
    <w:p>
      <w:pPr>
        <w:spacing w:after="0" w:line="251" w:lineRule="auto"/>
        <w:rPr>
          <w:sz w:val="20"/>
          <w:szCs w:val="20"/>
          <w:color w:val="auto"/>
        </w:rPr>
      </w:pPr>
      <w:r>
        <w:rPr>
          <w:rFonts w:ascii="Arial" w:cs="Arial" w:eastAsia="Arial" w:hAnsi="Arial"/>
          <w:sz w:val="15"/>
          <w:szCs w:val="15"/>
          <w:color w:val="auto"/>
        </w:rPr>
        <w:t>We may issue warrants to purchase our debt or equity securities. The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being offered and a description of the material provisions of the applicable warrant agreement will be set forth in the applicable prospectus supplement.</w:t>
      </w:r>
    </w:p>
    <w:p>
      <w:pPr>
        <w:spacing w:after="0" w:line="135" w:lineRule="exact"/>
        <w:rPr>
          <w:sz w:val="20"/>
          <w:szCs w:val="20"/>
          <w:color w:val="auto"/>
        </w:rPr>
      </w:pPr>
    </w:p>
    <w:p>
      <w:pPr>
        <w:ind w:right="520"/>
        <w:spacing w:after="0" w:line="276" w:lineRule="auto"/>
        <w:rPr>
          <w:sz w:val="20"/>
          <w:szCs w:val="20"/>
          <w:color w:val="auto"/>
        </w:rPr>
      </w:pPr>
      <w:r>
        <w:rPr>
          <w:rFonts w:ascii="Arial" w:cs="Arial" w:eastAsia="Arial" w:hAnsi="Arial"/>
          <w:sz w:val="15"/>
          <w:szCs w:val="15"/>
          <w:color w:val="auto"/>
        </w:rPr>
        <w:t>The applicable prospectus supplement will set forth, to the extent required, the following terms of the warrants in respect of which the prospectus supplement is delivered:</w:t>
      </w:r>
    </w:p>
    <w:p>
      <w:pPr>
        <w:spacing w:after="0" w:line="117" w:lineRule="exact"/>
        <w:rPr>
          <w:sz w:val="20"/>
          <w:szCs w:val="20"/>
          <w:color w:val="auto"/>
        </w:rPr>
      </w:pPr>
    </w:p>
    <w:p>
      <w:pPr>
        <w:ind w:left="540" w:hanging="274"/>
        <w:spacing w:after="0"/>
        <w:tabs>
          <w:tab w:leader="none" w:pos="540" w:val="left"/>
        </w:tabs>
        <w:numPr>
          <w:ilvl w:val="0"/>
          <w:numId w:val="13"/>
        </w:numPr>
        <w:rPr>
          <w:rFonts w:ascii="Times New Roman" w:cs="Times New Roman" w:eastAsia="Times New Roman" w:hAnsi="Times New Roman"/>
          <w:sz w:val="15"/>
          <w:szCs w:val="15"/>
          <w:color w:val="auto"/>
        </w:rPr>
      </w:pPr>
      <w:r>
        <w:rPr>
          <w:rFonts w:ascii="Arial" w:cs="Arial" w:eastAsia="Arial" w:hAnsi="Arial"/>
          <w:sz w:val="15"/>
          <w:szCs w:val="15"/>
          <w:color w:val="auto"/>
        </w:rPr>
        <w:t>the title of such warrants;</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3"/>
        </w:numPr>
        <w:rPr>
          <w:rFonts w:ascii="Times New Roman" w:cs="Times New Roman" w:eastAsia="Times New Roman" w:hAnsi="Times New Roman"/>
          <w:sz w:val="15"/>
          <w:szCs w:val="15"/>
          <w:color w:val="auto"/>
        </w:rPr>
      </w:pPr>
      <w:r>
        <w:rPr>
          <w:rFonts w:ascii="Arial" w:cs="Arial" w:eastAsia="Arial" w:hAnsi="Arial"/>
          <w:sz w:val="15"/>
          <w:szCs w:val="15"/>
          <w:color w:val="auto"/>
        </w:rPr>
        <w:t>the aggregate number of such warrants;</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3"/>
        </w:numPr>
        <w:rPr>
          <w:rFonts w:ascii="Times New Roman" w:cs="Times New Roman" w:eastAsia="Times New Roman" w:hAnsi="Times New Roman"/>
          <w:sz w:val="15"/>
          <w:szCs w:val="15"/>
          <w:color w:val="auto"/>
        </w:rPr>
      </w:pPr>
      <w:r>
        <w:rPr>
          <w:rFonts w:ascii="Arial" w:cs="Arial" w:eastAsia="Arial" w:hAnsi="Arial"/>
          <w:sz w:val="15"/>
          <w:szCs w:val="15"/>
          <w:color w:val="auto"/>
        </w:rPr>
        <w:t>the price or prices at which such warrants will be issued;</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3"/>
        </w:numPr>
        <w:rPr>
          <w:rFonts w:ascii="Times New Roman" w:cs="Times New Roman" w:eastAsia="Times New Roman" w:hAnsi="Times New Roman"/>
          <w:sz w:val="15"/>
          <w:szCs w:val="15"/>
          <w:color w:val="auto"/>
        </w:rPr>
      </w:pPr>
      <w:r>
        <w:rPr>
          <w:rFonts w:ascii="Arial" w:cs="Arial" w:eastAsia="Arial" w:hAnsi="Arial"/>
          <w:sz w:val="15"/>
          <w:szCs w:val="15"/>
          <w:color w:val="auto"/>
        </w:rPr>
        <w:t>the currency or currencies in which the price of such warrants will be payable;</w:t>
      </w:r>
    </w:p>
    <w:p>
      <w:pPr>
        <w:spacing w:after="0" w:line="181" w:lineRule="exact"/>
        <w:rPr>
          <w:rFonts w:ascii="Times New Roman" w:cs="Times New Roman" w:eastAsia="Times New Roman" w:hAnsi="Times New Roman"/>
          <w:sz w:val="15"/>
          <w:szCs w:val="15"/>
          <w:color w:val="auto"/>
        </w:rPr>
      </w:pPr>
    </w:p>
    <w:p>
      <w:pPr>
        <w:ind w:left="540" w:right="140" w:hanging="274"/>
        <w:spacing w:after="0" w:line="275" w:lineRule="auto"/>
        <w:tabs>
          <w:tab w:leader="none" w:pos="540" w:val="left"/>
        </w:tabs>
        <w:numPr>
          <w:ilvl w:val="0"/>
          <w:numId w:val="13"/>
        </w:numPr>
        <w:rPr>
          <w:rFonts w:ascii="Times New Roman" w:cs="Times New Roman" w:eastAsia="Times New Roman" w:hAnsi="Times New Roman"/>
          <w:sz w:val="15"/>
          <w:szCs w:val="15"/>
          <w:color w:val="auto"/>
        </w:rPr>
      </w:pPr>
      <w:r>
        <w:rPr>
          <w:rFonts w:ascii="Arial" w:cs="Arial" w:eastAsia="Arial" w:hAnsi="Arial"/>
          <w:sz w:val="15"/>
          <w:szCs w:val="15"/>
          <w:color w:val="auto"/>
        </w:rPr>
        <w:t>the securities or other rights, including rights to receive payment in cash or securities based on the value, rate or price of one or more specified commodities, currencies, securities or indices, or any combination of the foregoing, purchasable upon exercise of such warrants;</w:t>
      </w:r>
    </w:p>
    <w:p>
      <w:pPr>
        <w:spacing w:after="0" w:line="118"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3"/>
        </w:numPr>
        <w:rPr>
          <w:rFonts w:ascii="Times New Roman" w:cs="Times New Roman" w:eastAsia="Times New Roman" w:hAnsi="Times New Roman"/>
          <w:sz w:val="15"/>
          <w:szCs w:val="15"/>
          <w:color w:val="auto"/>
        </w:rPr>
      </w:pPr>
      <w:r>
        <w:rPr>
          <w:rFonts w:ascii="Arial" w:cs="Arial" w:eastAsia="Arial" w:hAnsi="Arial"/>
          <w:sz w:val="15"/>
          <w:szCs w:val="15"/>
          <w:color w:val="auto"/>
        </w:rPr>
        <w:t>the price at which and the currency or currencies in which the securities or other rights purchasable upon exercise of such warrants may be purchased;</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3"/>
        </w:numPr>
        <w:rPr>
          <w:rFonts w:ascii="Times New Roman" w:cs="Times New Roman" w:eastAsia="Times New Roman" w:hAnsi="Times New Roman"/>
          <w:sz w:val="15"/>
          <w:szCs w:val="15"/>
          <w:color w:val="auto"/>
        </w:rPr>
      </w:pPr>
      <w:r>
        <w:rPr>
          <w:rFonts w:ascii="Arial" w:cs="Arial" w:eastAsia="Arial" w:hAnsi="Arial"/>
          <w:sz w:val="15"/>
          <w:szCs w:val="15"/>
          <w:color w:val="auto"/>
        </w:rPr>
        <w:t>the date on which the right to exercise such warrants shall commence and the date on which such right shall expire;</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3"/>
        </w:numPr>
        <w:rPr>
          <w:rFonts w:ascii="Times New Roman" w:cs="Times New Roman" w:eastAsia="Times New Roman" w:hAnsi="Times New Roman"/>
          <w:sz w:val="15"/>
          <w:szCs w:val="15"/>
          <w:color w:val="auto"/>
        </w:rPr>
      </w:pPr>
      <w:r>
        <w:rPr>
          <w:rFonts w:ascii="Arial" w:cs="Arial" w:eastAsia="Arial" w:hAnsi="Arial"/>
          <w:sz w:val="15"/>
          <w:szCs w:val="15"/>
          <w:color w:val="auto"/>
        </w:rPr>
        <w:t>if applicable, the minimum or maximum amount of such warrants which may be exercised at any one time;</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3"/>
        </w:numPr>
        <w:rPr>
          <w:rFonts w:ascii="Times New Roman" w:cs="Times New Roman" w:eastAsia="Times New Roman" w:hAnsi="Times New Roman"/>
          <w:sz w:val="15"/>
          <w:szCs w:val="15"/>
          <w:color w:val="auto"/>
        </w:rPr>
      </w:pPr>
      <w:r>
        <w:rPr>
          <w:rFonts w:ascii="Arial" w:cs="Arial" w:eastAsia="Arial" w:hAnsi="Arial"/>
          <w:sz w:val="15"/>
          <w:szCs w:val="15"/>
          <w:color w:val="auto"/>
        </w:rPr>
        <w:t>if applicable, the designation and terms of the securities with which such warrants are issued and the number of such warrants issued with each such security;</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3"/>
        </w:numPr>
        <w:rPr>
          <w:rFonts w:ascii="Times New Roman" w:cs="Times New Roman" w:eastAsia="Times New Roman" w:hAnsi="Times New Roman"/>
          <w:sz w:val="15"/>
          <w:szCs w:val="15"/>
          <w:color w:val="auto"/>
        </w:rPr>
      </w:pPr>
      <w:r>
        <w:rPr>
          <w:rFonts w:ascii="Arial" w:cs="Arial" w:eastAsia="Arial" w:hAnsi="Arial"/>
          <w:sz w:val="15"/>
          <w:szCs w:val="15"/>
          <w:color w:val="auto"/>
        </w:rPr>
        <w:t>if applicable, the date on and after which such warrants and the related securities will be separately transferable;</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3"/>
        </w:numPr>
        <w:rPr>
          <w:rFonts w:ascii="Times New Roman" w:cs="Times New Roman" w:eastAsia="Times New Roman" w:hAnsi="Times New Roman"/>
          <w:sz w:val="15"/>
          <w:szCs w:val="15"/>
          <w:color w:val="auto"/>
        </w:rPr>
      </w:pPr>
      <w:r>
        <w:rPr>
          <w:rFonts w:ascii="Arial" w:cs="Arial" w:eastAsia="Arial" w:hAnsi="Arial"/>
          <w:sz w:val="15"/>
          <w:szCs w:val="15"/>
          <w:color w:val="auto"/>
        </w:rPr>
        <w:t>information with respect to book-entry procedures, if any;</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3"/>
        </w:numPr>
        <w:rPr>
          <w:rFonts w:ascii="Times New Roman" w:cs="Times New Roman" w:eastAsia="Times New Roman" w:hAnsi="Times New Roman"/>
          <w:sz w:val="15"/>
          <w:szCs w:val="15"/>
          <w:color w:val="auto"/>
        </w:rPr>
      </w:pPr>
      <w:r>
        <w:rPr>
          <w:rFonts w:ascii="Arial" w:cs="Arial" w:eastAsia="Arial" w:hAnsi="Arial"/>
          <w:sz w:val="15"/>
          <w:szCs w:val="15"/>
          <w:color w:val="auto"/>
        </w:rPr>
        <w:t>if applicable, a discussion of any material United States federal income tax considerations; and</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3"/>
        </w:numPr>
        <w:rPr>
          <w:rFonts w:ascii="Times New Roman" w:cs="Times New Roman" w:eastAsia="Times New Roman" w:hAnsi="Times New Roman"/>
          <w:sz w:val="15"/>
          <w:szCs w:val="15"/>
          <w:color w:val="auto"/>
        </w:rPr>
      </w:pPr>
      <w:r>
        <w:rPr>
          <w:rFonts w:ascii="Arial" w:cs="Arial" w:eastAsia="Arial" w:hAnsi="Arial"/>
          <w:sz w:val="15"/>
          <w:szCs w:val="15"/>
          <w:color w:val="auto"/>
        </w:rPr>
        <w:t>any other terms of such warrants, including terms, procedures and limitations relating to the exchange and exercise of such warrants.</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23" w:name="page24"/>
    <w:bookmarkEnd w:id="23"/>
    <w:p>
      <w:pPr>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DESCRIPTION OF SUBSCRIPTION RIGHTS</w:t>
      </w:r>
    </w:p>
    <w:p>
      <w:pPr>
        <w:spacing w:after="0" w:line="170" w:lineRule="exact"/>
        <w:rPr>
          <w:sz w:val="20"/>
          <w:szCs w:val="20"/>
          <w:color w:val="auto"/>
        </w:rPr>
      </w:pPr>
    </w:p>
    <w:p>
      <w:pPr>
        <w:spacing w:after="0" w:line="247" w:lineRule="auto"/>
        <w:rPr>
          <w:sz w:val="20"/>
          <w:szCs w:val="20"/>
          <w:color w:val="auto"/>
        </w:rPr>
      </w:pPr>
      <w:r>
        <w:rPr>
          <w:rFonts w:ascii="Arial" w:cs="Arial" w:eastAsia="Arial" w:hAnsi="Arial"/>
          <w:sz w:val="15"/>
          <w:szCs w:val="15"/>
          <w:color w:val="auto"/>
        </w:rPr>
        <w:t>We may issue subscription rights to purchase our debt or equity securities. The subscription rights may be issued independently or together with any other securities, may be attached to, or separate from, such securities and may or may not be transferable by the shareholder receiving the subscription rights. In connection with any offering of subscription rights, we may enter into a standby arrangement with one or more underwriters or other purchasers pursuant to which the underwriters or other purchasers may be required to purchase any unsubscribed securities after such offering. The terms of any subscription rights being offered will be set forth in the applicable prospectus supplement.</w:t>
      </w:r>
    </w:p>
    <w:p>
      <w:pPr>
        <w:spacing w:after="0" w:line="141" w:lineRule="exact"/>
        <w:rPr>
          <w:sz w:val="20"/>
          <w:szCs w:val="20"/>
          <w:color w:val="auto"/>
        </w:rPr>
      </w:pPr>
    </w:p>
    <w:p>
      <w:pPr>
        <w:ind w:right="180"/>
        <w:spacing w:after="0" w:line="257" w:lineRule="auto"/>
        <w:rPr>
          <w:sz w:val="20"/>
          <w:szCs w:val="20"/>
          <w:color w:val="auto"/>
        </w:rPr>
      </w:pPr>
      <w:r>
        <w:rPr>
          <w:rFonts w:ascii="Arial" w:cs="Arial" w:eastAsia="Arial" w:hAnsi="Arial"/>
          <w:sz w:val="15"/>
          <w:szCs w:val="15"/>
          <w:color w:val="auto"/>
        </w:rPr>
        <w:t>If fewer than all of the subscription rights issued in any rights offering are exercised, we may offer any unsubscribed securities directly to persons other than shareholders, to or through agents, underwriters or dealers or through a combination of such methods, including pursuant to standby arrangements, as described in the applicable prospectus supplement.</w:t>
      </w:r>
    </w:p>
    <w:p>
      <w:pPr>
        <w:spacing w:after="0" w:line="131"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The applicable prospectus supplement will set forth, to the extent required, the following terms of the subscription rights in respect of which the prospectus supplement is delivered:</w:t>
      </w:r>
    </w:p>
    <w:p>
      <w:pPr>
        <w:spacing w:after="0" w:line="117" w:lineRule="exact"/>
        <w:rPr>
          <w:sz w:val="20"/>
          <w:szCs w:val="20"/>
          <w:color w:val="auto"/>
        </w:rPr>
      </w:pPr>
    </w:p>
    <w:p>
      <w:pPr>
        <w:ind w:left="540" w:hanging="274"/>
        <w:spacing w:after="0"/>
        <w:tabs>
          <w:tab w:leader="none" w:pos="540" w:val="left"/>
        </w:tabs>
        <w:numPr>
          <w:ilvl w:val="0"/>
          <w:numId w:val="14"/>
        </w:numPr>
        <w:rPr>
          <w:rFonts w:ascii="Times New Roman" w:cs="Times New Roman" w:eastAsia="Times New Roman" w:hAnsi="Times New Roman"/>
          <w:sz w:val="15"/>
          <w:szCs w:val="15"/>
          <w:color w:val="auto"/>
        </w:rPr>
      </w:pPr>
      <w:r>
        <w:rPr>
          <w:rFonts w:ascii="Arial" w:cs="Arial" w:eastAsia="Arial" w:hAnsi="Arial"/>
          <w:sz w:val="15"/>
          <w:szCs w:val="15"/>
          <w:color w:val="auto"/>
        </w:rPr>
        <w:t>the exercise price;</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4"/>
        </w:numPr>
        <w:rPr>
          <w:rFonts w:ascii="Times New Roman" w:cs="Times New Roman" w:eastAsia="Times New Roman" w:hAnsi="Times New Roman"/>
          <w:sz w:val="15"/>
          <w:szCs w:val="15"/>
          <w:color w:val="auto"/>
        </w:rPr>
      </w:pPr>
      <w:r>
        <w:rPr>
          <w:rFonts w:ascii="Arial" w:cs="Arial" w:eastAsia="Arial" w:hAnsi="Arial"/>
          <w:sz w:val="15"/>
          <w:szCs w:val="15"/>
          <w:color w:val="auto"/>
        </w:rPr>
        <w:t>the aggregate number of rights to be issued;</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4"/>
        </w:numPr>
        <w:rPr>
          <w:rFonts w:ascii="Times New Roman" w:cs="Times New Roman" w:eastAsia="Times New Roman" w:hAnsi="Times New Roman"/>
          <w:sz w:val="15"/>
          <w:szCs w:val="15"/>
          <w:color w:val="auto"/>
        </w:rPr>
      </w:pPr>
      <w:r>
        <w:rPr>
          <w:rFonts w:ascii="Arial" w:cs="Arial" w:eastAsia="Arial" w:hAnsi="Arial"/>
          <w:sz w:val="15"/>
          <w:szCs w:val="15"/>
          <w:color w:val="auto"/>
        </w:rPr>
        <w:t>the type and number of securities purchasable upon exercise of each right;</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4"/>
        </w:numPr>
        <w:rPr>
          <w:rFonts w:ascii="Times New Roman" w:cs="Times New Roman" w:eastAsia="Times New Roman" w:hAnsi="Times New Roman"/>
          <w:sz w:val="15"/>
          <w:szCs w:val="15"/>
          <w:color w:val="auto"/>
        </w:rPr>
      </w:pPr>
      <w:r>
        <w:rPr>
          <w:rFonts w:ascii="Arial" w:cs="Arial" w:eastAsia="Arial" w:hAnsi="Arial"/>
          <w:sz w:val="15"/>
          <w:szCs w:val="15"/>
          <w:color w:val="auto"/>
        </w:rPr>
        <w:t>the procedures and limitations relating to the exercise of the rights;</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4"/>
        </w:numPr>
        <w:rPr>
          <w:rFonts w:ascii="Times New Roman" w:cs="Times New Roman" w:eastAsia="Times New Roman" w:hAnsi="Times New Roman"/>
          <w:sz w:val="15"/>
          <w:szCs w:val="15"/>
          <w:color w:val="auto"/>
        </w:rPr>
      </w:pPr>
      <w:r>
        <w:rPr>
          <w:rFonts w:ascii="Arial" w:cs="Arial" w:eastAsia="Arial" w:hAnsi="Arial"/>
          <w:sz w:val="15"/>
          <w:szCs w:val="15"/>
          <w:color w:val="auto"/>
        </w:rPr>
        <w:t>the date upon which the exercise of rights will commence;</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4"/>
        </w:numPr>
        <w:rPr>
          <w:rFonts w:ascii="Times New Roman" w:cs="Times New Roman" w:eastAsia="Times New Roman" w:hAnsi="Times New Roman"/>
          <w:sz w:val="15"/>
          <w:szCs w:val="15"/>
          <w:color w:val="auto"/>
        </w:rPr>
      </w:pPr>
      <w:r>
        <w:rPr>
          <w:rFonts w:ascii="Arial" w:cs="Arial" w:eastAsia="Arial" w:hAnsi="Arial"/>
          <w:sz w:val="15"/>
          <w:szCs w:val="15"/>
          <w:color w:val="auto"/>
        </w:rPr>
        <w:t>the record date, if any, to determine who is entitled to the rights;</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4"/>
        </w:numPr>
        <w:rPr>
          <w:rFonts w:ascii="Times New Roman" w:cs="Times New Roman" w:eastAsia="Times New Roman" w:hAnsi="Times New Roman"/>
          <w:sz w:val="15"/>
          <w:szCs w:val="15"/>
          <w:color w:val="auto"/>
        </w:rPr>
      </w:pPr>
      <w:r>
        <w:rPr>
          <w:rFonts w:ascii="Arial" w:cs="Arial" w:eastAsia="Arial" w:hAnsi="Arial"/>
          <w:sz w:val="15"/>
          <w:szCs w:val="15"/>
          <w:color w:val="auto"/>
        </w:rPr>
        <w:t>the expiration date;</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4"/>
        </w:numPr>
        <w:rPr>
          <w:rFonts w:ascii="Times New Roman" w:cs="Times New Roman" w:eastAsia="Times New Roman" w:hAnsi="Times New Roman"/>
          <w:sz w:val="15"/>
          <w:szCs w:val="15"/>
          <w:color w:val="auto"/>
        </w:rPr>
      </w:pPr>
      <w:r>
        <w:rPr>
          <w:rFonts w:ascii="Arial" w:cs="Arial" w:eastAsia="Arial" w:hAnsi="Arial"/>
          <w:sz w:val="15"/>
          <w:szCs w:val="15"/>
          <w:color w:val="auto"/>
        </w:rPr>
        <w:t>the extent to which the rights are transferable;</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4"/>
        </w:numPr>
        <w:rPr>
          <w:rFonts w:ascii="Times New Roman" w:cs="Times New Roman" w:eastAsia="Times New Roman" w:hAnsi="Times New Roman"/>
          <w:sz w:val="15"/>
          <w:szCs w:val="15"/>
          <w:color w:val="auto"/>
        </w:rPr>
      </w:pPr>
      <w:r>
        <w:rPr>
          <w:rFonts w:ascii="Arial" w:cs="Arial" w:eastAsia="Arial" w:hAnsi="Arial"/>
          <w:sz w:val="15"/>
          <w:szCs w:val="15"/>
          <w:color w:val="auto"/>
        </w:rPr>
        <w:t>information regarding the trading of rights, including the stock exchanges, if any, on which the rights will be listed;</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4"/>
        </w:numPr>
        <w:rPr>
          <w:rFonts w:ascii="Times New Roman" w:cs="Times New Roman" w:eastAsia="Times New Roman" w:hAnsi="Times New Roman"/>
          <w:sz w:val="15"/>
          <w:szCs w:val="15"/>
          <w:color w:val="auto"/>
        </w:rPr>
      </w:pPr>
      <w:r>
        <w:rPr>
          <w:rFonts w:ascii="Arial" w:cs="Arial" w:eastAsia="Arial" w:hAnsi="Arial"/>
          <w:sz w:val="15"/>
          <w:szCs w:val="15"/>
          <w:color w:val="auto"/>
        </w:rPr>
        <w:t>the extent to which the subscription rights may include an over-subscription privilege with respect to unsubscribed securities;</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4"/>
        </w:numPr>
        <w:rPr>
          <w:rFonts w:ascii="Times New Roman" w:cs="Times New Roman" w:eastAsia="Times New Roman" w:hAnsi="Times New Roman"/>
          <w:sz w:val="15"/>
          <w:szCs w:val="15"/>
          <w:color w:val="auto"/>
        </w:rPr>
      </w:pPr>
      <w:r>
        <w:rPr>
          <w:rFonts w:ascii="Arial" w:cs="Arial" w:eastAsia="Arial" w:hAnsi="Arial"/>
          <w:sz w:val="15"/>
          <w:szCs w:val="15"/>
          <w:color w:val="auto"/>
        </w:rPr>
        <w:t>if appropriate, a discussion of material U.S. federal income tax considerations;</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4"/>
        </w:numPr>
        <w:rPr>
          <w:rFonts w:ascii="Times New Roman" w:cs="Times New Roman" w:eastAsia="Times New Roman" w:hAnsi="Times New Roman"/>
          <w:sz w:val="15"/>
          <w:szCs w:val="15"/>
          <w:color w:val="auto"/>
        </w:rPr>
      </w:pPr>
      <w:r>
        <w:rPr>
          <w:rFonts w:ascii="Arial" w:cs="Arial" w:eastAsia="Arial" w:hAnsi="Arial"/>
          <w:sz w:val="15"/>
          <w:szCs w:val="15"/>
          <w:color w:val="auto"/>
        </w:rPr>
        <w:t>if applicable, the material terms of any standby underwriting or purchase arrangement entered into by us in connection with the offering of the rights; and</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4"/>
        </w:numPr>
        <w:rPr>
          <w:rFonts w:ascii="Times New Roman" w:cs="Times New Roman" w:eastAsia="Times New Roman" w:hAnsi="Times New Roman"/>
          <w:sz w:val="15"/>
          <w:szCs w:val="15"/>
          <w:color w:val="auto"/>
        </w:rPr>
      </w:pPr>
      <w:r>
        <w:rPr>
          <w:rFonts w:ascii="Arial" w:cs="Arial" w:eastAsia="Arial" w:hAnsi="Arial"/>
          <w:sz w:val="15"/>
          <w:szCs w:val="15"/>
          <w:color w:val="auto"/>
        </w:rPr>
        <w:t>any other material terms of the rights.</w:t>
      </w: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180"/>
          </w:cols>
          <w:pgMar w:left="320" w:top="223" w:right="399" w:bottom="1440" w:gutter="0" w:footer="0" w:header="0"/>
        </w:sectPr>
      </w:pPr>
    </w:p>
    <w:bookmarkStart w:id="24" w:name="page25"/>
    <w:bookmarkEnd w:id="24"/>
    <w:p>
      <w:pPr>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DESCRIPTION OF PURCHASE CONTRACTS</w:t>
      </w:r>
    </w:p>
    <w:p>
      <w:pPr>
        <w:spacing w:after="0" w:line="170"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color w:val="auto"/>
        </w:rPr>
        <w:t>We may issue purchase contracts for the purchase or sale of debt or equity securities issued by us or securities of third parties, a basket of such securities, an index or indices of such securities or any combination of the above as specified in the applicable prospectus supplement, currencies or commodities.</w:t>
      </w:r>
    </w:p>
    <w:p>
      <w:pPr>
        <w:spacing w:after="0" w:line="117" w:lineRule="exact"/>
        <w:rPr>
          <w:sz w:val="20"/>
          <w:szCs w:val="20"/>
          <w:color w:val="auto"/>
        </w:rPr>
      </w:pPr>
    </w:p>
    <w:p>
      <w:pPr>
        <w:spacing w:after="0" w:line="244" w:lineRule="auto"/>
        <w:rPr>
          <w:sz w:val="20"/>
          <w:szCs w:val="20"/>
          <w:color w:val="auto"/>
        </w:rPr>
      </w:pPr>
      <w:r>
        <w:rPr>
          <w:rFonts w:ascii="Arial" w:cs="Arial" w:eastAsia="Arial" w:hAnsi="Arial"/>
          <w:sz w:val="15"/>
          <w:szCs w:val="15"/>
          <w:color w:val="auto"/>
        </w:rPr>
        <w:t>Each purchase contract will entitle the holder thereof to purchase or sell, and obligate us to sell or purchase, on specified dates, such securities, currencies or commodities at a specified purchase price, which may be based on a formula, all as set forth in the applicable prospectus supplement. A purchase by us or any of our subsidiaries of ordinary shares pursuant to any such purchase contract shall be subject to certain restrictions under Dutch law that generally apply to a repurchase of shares. We may, however, satisfy our obligations, if any, with respect to any purchase contract by delivering the cash value of such purchase contract or the cash value of the property otherwise deliverable or, in the case of purchase contracts on underlying currencies, by delivering the underlying currencies, as set forth in the applicable prospectus supplement. The applicable prospectus supplement will also specify the methods by which the holders may purchase or sell such securities, currencies or commodities and any acceleration, cancellation or termination provisions or other provisions relating to the settlement of a purchase contract.</w:t>
      </w:r>
    </w:p>
    <w:p>
      <w:pPr>
        <w:spacing w:after="0" w:line="144" w:lineRule="exact"/>
        <w:rPr>
          <w:sz w:val="20"/>
          <w:szCs w:val="20"/>
          <w:color w:val="auto"/>
        </w:rPr>
      </w:pPr>
    </w:p>
    <w:p>
      <w:pPr>
        <w:ind w:right="40"/>
        <w:spacing w:after="0" w:line="247" w:lineRule="auto"/>
        <w:rPr>
          <w:sz w:val="20"/>
          <w:szCs w:val="20"/>
          <w:color w:val="auto"/>
        </w:rPr>
      </w:pPr>
      <w:r>
        <w:rPr>
          <w:rFonts w:ascii="Arial" w:cs="Arial" w:eastAsia="Arial" w:hAnsi="Arial"/>
          <w:sz w:val="15"/>
          <w:szCs w:val="15"/>
          <w:color w:val="auto"/>
        </w:rPr>
        <w:t>The purchase contracts may require us to make periodic payments to the holders thereof or vice versa, which payments may be deferred to the extent set forth in the applicable prospectus supplement, and those payments may be unsecured or prefunded on some basis. The purchase contracts may require the holders thereof to secure their obligations in a specified manner to be described in the applicable prospectus supplement. Alternatively, purchase contracts may require holders to satisfy their obligations thereunder when the purchase contracts are issued. Our obligation to settle such pre-paid purchase contracts on the relevant settlement date may constitute indebtedness. Accordingly, pre-paid purchase contracts will be issued under an indenture.</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25" w:name="page26"/>
    <w:bookmarkEnd w:id="25"/>
    <w:p>
      <w:pPr>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jc w:val="center"/>
        <w:ind w:right="-179"/>
        <w:spacing w:after="0"/>
        <w:rPr>
          <w:sz w:val="20"/>
          <w:szCs w:val="20"/>
          <w:color w:val="auto"/>
        </w:rPr>
      </w:pPr>
      <w:r>
        <w:rPr>
          <w:rFonts w:ascii="Arial" w:cs="Arial" w:eastAsia="Arial" w:hAnsi="Arial"/>
          <w:sz w:val="15"/>
          <w:szCs w:val="15"/>
          <w:b w:val="1"/>
          <w:bCs w:val="1"/>
          <w:color w:val="auto"/>
        </w:rPr>
        <w:t>DESCRIPTION OF UNITS</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As specified in the applicable prospectus supplement, we may issue units consisting of one or more purchase contracts, warrants, debt securities, ordinary shares or any combination of such securities. The applicable supplement will describe:</w:t>
      </w:r>
    </w:p>
    <w:p>
      <w:pPr>
        <w:spacing w:after="0" w:line="117" w:lineRule="exact"/>
        <w:rPr>
          <w:sz w:val="20"/>
          <w:szCs w:val="20"/>
          <w:color w:val="auto"/>
        </w:rPr>
      </w:pPr>
    </w:p>
    <w:p>
      <w:pPr>
        <w:ind w:left="540" w:right="120" w:hanging="274"/>
        <w:spacing w:after="0" w:line="275" w:lineRule="auto"/>
        <w:tabs>
          <w:tab w:leader="none" w:pos="540" w:val="left"/>
        </w:tabs>
        <w:numPr>
          <w:ilvl w:val="0"/>
          <w:numId w:val="15"/>
        </w:numPr>
        <w:rPr>
          <w:rFonts w:ascii="Times New Roman" w:cs="Times New Roman" w:eastAsia="Times New Roman" w:hAnsi="Times New Roman"/>
          <w:sz w:val="15"/>
          <w:szCs w:val="15"/>
          <w:color w:val="auto"/>
        </w:rPr>
      </w:pPr>
      <w:r>
        <w:rPr>
          <w:rFonts w:ascii="Arial" w:cs="Arial" w:eastAsia="Arial" w:hAnsi="Arial"/>
          <w:sz w:val="15"/>
          <w:szCs w:val="15"/>
          <w:color w:val="auto"/>
        </w:rPr>
        <w:t>the terms of the units and of the warrants, debt securities and/or ordinary shares comprising the units, including whether and under what circumstances the securities comprising the units may be traded separately;</w:t>
      </w:r>
    </w:p>
    <w:p>
      <w:pPr>
        <w:spacing w:after="0" w:line="118"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5"/>
        </w:numPr>
        <w:rPr>
          <w:rFonts w:ascii="Times New Roman" w:cs="Times New Roman" w:eastAsia="Times New Roman" w:hAnsi="Times New Roman"/>
          <w:sz w:val="15"/>
          <w:szCs w:val="15"/>
          <w:color w:val="auto"/>
        </w:rPr>
      </w:pPr>
      <w:r>
        <w:rPr>
          <w:rFonts w:ascii="Arial" w:cs="Arial" w:eastAsia="Arial" w:hAnsi="Arial"/>
          <w:sz w:val="15"/>
          <w:szCs w:val="15"/>
          <w:color w:val="auto"/>
        </w:rPr>
        <w:t>a description of the terms of any unit agreement governing the units; and</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5"/>
        </w:numPr>
        <w:rPr>
          <w:rFonts w:ascii="Times New Roman" w:cs="Times New Roman" w:eastAsia="Times New Roman" w:hAnsi="Times New Roman"/>
          <w:sz w:val="15"/>
          <w:szCs w:val="15"/>
          <w:color w:val="auto"/>
        </w:rPr>
      </w:pPr>
      <w:r>
        <w:rPr>
          <w:rFonts w:ascii="Arial" w:cs="Arial" w:eastAsia="Arial" w:hAnsi="Arial"/>
          <w:sz w:val="15"/>
          <w:szCs w:val="15"/>
          <w:color w:val="auto"/>
        </w:rPr>
        <w:t>a description of the provisions for the payment, settlement, transfer or exchange of the units.</w:t>
      </w:r>
    </w:p>
    <w:p>
      <w:pPr>
        <w:spacing w:after="0" w:line="272"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080"/>
          </w:cols>
          <w:pgMar w:left="320" w:top="223" w:right="499" w:bottom="1440" w:gutter="0" w:footer="0" w:header="0"/>
        </w:sectPr>
      </w:pPr>
    </w:p>
    <w:bookmarkStart w:id="26" w:name="page27"/>
    <w:bookmarkEnd w:id="26"/>
    <w:p>
      <w:pPr>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FORMS OF SECURITIES</w:t>
      </w:r>
    </w:p>
    <w:p>
      <w:pPr>
        <w:spacing w:after="0" w:line="170" w:lineRule="exact"/>
        <w:rPr>
          <w:sz w:val="20"/>
          <w:szCs w:val="20"/>
          <w:color w:val="auto"/>
        </w:rPr>
      </w:pPr>
    </w:p>
    <w:p>
      <w:pPr>
        <w:ind w:right="40"/>
        <w:spacing w:after="0" w:line="244" w:lineRule="auto"/>
        <w:rPr>
          <w:sz w:val="20"/>
          <w:szCs w:val="20"/>
          <w:color w:val="auto"/>
        </w:rPr>
      </w:pPr>
      <w:r>
        <w:rPr>
          <w:rFonts w:ascii="Arial" w:cs="Arial" w:eastAsia="Arial" w:hAnsi="Arial"/>
          <w:sz w:val="15"/>
          <w:szCs w:val="15"/>
          <w:color w:val="auto"/>
        </w:rPr>
        <w:t>Each debt security, warrant and unit will be represented either by a certificate issued in definitive form to a particular investor or by one or more global securities representing the entire issuance of securities. Certificated securities will be issued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Registered Global Securities</w:t>
      </w:r>
    </w:p>
    <w:p>
      <w:pPr>
        <w:spacing w:after="0" w:line="170" w:lineRule="exact"/>
        <w:rPr>
          <w:sz w:val="20"/>
          <w:szCs w:val="20"/>
          <w:color w:val="auto"/>
        </w:rPr>
      </w:pPr>
    </w:p>
    <w:p>
      <w:pPr>
        <w:ind w:right="100"/>
        <w:spacing w:after="0" w:line="246" w:lineRule="auto"/>
        <w:rPr>
          <w:sz w:val="20"/>
          <w:szCs w:val="20"/>
          <w:color w:val="auto"/>
        </w:rPr>
      </w:pPr>
      <w:r>
        <w:rPr>
          <w:rFonts w:ascii="Arial" w:cs="Arial" w:eastAsia="Arial" w:hAnsi="Arial"/>
          <w:sz w:val="15"/>
          <w:szCs w:val="15"/>
          <w:color w:val="auto"/>
        </w:rPr>
        <w:t>We may issue registered debt securities, warrants and units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39" w:lineRule="exact"/>
        <w:rPr>
          <w:sz w:val="20"/>
          <w:szCs w:val="20"/>
          <w:color w:val="auto"/>
        </w:rPr>
      </w:pPr>
    </w:p>
    <w:p>
      <w:pPr>
        <w:ind w:right="660"/>
        <w:spacing w:after="0" w:line="276" w:lineRule="auto"/>
        <w:rPr>
          <w:sz w:val="20"/>
          <w:szCs w:val="20"/>
          <w:color w:val="auto"/>
        </w:rPr>
      </w:pPr>
      <w:r>
        <w:rPr>
          <w:rFonts w:ascii="Arial" w:cs="Arial" w:eastAsia="Arial" w:hAnsi="Arial"/>
          <w:sz w:val="15"/>
          <w:szCs w:val="15"/>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17" w:lineRule="exact"/>
        <w:rPr>
          <w:sz w:val="20"/>
          <w:szCs w:val="20"/>
          <w:color w:val="auto"/>
        </w:rPr>
      </w:pPr>
    </w:p>
    <w:p>
      <w:pPr>
        <w:ind w:right="60"/>
        <w:spacing w:after="0" w:line="244" w:lineRule="auto"/>
        <w:rPr>
          <w:sz w:val="20"/>
          <w:szCs w:val="20"/>
          <w:color w:val="auto"/>
        </w:rPr>
      </w:pPr>
      <w:r>
        <w:rPr>
          <w:rFonts w:ascii="Arial" w:cs="Arial" w:eastAsia="Arial" w:hAnsi="Arial"/>
          <w:sz w:val="15"/>
          <w:szCs w:val="15"/>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144" w:lineRule="exact"/>
        <w:rPr>
          <w:sz w:val="20"/>
          <w:szCs w:val="20"/>
          <w:color w:val="auto"/>
        </w:rPr>
      </w:pPr>
    </w:p>
    <w:p>
      <w:pPr>
        <w:spacing w:after="0" w:line="243" w:lineRule="auto"/>
        <w:rPr>
          <w:sz w:val="20"/>
          <w:szCs w:val="20"/>
          <w:color w:val="auto"/>
        </w:rPr>
      </w:pPr>
      <w:r>
        <w:rPr>
          <w:rFonts w:ascii="Arial" w:cs="Arial" w:eastAsia="Arial" w:hAnsi="Arial"/>
          <w:sz w:val="15"/>
          <w:szCs w:val="15"/>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60"/>
          </w:cols>
          <w:pgMar w:left="320" w:top="223" w:right="319" w:bottom="1440" w:gutter="0" w:footer="0" w:header="0"/>
        </w:sectPr>
      </w:pPr>
    </w:p>
    <w:bookmarkStart w:id="27" w:name="page28"/>
    <w:bookmarkEnd w:id="27"/>
    <w:p>
      <w:pPr>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spacing w:after="0" w:line="257" w:lineRule="auto"/>
        <w:rPr>
          <w:sz w:val="20"/>
          <w:szCs w:val="20"/>
          <w:color w:val="auto"/>
        </w:rPr>
      </w:pPr>
      <w:r>
        <w:rPr>
          <w:rFonts w:ascii="Arial" w:cs="Arial" w:eastAsia="Arial" w:hAnsi="Arial"/>
          <w:sz w:val="15"/>
          <w:szCs w:val="15"/>
          <w:color w:val="auto"/>
        </w:rPr>
        <w:t>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31" w:lineRule="exact"/>
        <w:rPr>
          <w:sz w:val="20"/>
          <w:szCs w:val="20"/>
          <w:color w:val="auto"/>
        </w:rPr>
      </w:pPr>
    </w:p>
    <w:p>
      <w:pPr>
        <w:spacing w:after="0" w:line="247" w:lineRule="auto"/>
        <w:rPr>
          <w:sz w:val="20"/>
          <w:szCs w:val="20"/>
          <w:color w:val="auto"/>
        </w:rPr>
      </w:pPr>
      <w:r>
        <w:rPr>
          <w:rFonts w:ascii="Arial" w:cs="Arial" w:eastAsia="Arial" w:hAnsi="Arial"/>
          <w:sz w:val="15"/>
          <w:szCs w:val="15"/>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Immatics N.V., the trustees, the warrant agents, the unit agents or any other agent of Immatics N.V., agent of the trustees or agent of the warrant agents or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41" w:lineRule="exact"/>
        <w:rPr>
          <w:sz w:val="20"/>
          <w:szCs w:val="20"/>
          <w:color w:val="auto"/>
        </w:rPr>
      </w:pPr>
    </w:p>
    <w:p>
      <w:pPr>
        <w:spacing w:after="0" w:line="247" w:lineRule="auto"/>
        <w:rPr>
          <w:sz w:val="20"/>
          <w:szCs w:val="20"/>
          <w:color w:val="auto"/>
        </w:rPr>
      </w:pPr>
      <w:r>
        <w:rPr>
          <w:rFonts w:ascii="Arial" w:cs="Arial" w:eastAsia="Arial" w:hAnsi="Arial"/>
          <w:sz w:val="15"/>
          <w:szCs w:val="15"/>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41" w:lineRule="exact"/>
        <w:rPr>
          <w:sz w:val="20"/>
          <w:szCs w:val="20"/>
          <w:color w:val="auto"/>
        </w:rPr>
      </w:pPr>
    </w:p>
    <w:p>
      <w:pPr>
        <w:ind w:right="60"/>
        <w:spacing w:after="0" w:line="246" w:lineRule="auto"/>
        <w:rPr>
          <w:sz w:val="20"/>
          <w:szCs w:val="20"/>
          <w:color w:val="auto"/>
        </w:rPr>
      </w:pPr>
      <w:r>
        <w:rPr>
          <w:rFonts w:ascii="Arial" w:cs="Arial" w:eastAsia="Arial" w:hAnsi="Arial"/>
          <w:sz w:val="15"/>
          <w:szCs w:val="15"/>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28" w:name="page29"/>
    <w:bookmarkEnd w:id="28"/>
    <w:p>
      <w:pPr>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ind w:left="4720"/>
        <w:spacing w:after="0"/>
        <w:rPr>
          <w:sz w:val="20"/>
          <w:szCs w:val="20"/>
          <w:color w:val="auto"/>
        </w:rPr>
      </w:pPr>
      <w:r>
        <w:rPr>
          <w:rFonts w:ascii="Arial" w:cs="Arial" w:eastAsia="Arial" w:hAnsi="Arial"/>
          <w:sz w:val="15"/>
          <w:szCs w:val="15"/>
          <w:b w:val="1"/>
          <w:bCs w:val="1"/>
          <w:color w:val="auto"/>
        </w:rPr>
        <w:t>PLAN OF DISTRIBUTION</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We may sell the securities in one or more of the following ways (or in any combination) from time to time:</w:t>
      </w:r>
    </w:p>
    <w:p>
      <w:pPr>
        <w:spacing w:after="0" w:line="170" w:lineRule="exact"/>
        <w:rPr>
          <w:sz w:val="20"/>
          <w:szCs w:val="20"/>
          <w:color w:val="auto"/>
        </w:rPr>
      </w:pPr>
    </w:p>
    <w:p>
      <w:pPr>
        <w:ind w:left="540" w:hanging="274"/>
        <w:spacing w:after="0"/>
        <w:tabs>
          <w:tab w:leader="none" w:pos="540" w:val="left"/>
        </w:tabs>
        <w:numPr>
          <w:ilvl w:val="0"/>
          <w:numId w:val="16"/>
        </w:numPr>
        <w:rPr>
          <w:rFonts w:ascii="Times New Roman" w:cs="Times New Roman" w:eastAsia="Times New Roman" w:hAnsi="Times New Roman"/>
          <w:sz w:val="15"/>
          <w:szCs w:val="15"/>
          <w:color w:val="auto"/>
        </w:rPr>
      </w:pPr>
      <w:r>
        <w:rPr>
          <w:rFonts w:ascii="Arial" w:cs="Arial" w:eastAsia="Arial" w:hAnsi="Arial"/>
          <w:sz w:val="15"/>
          <w:szCs w:val="15"/>
          <w:color w:val="auto"/>
        </w:rPr>
        <w:t>through underwriters or dealers;</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6"/>
        </w:numPr>
        <w:rPr>
          <w:rFonts w:ascii="Times New Roman" w:cs="Times New Roman" w:eastAsia="Times New Roman" w:hAnsi="Times New Roman"/>
          <w:sz w:val="15"/>
          <w:szCs w:val="15"/>
          <w:color w:val="auto"/>
        </w:rPr>
      </w:pPr>
      <w:r>
        <w:rPr>
          <w:rFonts w:ascii="Arial" w:cs="Arial" w:eastAsia="Arial" w:hAnsi="Arial"/>
          <w:sz w:val="15"/>
          <w:szCs w:val="15"/>
          <w:color w:val="auto"/>
        </w:rPr>
        <w:t>directly to a limited number of purchasers or to a single purchaser;</w:t>
      </w:r>
    </w:p>
    <w:p>
      <w:pPr>
        <w:spacing w:after="0" w:line="181" w:lineRule="exact"/>
        <w:rPr>
          <w:rFonts w:ascii="Times New Roman" w:cs="Times New Roman" w:eastAsia="Times New Roman" w:hAnsi="Times New Roman"/>
          <w:sz w:val="15"/>
          <w:szCs w:val="15"/>
          <w:color w:val="auto"/>
        </w:rPr>
      </w:pPr>
    </w:p>
    <w:p>
      <w:pPr>
        <w:ind w:left="540" w:right="200" w:hanging="274"/>
        <w:spacing w:after="0" w:line="275" w:lineRule="auto"/>
        <w:tabs>
          <w:tab w:leader="none" w:pos="540" w:val="left"/>
        </w:tabs>
        <w:numPr>
          <w:ilvl w:val="0"/>
          <w:numId w:val="16"/>
        </w:numPr>
        <w:rPr>
          <w:rFonts w:ascii="Times New Roman" w:cs="Times New Roman" w:eastAsia="Times New Roman" w:hAnsi="Times New Roman"/>
          <w:sz w:val="15"/>
          <w:szCs w:val="15"/>
          <w:color w:val="auto"/>
        </w:rPr>
      </w:pPr>
      <w:r>
        <w:rPr>
          <w:rFonts w:ascii="Arial" w:cs="Arial" w:eastAsia="Arial" w:hAnsi="Arial"/>
          <w:sz w:val="15"/>
          <w:szCs w:val="15"/>
          <w:color w:val="auto"/>
        </w:rPr>
        <w:t>in “at the market offerings,” within the meaning of Rule 415(a)(4) of the Securities Act, to or through a market maker or into an existing trading market on an exchange or otherwise;</w:t>
      </w:r>
    </w:p>
    <w:p>
      <w:pPr>
        <w:spacing w:after="0" w:line="118"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6"/>
        </w:numPr>
        <w:rPr>
          <w:rFonts w:ascii="Times New Roman" w:cs="Times New Roman" w:eastAsia="Times New Roman" w:hAnsi="Times New Roman"/>
          <w:sz w:val="15"/>
          <w:szCs w:val="15"/>
          <w:color w:val="auto"/>
        </w:rPr>
      </w:pPr>
      <w:r>
        <w:rPr>
          <w:rFonts w:ascii="Arial" w:cs="Arial" w:eastAsia="Arial" w:hAnsi="Arial"/>
          <w:sz w:val="15"/>
          <w:szCs w:val="15"/>
          <w:color w:val="auto"/>
        </w:rPr>
        <w:t>through agents; or</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6"/>
        </w:numPr>
        <w:rPr>
          <w:rFonts w:ascii="Times New Roman" w:cs="Times New Roman" w:eastAsia="Times New Roman" w:hAnsi="Times New Roman"/>
          <w:sz w:val="15"/>
          <w:szCs w:val="15"/>
          <w:color w:val="auto"/>
        </w:rPr>
      </w:pPr>
      <w:r>
        <w:rPr>
          <w:rFonts w:ascii="Arial" w:cs="Arial" w:eastAsia="Arial" w:hAnsi="Arial"/>
          <w:sz w:val="15"/>
          <w:szCs w:val="15"/>
          <w:color w:val="auto"/>
        </w:rPr>
        <w:t>through any other method permitted by applicable law and described in the applicable prospectus supplement.</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The prospectus supplement will state the terms of the offering of the securities, including:</w:t>
      </w:r>
    </w:p>
    <w:p>
      <w:pPr>
        <w:spacing w:after="0" w:line="170" w:lineRule="exact"/>
        <w:rPr>
          <w:sz w:val="20"/>
          <w:szCs w:val="20"/>
          <w:color w:val="auto"/>
        </w:rPr>
      </w:pPr>
    </w:p>
    <w:p>
      <w:pPr>
        <w:ind w:left="540" w:hanging="274"/>
        <w:spacing w:after="0"/>
        <w:tabs>
          <w:tab w:leader="none" w:pos="540" w:val="left"/>
        </w:tabs>
        <w:numPr>
          <w:ilvl w:val="0"/>
          <w:numId w:val="17"/>
        </w:numPr>
        <w:rPr>
          <w:rFonts w:ascii="Times New Roman" w:cs="Times New Roman" w:eastAsia="Times New Roman" w:hAnsi="Times New Roman"/>
          <w:sz w:val="15"/>
          <w:szCs w:val="15"/>
          <w:color w:val="auto"/>
        </w:rPr>
      </w:pPr>
      <w:r>
        <w:rPr>
          <w:rFonts w:ascii="Arial" w:cs="Arial" w:eastAsia="Arial" w:hAnsi="Arial"/>
          <w:sz w:val="15"/>
          <w:szCs w:val="15"/>
          <w:color w:val="auto"/>
        </w:rPr>
        <w:t>the name or names of any underwriters, dealers or agents;</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7"/>
        </w:numPr>
        <w:rPr>
          <w:rFonts w:ascii="Times New Roman" w:cs="Times New Roman" w:eastAsia="Times New Roman" w:hAnsi="Times New Roman"/>
          <w:sz w:val="15"/>
          <w:szCs w:val="15"/>
          <w:color w:val="auto"/>
        </w:rPr>
      </w:pPr>
      <w:r>
        <w:rPr>
          <w:rFonts w:ascii="Arial" w:cs="Arial" w:eastAsia="Arial" w:hAnsi="Arial"/>
          <w:sz w:val="15"/>
          <w:szCs w:val="15"/>
          <w:color w:val="auto"/>
        </w:rPr>
        <w:t>the purchase price of such securities and the proceeds to be received by us, if any;</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7"/>
        </w:numPr>
        <w:rPr>
          <w:rFonts w:ascii="Times New Roman" w:cs="Times New Roman" w:eastAsia="Times New Roman" w:hAnsi="Times New Roman"/>
          <w:sz w:val="15"/>
          <w:szCs w:val="15"/>
          <w:color w:val="auto"/>
        </w:rPr>
      </w:pPr>
      <w:r>
        <w:rPr>
          <w:rFonts w:ascii="Arial" w:cs="Arial" w:eastAsia="Arial" w:hAnsi="Arial"/>
          <w:sz w:val="15"/>
          <w:szCs w:val="15"/>
          <w:color w:val="auto"/>
        </w:rPr>
        <w:t>any underwriting discounts or agency fees and other items constituting underwriters’ or agents’ compensation;</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7"/>
        </w:numPr>
        <w:rPr>
          <w:rFonts w:ascii="Times New Roman" w:cs="Times New Roman" w:eastAsia="Times New Roman" w:hAnsi="Times New Roman"/>
          <w:sz w:val="15"/>
          <w:szCs w:val="15"/>
          <w:color w:val="auto"/>
        </w:rPr>
      </w:pPr>
      <w:r>
        <w:rPr>
          <w:rFonts w:ascii="Arial" w:cs="Arial" w:eastAsia="Arial" w:hAnsi="Arial"/>
          <w:sz w:val="15"/>
          <w:szCs w:val="15"/>
          <w:color w:val="auto"/>
        </w:rPr>
        <w:t>any public offering price;</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7"/>
        </w:numPr>
        <w:rPr>
          <w:rFonts w:ascii="Times New Roman" w:cs="Times New Roman" w:eastAsia="Times New Roman" w:hAnsi="Times New Roman"/>
          <w:sz w:val="15"/>
          <w:szCs w:val="15"/>
          <w:color w:val="auto"/>
        </w:rPr>
      </w:pPr>
      <w:r>
        <w:rPr>
          <w:rFonts w:ascii="Arial" w:cs="Arial" w:eastAsia="Arial" w:hAnsi="Arial"/>
          <w:sz w:val="15"/>
          <w:szCs w:val="15"/>
          <w:color w:val="auto"/>
        </w:rPr>
        <w:t>any discounts or concessions allowed or reallowed or paid to dealers; and</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7"/>
        </w:numPr>
        <w:rPr>
          <w:rFonts w:ascii="Times New Roman" w:cs="Times New Roman" w:eastAsia="Times New Roman" w:hAnsi="Times New Roman"/>
          <w:sz w:val="15"/>
          <w:szCs w:val="15"/>
          <w:color w:val="auto"/>
        </w:rPr>
      </w:pPr>
      <w:r>
        <w:rPr>
          <w:rFonts w:ascii="Arial" w:cs="Arial" w:eastAsia="Arial" w:hAnsi="Arial"/>
          <w:sz w:val="15"/>
          <w:szCs w:val="15"/>
          <w:color w:val="auto"/>
        </w:rPr>
        <w:t>any securities exchanges on which the securities may be listed.</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Any public offering price and any discounts or concessions allowed or reallowed or paid to dealers may be changed from time to time.</w:t>
      </w:r>
    </w:p>
    <w:p>
      <w:pPr>
        <w:spacing w:after="0" w:line="170" w:lineRule="exact"/>
        <w:rPr>
          <w:sz w:val="20"/>
          <w:szCs w:val="20"/>
          <w:color w:val="auto"/>
        </w:rPr>
      </w:pPr>
    </w:p>
    <w:p>
      <w:pPr>
        <w:ind w:right="500"/>
        <w:spacing w:after="0" w:line="276" w:lineRule="auto"/>
        <w:rPr>
          <w:sz w:val="20"/>
          <w:szCs w:val="20"/>
          <w:color w:val="auto"/>
        </w:rPr>
      </w:pPr>
      <w:r>
        <w:rPr>
          <w:rFonts w:ascii="Arial" w:cs="Arial" w:eastAsia="Arial" w:hAnsi="Arial"/>
          <w:sz w:val="15"/>
          <w:szCs w:val="15"/>
          <w:color w:val="auto"/>
        </w:rPr>
        <w:t>If underwriters are used in the sale, the securities will be acquired by the underwriters for their own account and may be resold from time to time in one or more transactions, including:</w:t>
      </w:r>
    </w:p>
    <w:p>
      <w:pPr>
        <w:spacing w:after="0" w:line="117" w:lineRule="exact"/>
        <w:rPr>
          <w:sz w:val="20"/>
          <w:szCs w:val="20"/>
          <w:color w:val="auto"/>
        </w:rPr>
      </w:pPr>
    </w:p>
    <w:p>
      <w:pPr>
        <w:ind w:left="540" w:hanging="274"/>
        <w:spacing w:after="0"/>
        <w:tabs>
          <w:tab w:leader="none" w:pos="540" w:val="left"/>
        </w:tabs>
        <w:numPr>
          <w:ilvl w:val="0"/>
          <w:numId w:val="18"/>
        </w:numPr>
        <w:rPr>
          <w:rFonts w:ascii="Times New Roman" w:cs="Times New Roman" w:eastAsia="Times New Roman" w:hAnsi="Times New Roman"/>
          <w:sz w:val="15"/>
          <w:szCs w:val="15"/>
          <w:color w:val="auto"/>
        </w:rPr>
      </w:pPr>
      <w:r>
        <w:rPr>
          <w:rFonts w:ascii="Arial" w:cs="Arial" w:eastAsia="Arial" w:hAnsi="Arial"/>
          <w:sz w:val="15"/>
          <w:szCs w:val="15"/>
          <w:color w:val="auto"/>
        </w:rPr>
        <w:t>negotiated transactions;</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8"/>
        </w:numPr>
        <w:rPr>
          <w:rFonts w:ascii="Times New Roman" w:cs="Times New Roman" w:eastAsia="Times New Roman" w:hAnsi="Times New Roman"/>
          <w:sz w:val="15"/>
          <w:szCs w:val="15"/>
          <w:color w:val="auto"/>
        </w:rPr>
      </w:pPr>
      <w:r>
        <w:rPr>
          <w:rFonts w:ascii="Arial" w:cs="Arial" w:eastAsia="Arial" w:hAnsi="Arial"/>
          <w:sz w:val="15"/>
          <w:szCs w:val="15"/>
          <w:color w:val="auto"/>
        </w:rPr>
        <w:t>at a fixed public offering price or prices, which may be changed;</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8"/>
        </w:numPr>
        <w:rPr>
          <w:rFonts w:ascii="Times New Roman" w:cs="Times New Roman" w:eastAsia="Times New Roman" w:hAnsi="Times New Roman"/>
          <w:sz w:val="15"/>
          <w:szCs w:val="15"/>
          <w:color w:val="auto"/>
        </w:rPr>
      </w:pPr>
      <w:r>
        <w:rPr>
          <w:rFonts w:ascii="Arial" w:cs="Arial" w:eastAsia="Arial" w:hAnsi="Arial"/>
          <w:sz w:val="15"/>
          <w:szCs w:val="15"/>
          <w:color w:val="auto"/>
        </w:rPr>
        <w:t>at market prices prevailing at the time of sale;</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8"/>
        </w:numPr>
        <w:rPr>
          <w:rFonts w:ascii="Times New Roman" w:cs="Times New Roman" w:eastAsia="Times New Roman" w:hAnsi="Times New Roman"/>
          <w:sz w:val="15"/>
          <w:szCs w:val="15"/>
          <w:color w:val="auto"/>
        </w:rPr>
      </w:pPr>
      <w:r>
        <w:rPr>
          <w:rFonts w:ascii="Arial" w:cs="Arial" w:eastAsia="Arial" w:hAnsi="Arial"/>
          <w:sz w:val="15"/>
          <w:szCs w:val="15"/>
          <w:color w:val="auto"/>
        </w:rPr>
        <w:t>at prices related to prevailing market prices; or</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8"/>
        </w:numPr>
        <w:rPr>
          <w:rFonts w:ascii="Times New Roman" w:cs="Times New Roman" w:eastAsia="Times New Roman" w:hAnsi="Times New Roman"/>
          <w:sz w:val="15"/>
          <w:szCs w:val="15"/>
          <w:color w:val="auto"/>
        </w:rPr>
      </w:pPr>
      <w:r>
        <w:rPr>
          <w:rFonts w:ascii="Arial" w:cs="Arial" w:eastAsia="Arial" w:hAnsi="Arial"/>
          <w:sz w:val="15"/>
          <w:szCs w:val="15"/>
          <w:color w:val="auto"/>
        </w:rPr>
        <w:t>at negotiated prices.</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Unless otherwise stated in a prospectus supplement, the obligations of the underwriters to purchase any securities will be conditioned on customary closing conditions and the underwriters will be obligated to purchase all of such series of securities, if any are purchased.</w:t>
      </w:r>
    </w:p>
    <w:p>
      <w:pPr>
        <w:spacing w:after="0" w:line="117" w:lineRule="exact"/>
        <w:rPr>
          <w:sz w:val="20"/>
          <w:szCs w:val="20"/>
          <w:color w:val="auto"/>
        </w:rPr>
      </w:pPr>
    </w:p>
    <w:p>
      <w:pPr>
        <w:ind w:right="240"/>
        <w:spacing w:after="0" w:line="276" w:lineRule="auto"/>
        <w:rPr>
          <w:sz w:val="20"/>
          <w:szCs w:val="20"/>
          <w:color w:val="auto"/>
        </w:rPr>
      </w:pPr>
      <w:r>
        <w:rPr>
          <w:rFonts w:ascii="Arial" w:cs="Arial" w:eastAsia="Arial" w:hAnsi="Arial"/>
          <w:sz w:val="15"/>
          <w:szCs w:val="15"/>
          <w:color w:val="auto"/>
        </w:rPr>
        <w:t>The securities may be sold through agents from time to time. The prospectus supplement will name any agent involved in the offer or sale of the securities and any commissions paid to them. Generally, any agent will be acting on a commercially reasonable efforts basis for the period of its appointment.</w:t>
      </w:r>
    </w:p>
    <w:p>
      <w:pPr>
        <w:spacing w:after="0" w:line="117" w:lineRule="exact"/>
        <w:rPr>
          <w:sz w:val="20"/>
          <w:szCs w:val="20"/>
          <w:color w:val="auto"/>
        </w:rPr>
      </w:pPr>
    </w:p>
    <w:p>
      <w:pPr>
        <w:ind w:right="80"/>
        <w:spacing w:after="0" w:line="276" w:lineRule="auto"/>
        <w:rPr>
          <w:sz w:val="20"/>
          <w:szCs w:val="20"/>
          <w:color w:val="auto"/>
        </w:rPr>
      </w:pPr>
      <w:r>
        <w:rPr>
          <w:rFonts w:ascii="Arial" w:cs="Arial" w:eastAsia="Arial" w:hAnsi="Arial"/>
          <w:sz w:val="15"/>
          <w:szCs w:val="15"/>
          <w:color w:val="auto"/>
        </w:rPr>
        <w:t>Sales to or through one or more underwriters or agents in at-the-market offerings will be made pursuant to the terms of a distribution agreement with the underwriters or agents. Such underwriters or agents may act on an agency basis or on a principal basis. During the term of any such agreement, shares may be</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180"/>
          </w:cols>
          <w:pgMar w:left="320" w:top="223" w:right="399" w:bottom="1440" w:gutter="0" w:footer="0" w:header="0"/>
        </w:sectPr>
      </w:pPr>
    </w:p>
    <w:bookmarkStart w:id="29" w:name="page30"/>
    <w:bookmarkEnd w:id="29"/>
    <w:p>
      <w:pPr>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ind w:right="120"/>
        <w:spacing w:after="0" w:line="246" w:lineRule="auto"/>
        <w:rPr>
          <w:sz w:val="20"/>
          <w:szCs w:val="20"/>
          <w:color w:val="auto"/>
        </w:rPr>
      </w:pPr>
      <w:r>
        <w:rPr>
          <w:rFonts w:ascii="Arial" w:cs="Arial" w:eastAsia="Arial" w:hAnsi="Arial"/>
          <w:sz w:val="15"/>
          <w:szCs w:val="15"/>
          <w:color w:val="auto"/>
        </w:rPr>
        <w:t>sold on a daily basis on any stock exchange, market or trading facility on which the ordinary shares are traded, in privately negotiated transactions or otherwise as agreed with the underwriters or agents. The distribution agreement will provide that any ordinary share sold will be sold at negotiated prices or at prices related to the then prevailing market prices for our ordinary shares. Therefore, exact figures regarding proceeds that will be raised or commissions to be paid cannot be determined at this time and will be described in a prospectus supplement. Pursuant to the terms of the distribution agreement, we may also agree to sell, and the relevant underwriters or agents may agree to solicit offers to purchase, blocks of our ordinary shares or other securities. The terms of each such distribution agreement will be described in a prospectus supplement.</w:t>
      </w:r>
    </w:p>
    <w:p>
      <w:pPr>
        <w:spacing w:after="0" w:line="139" w:lineRule="exact"/>
        <w:rPr>
          <w:sz w:val="20"/>
          <w:szCs w:val="20"/>
          <w:color w:val="auto"/>
        </w:rPr>
      </w:pPr>
    </w:p>
    <w:p>
      <w:pPr>
        <w:spacing w:after="0" w:line="257" w:lineRule="auto"/>
        <w:rPr>
          <w:sz w:val="20"/>
          <w:szCs w:val="20"/>
          <w:color w:val="auto"/>
        </w:rPr>
      </w:pPr>
      <w:r>
        <w:rPr>
          <w:rFonts w:ascii="Arial" w:cs="Arial" w:eastAsia="Arial" w:hAnsi="Arial"/>
          <w:sz w:val="15"/>
          <w:szCs w:val="15"/>
          <w:color w:val="auto"/>
        </w:rPr>
        <w:t>We may authorize underwriters, 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paid for solicitation of these contracts.</w:t>
      </w:r>
    </w:p>
    <w:p>
      <w:pPr>
        <w:spacing w:after="0" w:line="131" w:lineRule="exact"/>
        <w:rPr>
          <w:sz w:val="20"/>
          <w:szCs w:val="20"/>
          <w:color w:val="auto"/>
        </w:rPr>
      </w:pPr>
    </w:p>
    <w:p>
      <w:pPr>
        <w:ind w:right="280"/>
        <w:spacing w:after="0" w:line="276" w:lineRule="auto"/>
        <w:rPr>
          <w:sz w:val="20"/>
          <w:szCs w:val="20"/>
          <w:color w:val="auto"/>
        </w:rPr>
      </w:pPr>
      <w:r>
        <w:rPr>
          <w:rFonts w:ascii="Arial" w:cs="Arial" w:eastAsia="Arial" w:hAnsi="Arial"/>
          <w:sz w:val="15"/>
          <w:szCs w:val="15"/>
          <w:color w:val="auto"/>
        </w:rPr>
        <w:t>Underwriters and agents may be entitled under agreements entered into with us to indemnification by us against certain civil liabilities, including liabilities under the Securities Act, or to contribution with respect to payments which the underwriters or agents may be required to make.</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5"/>
          <w:szCs w:val="15"/>
          <w:color w:val="auto"/>
        </w:rPr>
        <w:t>The prospectus supplement may also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auto"/>
        </w:rPr>
        <w:t>Underwriters and agents may be customers of, engage in transactions with, or perform services for us and our affiliates in the ordinary course of business.</w:t>
      </w:r>
    </w:p>
    <w:p>
      <w:pPr>
        <w:spacing w:after="0" w:line="170" w:lineRule="exact"/>
        <w:rPr>
          <w:sz w:val="20"/>
          <w:szCs w:val="20"/>
          <w:color w:val="auto"/>
        </w:rPr>
      </w:pPr>
    </w:p>
    <w:p>
      <w:pPr>
        <w:jc w:val="both"/>
        <w:ind w:right="60"/>
        <w:spacing w:after="0" w:line="257" w:lineRule="auto"/>
        <w:rPr>
          <w:sz w:val="20"/>
          <w:szCs w:val="20"/>
          <w:color w:val="auto"/>
        </w:rPr>
      </w:pPr>
      <w:r>
        <w:rPr>
          <w:rFonts w:ascii="Arial" w:cs="Arial" w:eastAsia="Arial" w:hAnsi="Arial"/>
          <w:sz w:val="15"/>
          <w:szCs w:val="15"/>
          <w:color w:val="auto"/>
        </w:rPr>
        <w:t>Each series of securities will be a new issue of securities and will have no established trading market, other than our ordinary shares, which are listed on Nasdaq. Any underwriters to whom securities are sold for public offering and sale may make a market in the securities, but such underwriters will not be obligated to do so and may discontinue any market making at any time without notice. The securities, other than our ordinary shares, may or may not be listed on a national securities exchange.</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30" w:name="page31"/>
    <w:bookmarkEnd w:id="30"/>
    <w:p>
      <w:pPr>
        <w:ind w:left="9"/>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jc w:val="center"/>
        <w:ind w:right="-8"/>
        <w:spacing w:after="0"/>
        <w:rPr>
          <w:sz w:val="20"/>
          <w:szCs w:val="20"/>
          <w:color w:val="auto"/>
        </w:rPr>
      </w:pPr>
      <w:r>
        <w:rPr>
          <w:rFonts w:ascii="Arial" w:cs="Arial" w:eastAsia="Arial" w:hAnsi="Arial"/>
          <w:sz w:val="15"/>
          <w:szCs w:val="15"/>
          <w:b w:val="1"/>
          <w:bCs w:val="1"/>
          <w:color w:val="auto"/>
        </w:rPr>
        <w:t>EXPENSES OF THE OFFERING</w:t>
      </w:r>
    </w:p>
    <w:p>
      <w:pPr>
        <w:spacing w:after="0" w:line="170" w:lineRule="exact"/>
        <w:rPr>
          <w:sz w:val="20"/>
          <w:szCs w:val="20"/>
          <w:color w:val="auto"/>
        </w:rPr>
      </w:pPr>
    </w:p>
    <w:p>
      <w:pPr>
        <w:ind w:left="9" w:right="260"/>
        <w:spacing w:after="0" w:line="276" w:lineRule="auto"/>
        <w:rPr>
          <w:sz w:val="20"/>
          <w:szCs w:val="20"/>
          <w:color w:val="auto"/>
        </w:rPr>
      </w:pPr>
      <w:r>
        <w:rPr>
          <w:rFonts w:ascii="Arial" w:cs="Arial" w:eastAsia="Arial" w:hAnsi="Arial"/>
          <w:sz w:val="15"/>
          <w:szCs w:val="15"/>
          <w:color w:val="auto"/>
        </w:rPr>
        <w:t>The following table sets forth the expenses (other than underwriting discounts and commissions or agency fees and other items constituting underwriters’ or agents’ compensation, if any) expected to be incurred by us in connection with a possible offering of securities registered under this registration statement:</w:t>
      </w:r>
    </w:p>
    <w:p>
      <w:pPr>
        <w:spacing w:after="0" w:line="117" w:lineRule="exact"/>
        <w:rPr>
          <w:sz w:val="20"/>
          <w:szCs w:val="20"/>
          <w:color w:val="auto"/>
        </w:rPr>
      </w:pPr>
    </w:p>
    <w:tbl>
      <w:tblPr>
        <w:tblLayout w:type="fixed"/>
        <w:tblInd w:w="9" w:type="dxa"/>
        <w:tblCellMar>
          <w:top w:w="0" w:type="dxa"/>
          <w:left w:w="0" w:type="dxa"/>
          <w:bottom w:w="0" w:type="dxa"/>
          <w:right w:w="0" w:type="dxa"/>
        </w:tblCellMar>
      </w:tblPr>
      <w:tr>
        <w:trPr>
          <w:trHeight w:val="186"/>
        </w:trPr>
        <w:tc>
          <w:tcPr>
            <w:tcW w:w="10260" w:type="dxa"/>
            <w:vAlign w:val="bottom"/>
            <w:gridSpan w:val="2"/>
          </w:tcPr>
          <w:p>
            <w:pPr>
              <w:spacing w:after="0"/>
              <w:rPr>
                <w:sz w:val="20"/>
                <w:szCs w:val="20"/>
                <w:color w:val="auto"/>
              </w:rPr>
            </w:pPr>
            <w:r>
              <w:rPr>
                <w:rFonts w:ascii="Arial" w:cs="Arial" w:eastAsia="Arial" w:hAnsi="Arial"/>
                <w:sz w:val="15"/>
                <w:szCs w:val="15"/>
                <w:b w:val="1"/>
                <w:bCs w:val="1"/>
                <w:color w:val="auto"/>
              </w:rPr>
              <w:t>Expenses</w:t>
            </w:r>
          </w:p>
        </w:tc>
        <w:tc>
          <w:tcPr>
            <w:tcW w:w="120" w:type="dxa"/>
            <w:vAlign w:val="bottom"/>
          </w:tcPr>
          <w:p>
            <w:pPr>
              <w:spacing w:after="0"/>
              <w:rPr>
                <w:sz w:val="16"/>
                <w:szCs w:val="16"/>
                <w:color w:val="auto"/>
              </w:rPr>
            </w:pPr>
          </w:p>
        </w:tc>
        <w:tc>
          <w:tcPr>
            <w:tcW w:w="880" w:type="dxa"/>
            <w:vAlign w:val="bottom"/>
            <w:gridSpan w:val="3"/>
          </w:tcPr>
          <w:p>
            <w:pPr>
              <w:ind w:left="40"/>
              <w:spacing w:after="0"/>
              <w:rPr>
                <w:sz w:val="20"/>
                <w:szCs w:val="20"/>
                <w:color w:val="auto"/>
              </w:rPr>
            </w:pPr>
            <w:r>
              <w:rPr>
                <w:rFonts w:ascii="Arial" w:cs="Arial" w:eastAsia="Arial" w:hAnsi="Arial"/>
                <w:sz w:val="15"/>
                <w:szCs w:val="15"/>
                <w:b w:val="1"/>
                <w:bCs w:val="1"/>
                <w:color w:val="auto"/>
              </w:rPr>
              <w:t>Amount</w:t>
            </w:r>
          </w:p>
        </w:tc>
      </w:tr>
      <w:tr>
        <w:trPr>
          <w:trHeight w:val="163"/>
        </w:trPr>
        <w:tc>
          <w:tcPr>
            <w:tcW w:w="10140" w:type="dxa"/>
            <w:vAlign w:val="bottom"/>
            <w:tcBorders>
              <w:top w:val="single" w:sz="8" w:color="auto"/>
            </w:tcBorders>
            <w:shd w:val="clear" w:color="auto" w:fill="D5EAEA"/>
          </w:tcPr>
          <w:p>
            <w:pPr>
              <w:spacing w:after="0" w:line="163" w:lineRule="exact"/>
              <w:rPr>
                <w:sz w:val="20"/>
                <w:szCs w:val="20"/>
                <w:color w:val="auto"/>
              </w:rPr>
            </w:pPr>
            <w:r>
              <w:rPr>
                <w:rFonts w:ascii="Arial" w:cs="Arial" w:eastAsia="Arial" w:hAnsi="Arial"/>
                <w:sz w:val="15"/>
                <w:szCs w:val="15"/>
                <w:color w:val="auto"/>
              </w:rPr>
              <w:t>SEC registration fee</w:t>
            </w:r>
          </w:p>
        </w:tc>
        <w:tc>
          <w:tcPr>
            <w:tcW w:w="120" w:type="dxa"/>
            <w:vAlign w:val="bottom"/>
            <w:tcBorders>
              <w:top w:val="single" w:sz="8" w:color="D5EAEA"/>
            </w:tcBorders>
            <w:shd w:val="clear" w:color="auto" w:fill="D5EAEA"/>
          </w:tcPr>
          <w:p>
            <w:pPr>
              <w:spacing w:after="0"/>
              <w:rPr>
                <w:sz w:val="14"/>
                <w:szCs w:val="14"/>
                <w:color w:val="auto"/>
              </w:rPr>
            </w:pPr>
          </w:p>
        </w:tc>
        <w:tc>
          <w:tcPr>
            <w:tcW w:w="120" w:type="dxa"/>
            <w:vAlign w:val="bottom"/>
            <w:tcBorders>
              <w:top w:val="single" w:sz="8" w:color="auto"/>
            </w:tcBorders>
            <w:shd w:val="clear" w:color="auto" w:fill="D5EAEA"/>
          </w:tcPr>
          <w:p>
            <w:pPr>
              <w:jc w:val="right"/>
              <w:spacing w:after="0" w:line="163" w:lineRule="exact"/>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D5EAEA"/>
          </w:tcPr>
          <w:p>
            <w:pPr>
              <w:jc w:val="right"/>
              <w:spacing w:after="0" w:line="163" w:lineRule="exact"/>
              <w:rPr>
                <w:sz w:val="20"/>
                <w:szCs w:val="20"/>
                <w:color w:val="auto"/>
              </w:rPr>
            </w:pPr>
            <w:r>
              <w:rPr>
                <w:rFonts w:ascii="Arial" w:cs="Arial" w:eastAsia="Arial" w:hAnsi="Arial"/>
                <w:sz w:val="15"/>
                <w:szCs w:val="15"/>
                <w:color w:val="auto"/>
              </w:rPr>
              <w:t>76,550</w:t>
            </w:r>
          </w:p>
        </w:tc>
        <w:tc>
          <w:tcPr>
            <w:tcW w:w="100" w:type="dxa"/>
            <w:vAlign w:val="bottom"/>
            <w:tcBorders>
              <w:top w:val="single" w:sz="8" w:color="D5EAEA"/>
            </w:tcBorders>
            <w:gridSpan w:val="2"/>
            <w:shd w:val="clear" w:color="auto" w:fill="D5EAEA"/>
          </w:tcPr>
          <w:p>
            <w:pPr>
              <w:spacing w:after="0"/>
              <w:rPr>
                <w:sz w:val="14"/>
                <w:szCs w:val="14"/>
                <w:color w:val="auto"/>
              </w:rPr>
            </w:pPr>
          </w:p>
        </w:tc>
      </w:tr>
      <w:tr>
        <w:trPr>
          <w:trHeight w:val="171"/>
        </w:trPr>
        <w:tc>
          <w:tcPr>
            <w:tcW w:w="10260" w:type="dxa"/>
            <w:vAlign w:val="bottom"/>
            <w:gridSpan w:val="2"/>
          </w:tcPr>
          <w:p>
            <w:pPr>
              <w:spacing w:after="0" w:line="172" w:lineRule="exact"/>
              <w:rPr>
                <w:sz w:val="20"/>
                <w:szCs w:val="20"/>
                <w:color w:val="auto"/>
              </w:rPr>
            </w:pPr>
            <w:r>
              <w:rPr>
                <w:rFonts w:ascii="Arial" w:cs="Arial" w:eastAsia="Arial" w:hAnsi="Arial"/>
                <w:sz w:val="15"/>
                <w:szCs w:val="15"/>
                <w:color w:val="auto"/>
              </w:rPr>
              <w:t>Printing and engraving expenses</w:t>
            </w:r>
          </w:p>
        </w:tc>
        <w:tc>
          <w:tcPr>
            <w:tcW w:w="120" w:type="dxa"/>
            <w:vAlign w:val="bottom"/>
          </w:tcPr>
          <w:p>
            <w:pPr>
              <w:spacing w:after="0"/>
              <w:rPr>
                <w:sz w:val="14"/>
                <w:szCs w:val="14"/>
                <w:color w:val="auto"/>
              </w:rPr>
            </w:pPr>
          </w:p>
        </w:tc>
        <w:tc>
          <w:tcPr>
            <w:tcW w:w="800" w:type="dxa"/>
            <w:vAlign w:val="bottom"/>
            <w:gridSpan w:val="2"/>
          </w:tcPr>
          <w:p>
            <w:pPr>
              <w:jc w:val="right"/>
              <w:ind w:right="20"/>
              <w:spacing w:after="0" w:line="172" w:lineRule="exact"/>
              <w:rPr>
                <w:sz w:val="20"/>
                <w:szCs w:val="20"/>
                <w:color w:val="auto"/>
              </w:rPr>
            </w:pPr>
            <w:r>
              <w:rPr>
                <w:rFonts w:ascii="Arial" w:cs="Arial" w:eastAsia="Arial" w:hAnsi="Arial"/>
                <w:sz w:val="15"/>
                <w:szCs w:val="15"/>
                <w:color w:val="auto"/>
              </w:rPr>
              <w:t>(1)</w:t>
            </w:r>
          </w:p>
        </w:tc>
        <w:tc>
          <w:tcPr>
            <w:tcW w:w="80" w:type="dxa"/>
            <w:vAlign w:val="bottom"/>
          </w:tcPr>
          <w:p>
            <w:pPr>
              <w:spacing w:after="0"/>
              <w:rPr>
                <w:sz w:val="14"/>
                <w:szCs w:val="14"/>
                <w:color w:val="auto"/>
              </w:rPr>
            </w:pPr>
          </w:p>
        </w:tc>
      </w:tr>
      <w:tr>
        <w:trPr>
          <w:trHeight w:val="171"/>
        </w:trPr>
        <w:tc>
          <w:tcPr>
            <w:tcW w:w="10260" w:type="dxa"/>
            <w:vAlign w:val="bottom"/>
            <w:gridSpan w:val="2"/>
            <w:shd w:val="clear" w:color="auto" w:fill="D5EAEA"/>
          </w:tcPr>
          <w:p>
            <w:pPr>
              <w:spacing w:after="0" w:line="172" w:lineRule="exact"/>
              <w:rPr>
                <w:sz w:val="20"/>
                <w:szCs w:val="20"/>
                <w:color w:val="auto"/>
              </w:rPr>
            </w:pPr>
            <w:r>
              <w:rPr>
                <w:rFonts w:ascii="Arial" w:cs="Arial" w:eastAsia="Arial" w:hAnsi="Arial"/>
                <w:sz w:val="15"/>
                <w:szCs w:val="15"/>
                <w:color w:val="auto"/>
              </w:rPr>
              <w:t>Legal fees and expenses</w:t>
            </w:r>
          </w:p>
        </w:tc>
        <w:tc>
          <w:tcPr>
            <w:tcW w:w="120" w:type="dxa"/>
            <w:vAlign w:val="bottom"/>
            <w:shd w:val="clear" w:color="auto" w:fill="D5EAEA"/>
          </w:tcPr>
          <w:p>
            <w:pPr>
              <w:spacing w:after="0"/>
              <w:rPr>
                <w:sz w:val="14"/>
                <w:szCs w:val="14"/>
                <w:color w:val="auto"/>
              </w:rPr>
            </w:pPr>
          </w:p>
        </w:tc>
        <w:tc>
          <w:tcPr>
            <w:tcW w:w="800" w:type="dxa"/>
            <w:vAlign w:val="bottom"/>
            <w:gridSpan w:val="2"/>
            <w:shd w:val="clear" w:color="auto" w:fill="D5EAEA"/>
          </w:tcPr>
          <w:p>
            <w:pPr>
              <w:jc w:val="right"/>
              <w:ind w:right="20"/>
              <w:spacing w:after="0" w:line="172" w:lineRule="exact"/>
              <w:rPr>
                <w:sz w:val="20"/>
                <w:szCs w:val="20"/>
                <w:color w:val="auto"/>
              </w:rPr>
            </w:pPr>
            <w:r>
              <w:rPr>
                <w:rFonts w:ascii="Arial" w:cs="Arial" w:eastAsia="Arial" w:hAnsi="Arial"/>
                <w:sz w:val="15"/>
                <w:szCs w:val="15"/>
                <w:color w:val="auto"/>
              </w:rPr>
              <w:t>(1)</w:t>
            </w:r>
          </w:p>
        </w:tc>
        <w:tc>
          <w:tcPr>
            <w:tcW w:w="80" w:type="dxa"/>
            <w:vAlign w:val="bottom"/>
            <w:shd w:val="clear" w:color="auto" w:fill="D5EAEA"/>
          </w:tcPr>
          <w:p>
            <w:pPr>
              <w:spacing w:after="0"/>
              <w:rPr>
                <w:sz w:val="14"/>
                <w:szCs w:val="14"/>
                <w:color w:val="auto"/>
              </w:rPr>
            </w:pPr>
          </w:p>
        </w:tc>
      </w:tr>
      <w:tr>
        <w:trPr>
          <w:trHeight w:val="171"/>
        </w:trPr>
        <w:tc>
          <w:tcPr>
            <w:tcW w:w="10260" w:type="dxa"/>
            <w:vAlign w:val="bottom"/>
            <w:gridSpan w:val="2"/>
          </w:tcPr>
          <w:p>
            <w:pPr>
              <w:spacing w:after="0" w:line="172" w:lineRule="exact"/>
              <w:rPr>
                <w:sz w:val="20"/>
                <w:szCs w:val="20"/>
                <w:color w:val="auto"/>
              </w:rPr>
            </w:pPr>
            <w:r>
              <w:rPr>
                <w:rFonts w:ascii="Arial" w:cs="Arial" w:eastAsia="Arial" w:hAnsi="Arial"/>
                <w:sz w:val="15"/>
                <w:szCs w:val="15"/>
                <w:color w:val="auto"/>
              </w:rPr>
              <w:t>Accounting fees and expenses</w:t>
            </w:r>
          </w:p>
        </w:tc>
        <w:tc>
          <w:tcPr>
            <w:tcW w:w="120" w:type="dxa"/>
            <w:vAlign w:val="bottom"/>
          </w:tcPr>
          <w:p>
            <w:pPr>
              <w:spacing w:after="0"/>
              <w:rPr>
                <w:sz w:val="14"/>
                <w:szCs w:val="14"/>
                <w:color w:val="auto"/>
              </w:rPr>
            </w:pPr>
          </w:p>
        </w:tc>
        <w:tc>
          <w:tcPr>
            <w:tcW w:w="800" w:type="dxa"/>
            <w:vAlign w:val="bottom"/>
            <w:gridSpan w:val="2"/>
          </w:tcPr>
          <w:p>
            <w:pPr>
              <w:jc w:val="right"/>
              <w:ind w:right="20"/>
              <w:spacing w:after="0" w:line="172" w:lineRule="exact"/>
              <w:rPr>
                <w:sz w:val="20"/>
                <w:szCs w:val="20"/>
                <w:color w:val="auto"/>
              </w:rPr>
            </w:pPr>
            <w:r>
              <w:rPr>
                <w:rFonts w:ascii="Arial" w:cs="Arial" w:eastAsia="Arial" w:hAnsi="Arial"/>
                <w:sz w:val="15"/>
                <w:szCs w:val="15"/>
                <w:color w:val="auto"/>
              </w:rPr>
              <w:t>(1)</w:t>
            </w:r>
          </w:p>
        </w:tc>
        <w:tc>
          <w:tcPr>
            <w:tcW w:w="80" w:type="dxa"/>
            <w:vAlign w:val="bottom"/>
          </w:tcPr>
          <w:p>
            <w:pPr>
              <w:spacing w:after="0"/>
              <w:rPr>
                <w:sz w:val="14"/>
                <w:szCs w:val="14"/>
                <w:color w:val="auto"/>
              </w:rPr>
            </w:pPr>
          </w:p>
        </w:tc>
      </w:tr>
      <w:tr>
        <w:trPr>
          <w:trHeight w:val="171"/>
        </w:trPr>
        <w:tc>
          <w:tcPr>
            <w:tcW w:w="10260" w:type="dxa"/>
            <w:vAlign w:val="bottom"/>
            <w:gridSpan w:val="2"/>
            <w:shd w:val="clear" w:color="auto" w:fill="D5EAEA"/>
          </w:tcPr>
          <w:p>
            <w:pPr>
              <w:spacing w:after="0" w:line="172" w:lineRule="exact"/>
              <w:rPr>
                <w:sz w:val="20"/>
                <w:szCs w:val="20"/>
                <w:color w:val="auto"/>
              </w:rPr>
            </w:pPr>
            <w:r>
              <w:rPr>
                <w:rFonts w:ascii="Arial" w:cs="Arial" w:eastAsia="Arial" w:hAnsi="Arial"/>
                <w:sz w:val="15"/>
                <w:szCs w:val="15"/>
                <w:color w:val="auto"/>
              </w:rPr>
              <w:t>Miscellaneous costs</w:t>
            </w:r>
          </w:p>
        </w:tc>
        <w:tc>
          <w:tcPr>
            <w:tcW w:w="120" w:type="dxa"/>
            <w:vAlign w:val="bottom"/>
            <w:shd w:val="clear" w:color="auto" w:fill="D5EAEA"/>
          </w:tcPr>
          <w:p>
            <w:pPr>
              <w:spacing w:after="0"/>
              <w:rPr>
                <w:sz w:val="14"/>
                <w:szCs w:val="14"/>
                <w:color w:val="auto"/>
              </w:rPr>
            </w:pPr>
          </w:p>
        </w:tc>
        <w:tc>
          <w:tcPr>
            <w:tcW w:w="800" w:type="dxa"/>
            <w:vAlign w:val="bottom"/>
            <w:gridSpan w:val="2"/>
            <w:shd w:val="clear" w:color="auto" w:fill="D5EAEA"/>
          </w:tcPr>
          <w:p>
            <w:pPr>
              <w:jc w:val="right"/>
              <w:ind w:right="20"/>
              <w:spacing w:after="0" w:line="172" w:lineRule="exact"/>
              <w:rPr>
                <w:sz w:val="20"/>
                <w:szCs w:val="20"/>
                <w:color w:val="auto"/>
              </w:rPr>
            </w:pPr>
            <w:r>
              <w:rPr>
                <w:rFonts w:ascii="Arial" w:cs="Arial" w:eastAsia="Arial" w:hAnsi="Arial"/>
                <w:sz w:val="15"/>
                <w:szCs w:val="15"/>
                <w:color w:val="auto"/>
              </w:rPr>
              <w:t>(1)</w:t>
            </w:r>
          </w:p>
        </w:tc>
        <w:tc>
          <w:tcPr>
            <w:tcW w:w="80" w:type="dxa"/>
            <w:vAlign w:val="bottom"/>
            <w:shd w:val="clear" w:color="auto" w:fill="D5EAEA"/>
          </w:tcPr>
          <w:p>
            <w:pPr>
              <w:spacing w:after="0"/>
              <w:rPr>
                <w:sz w:val="14"/>
                <w:szCs w:val="14"/>
                <w:color w:val="auto"/>
              </w:rPr>
            </w:pPr>
          </w:p>
        </w:tc>
      </w:tr>
      <w:tr>
        <w:trPr>
          <w:trHeight w:val="166"/>
        </w:trPr>
        <w:tc>
          <w:tcPr>
            <w:tcW w:w="10260" w:type="dxa"/>
            <w:vAlign w:val="bottom"/>
            <w:gridSpan w:val="2"/>
          </w:tcPr>
          <w:p>
            <w:pPr>
              <w:spacing w:after="0" w:line="163" w:lineRule="exact"/>
              <w:rPr>
                <w:sz w:val="20"/>
                <w:szCs w:val="20"/>
                <w:color w:val="auto"/>
              </w:rPr>
            </w:pPr>
            <w:r>
              <w:rPr>
                <w:rFonts w:ascii="Arial" w:cs="Arial" w:eastAsia="Arial" w:hAnsi="Arial"/>
                <w:sz w:val="15"/>
                <w:szCs w:val="15"/>
                <w:b w:val="1"/>
                <w:bCs w:val="1"/>
                <w:color w:val="auto"/>
              </w:rPr>
              <w:t>Total</w:t>
            </w:r>
          </w:p>
        </w:tc>
        <w:tc>
          <w:tcPr>
            <w:tcW w:w="12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(1)</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bl>
    <w:p>
      <w:pPr>
        <w:spacing w:after="0" w:line="191" w:lineRule="exact"/>
        <w:rPr>
          <w:sz w:val="20"/>
          <w:szCs w:val="20"/>
          <w:color w:val="auto"/>
        </w:rPr>
      </w:pPr>
    </w:p>
    <w:p>
      <w:pPr>
        <w:ind w:left="269" w:right="240" w:hanging="269"/>
        <w:spacing w:after="0" w:line="276" w:lineRule="auto"/>
        <w:tabs>
          <w:tab w:leader="none" w:pos="269"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These fees and expenses depend on the securities offered and the number of offerings, and accordingly cannot be estimated at this time and will be reflected in the applicable prospectus supplement.</w:t>
      </w:r>
    </w:p>
    <w:p>
      <w:pPr>
        <w:spacing w:after="0" w:line="209"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715327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69"/>
          </w:cols>
          <w:pgMar w:left="311" w:top="223" w:right="319" w:bottom="1440" w:gutter="0" w:footer="0" w:header="0"/>
        </w:sectPr>
      </w:pPr>
    </w:p>
    <w:bookmarkStart w:id="31" w:name="page32"/>
    <w:bookmarkEnd w:id="31"/>
    <w:p>
      <w:pPr>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LEGAL MATTERS</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5"/>
          <w:szCs w:val="15"/>
          <w:color w:val="auto"/>
        </w:rPr>
        <w:t>The validity of certain securities and certain other matters with respect to Dutch law will be passed upon for us by NautaDutilh N.V., Amsterdam, the Netherlands. The validity of certain securities and certain matters with respect to U.S. federal and New York State law will be passed upon for us by Davis Polk &amp; Wardwell LLP, New York, New York. Any underwriters, dealers or agents will be advised by their own legal counsel concerning issues relating to any offering.</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EXPERTS</w:t>
      </w:r>
    </w:p>
    <w:p>
      <w:pPr>
        <w:spacing w:after="0" w:line="170" w:lineRule="exact"/>
        <w:rPr>
          <w:sz w:val="20"/>
          <w:szCs w:val="20"/>
          <w:color w:val="auto"/>
        </w:rPr>
      </w:pPr>
    </w:p>
    <w:p>
      <w:pPr>
        <w:spacing w:after="0" w:line="244" w:lineRule="auto"/>
        <w:rPr>
          <w:sz w:val="20"/>
          <w:szCs w:val="20"/>
          <w:color w:val="auto"/>
        </w:rPr>
      </w:pPr>
      <w:r>
        <w:rPr>
          <w:rFonts w:ascii="Arial" w:cs="Arial" w:eastAsia="Arial" w:hAnsi="Arial"/>
          <w:sz w:val="15"/>
          <w:szCs w:val="15"/>
          <w:color w:val="auto"/>
        </w:rPr>
        <w:t>The financial statements and management’s assessment of the effectiveness of internal control over financial reporting (which is included in Management’s Annual Report on Internal Control over Financial Reporting) incorporated in this prospectus by reference to the Annual Report on Form 20-F for the year ended December 31, 2024 have been so incorporated in reliance on the report (which contains an explanatory paragraph relating to the Company's restatement of its financial statements as described in Note 2.2 to the financial statements and which contains an adverse opinion on the effectiveness of the Company’s internal control over financial reporting) of PricewaterhouseCoopers GmbH Wirtschaftsprüfungsgesellschaft, an independent registered public accounting firm, given on the authority of said firm as experts in auditing and accounting. PricewaterhouseCoopers GmbH Wirtschaftsprüfungsgesellschaft is a member of the Chamber of Public Accountants (</w:t>
      </w:r>
      <w:r>
        <w:rPr>
          <w:rFonts w:ascii="Arial" w:cs="Arial" w:eastAsia="Arial" w:hAnsi="Arial"/>
          <w:sz w:val="15"/>
          <w:szCs w:val="15"/>
          <w:i w:val="1"/>
          <w:iCs w:val="1"/>
          <w:color w:val="auto"/>
        </w:rPr>
        <w:t>Wirtschaftsprüferkammer</w:t>
      </w:r>
      <w:r>
        <w:rPr>
          <w:rFonts w:ascii="Arial" w:cs="Arial" w:eastAsia="Arial" w:hAnsi="Arial"/>
          <w:sz w:val="15"/>
          <w:szCs w:val="15"/>
          <w:color w:val="auto"/>
        </w:rPr>
        <w:t>), Berlin, Germany.</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60"/>
          </w:cols>
          <w:pgMar w:left="320" w:top="223" w:right="319" w:bottom="1440" w:gutter="0" w:footer="0" w:header="0"/>
        </w:sectPr>
      </w:pPr>
    </w:p>
    <w:bookmarkStart w:id="32" w:name="page33"/>
    <w:bookmarkEnd w:id="32"/>
    <w:p>
      <w:pPr>
        <w:ind w:left="9"/>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jc w:val="center"/>
        <w:ind w:right="-8"/>
        <w:spacing w:after="0"/>
        <w:rPr>
          <w:sz w:val="20"/>
          <w:szCs w:val="20"/>
          <w:color w:val="auto"/>
        </w:rPr>
      </w:pPr>
      <w:r>
        <w:rPr>
          <w:rFonts w:ascii="Arial" w:cs="Arial" w:eastAsia="Arial" w:hAnsi="Arial"/>
          <w:sz w:val="15"/>
          <w:szCs w:val="15"/>
          <w:b w:val="1"/>
          <w:bCs w:val="1"/>
          <w:color w:val="auto"/>
        </w:rPr>
        <w:t>ENFORCEMENT OF CIVIL LIABILITIES</w:t>
      </w:r>
    </w:p>
    <w:p>
      <w:pPr>
        <w:spacing w:after="0" w:line="170" w:lineRule="exact"/>
        <w:rPr>
          <w:sz w:val="20"/>
          <w:szCs w:val="20"/>
          <w:color w:val="auto"/>
        </w:rPr>
      </w:pPr>
    </w:p>
    <w:p>
      <w:pPr>
        <w:ind w:left="9" w:right="80"/>
        <w:spacing w:after="0" w:line="257" w:lineRule="auto"/>
        <w:rPr>
          <w:sz w:val="20"/>
          <w:szCs w:val="20"/>
          <w:color w:val="auto"/>
        </w:rPr>
      </w:pPr>
      <w:r>
        <w:rPr>
          <w:rFonts w:ascii="Arial" w:cs="Arial" w:eastAsia="Arial" w:hAnsi="Arial"/>
          <w:sz w:val="15"/>
          <w:szCs w:val="15"/>
          <w:color w:val="auto"/>
        </w:rPr>
        <w:t>We are organized and existing under the laws of the Netherlands. As such, under Dutch private international law, the rights and obligations of our shareholders vis-à-vis the Company originating from Dutch corporate law and our articles of association, as well as the civil liability of our officers (</w:t>
      </w:r>
      <w:r>
        <w:rPr>
          <w:rFonts w:ascii="Arial" w:cs="Arial" w:eastAsia="Arial" w:hAnsi="Arial"/>
          <w:sz w:val="15"/>
          <w:szCs w:val="15"/>
          <w:i w:val="1"/>
          <w:iCs w:val="1"/>
          <w:color w:val="auto"/>
        </w:rPr>
        <w:t>functionarissen</w:t>
      </w:r>
      <w:r>
        <w:rPr>
          <w:rFonts w:ascii="Arial" w:cs="Arial" w:eastAsia="Arial" w:hAnsi="Arial"/>
          <w:sz w:val="15"/>
          <w:szCs w:val="15"/>
          <w:color w:val="auto"/>
        </w:rPr>
        <w:t>) (including our directors and executive officers) are governed in certain respects by the laws of the Netherlands.</w:t>
      </w:r>
    </w:p>
    <w:p>
      <w:pPr>
        <w:spacing w:after="0" w:line="131" w:lineRule="exact"/>
        <w:rPr>
          <w:sz w:val="20"/>
          <w:szCs w:val="20"/>
          <w:color w:val="auto"/>
        </w:rPr>
      </w:pPr>
    </w:p>
    <w:p>
      <w:pPr>
        <w:ind w:left="9" w:right="60"/>
        <w:spacing w:after="0" w:line="251" w:lineRule="auto"/>
        <w:rPr>
          <w:sz w:val="20"/>
          <w:szCs w:val="20"/>
          <w:color w:val="auto"/>
        </w:rPr>
      </w:pPr>
      <w:r>
        <w:rPr>
          <w:rFonts w:ascii="Arial" w:cs="Arial" w:eastAsia="Arial" w:hAnsi="Arial"/>
          <w:sz w:val="15"/>
          <w:szCs w:val="15"/>
          <w:color w:val="auto"/>
        </w:rPr>
        <w:t>We are not a resident of the United States and our officers may also not all be residents of the United States. As a result, depending on the subject matter of the action brought against us and/or our officers, United States courts may not have jurisdiction. If a Dutch court has jurisdiction with respect to such action, that court will apply Dutch procedural law and Dutch private international law to determine the law applicable to that action. Depending on the subject matter of the relevant action, a competent Dutch court may apply another law than the laws of the United States.</w:t>
      </w:r>
    </w:p>
    <w:p>
      <w:pPr>
        <w:spacing w:after="0" w:line="135" w:lineRule="exact"/>
        <w:rPr>
          <w:sz w:val="20"/>
          <w:szCs w:val="20"/>
          <w:color w:val="auto"/>
        </w:rPr>
      </w:pPr>
    </w:p>
    <w:p>
      <w:pPr>
        <w:ind w:left="9"/>
        <w:spacing w:after="0"/>
        <w:rPr>
          <w:sz w:val="20"/>
          <w:szCs w:val="20"/>
          <w:color w:val="auto"/>
        </w:rPr>
      </w:pPr>
      <w:r>
        <w:rPr>
          <w:rFonts w:ascii="Arial" w:cs="Arial" w:eastAsia="Arial" w:hAnsi="Arial"/>
          <w:sz w:val="15"/>
          <w:szCs w:val="15"/>
          <w:color w:val="auto"/>
        </w:rPr>
        <w:t>Also, service of process against non-residents of the United States can in principle (absent, for example, a valid choice of domicile) not be effected in the United States.</w:t>
      </w:r>
    </w:p>
    <w:p>
      <w:pPr>
        <w:spacing w:after="0" w:line="170" w:lineRule="exact"/>
        <w:rPr>
          <w:sz w:val="20"/>
          <w:szCs w:val="20"/>
          <w:color w:val="auto"/>
        </w:rPr>
      </w:pPr>
    </w:p>
    <w:p>
      <w:pPr>
        <w:ind w:left="9" w:right="20"/>
        <w:spacing w:after="0"/>
        <w:rPr>
          <w:sz w:val="20"/>
          <w:szCs w:val="20"/>
          <w:color w:val="auto"/>
        </w:rPr>
      </w:pPr>
      <w:r>
        <w:rPr>
          <w:rFonts w:ascii="Arial" w:cs="Arial" w:eastAsia="Arial" w:hAnsi="Arial"/>
          <w:sz w:val="15"/>
          <w:szCs w:val="15"/>
          <w:color w:val="auto"/>
        </w:rPr>
        <w:t>Furthermore, a substantial amount of our assets are located outside the United States. As of the date of this prospectus, (i) there is no treaty in force between the United States and the Netherlands for the reciprocal recognition and enforcement of judgments, other than arbitration awards, in civil and commercial matters and (ii) both the Hague Convention on Choice of Court Agreements (2005) and the Hague Judgments Convention (2019) have entered into force for the Netherlands, but have not entered into force for the United States. Consequently, a judgment rendered by a court in the United States will not automatically be recognized and enforced by the competent Dutch courts. However, if a person has obtained a judgment rendered by a court in the United States that is enforceable under the laws of the United States and files a claim with the competent Dutch court, the Dutch court will in principle give binding effect to that United States judgment if (i) the jurisdiction of the United States court was based on a ground of jurisdiction that is generally acceptable according to international standards, (ii) the judgment by the United States court was rendered in legal proceedings that comply with the Dutch standards of proper administration of justice including sufficient safeguards (</w:t>
      </w:r>
      <w:r>
        <w:rPr>
          <w:rFonts w:ascii="Arial" w:cs="Arial" w:eastAsia="Arial" w:hAnsi="Arial"/>
          <w:sz w:val="15"/>
          <w:szCs w:val="15"/>
          <w:i w:val="1"/>
          <w:iCs w:val="1"/>
          <w:color w:val="auto"/>
        </w:rPr>
        <w:t>behoorlijke rechtspleging</w:t>
      </w:r>
      <w:r>
        <w:rPr>
          <w:rFonts w:ascii="Arial" w:cs="Arial" w:eastAsia="Arial" w:hAnsi="Arial"/>
          <w:sz w:val="15"/>
          <w:szCs w:val="15"/>
          <w:color w:val="auto"/>
        </w:rPr>
        <w:t>),</w:t>
      </w:r>
    </w:p>
    <w:p>
      <w:pPr>
        <w:spacing w:after="0" w:line="5" w:lineRule="exact"/>
        <w:rPr>
          <w:sz w:val="20"/>
          <w:szCs w:val="20"/>
          <w:color w:val="auto"/>
        </w:rPr>
      </w:pPr>
    </w:p>
    <w:p>
      <w:pPr>
        <w:ind w:left="9" w:right="20" w:hanging="9"/>
        <w:spacing w:after="0" w:line="241" w:lineRule="auto"/>
        <w:tabs>
          <w:tab w:leader="none" w:pos="254" w:val="left"/>
        </w:tabs>
        <w:numPr>
          <w:ilvl w:val="0"/>
          <w:numId w:val="20"/>
        </w:numPr>
        <w:rPr>
          <w:rFonts w:ascii="Arial" w:cs="Arial" w:eastAsia="Arial" w:hAnsi="Arial"/>
          <w:sz w:val="15"/>
          <w:szCs w:val="15"/>
          <w:color w:val="auto"/>
        </w:rPr>
      </w:pPr>
      <w:r>
        <w:rPr>
          <w:rFonts w:ascii="Arial" w:cs="Arial" w:eastAsia="Arial" w:hAnsi="Arial"/>
          <w:sz w:val="15"/>
          <w:szCs w:val="15"/>
          <w:color w:val="auto"/>
        </w:rPr>
        <w:t>binding effect of such United States judgment is not contrary to Dutch public order (</w:t>
      </w:r>
      <w:r>
        <w:rPr>
          <w:rFonts w:ascii="Arial" w:cs="Arial" w:eastAsia="Arial" w:hAnsi="Arial"/>
          <w:sz w:val="15"/>
          <w:szCs w:val="15"/>
          <w:i w:val="1"/>
          <w:iCs w:val="1"/>
          <w:color w:val="auto"/>
        </w:rPr>
        <w:t>openbare orde</w:t>
      </w:r>
      <w:r>
        <w:rPr>
          <w:rFonts w:ascii="Arial" w:cs="Arial" w:eastAsia="Arial" w:hAnsi="Arial"/>
          <w:sz w:val="15"/>
          <w:szCs w:val="15"/>
          <w:color w:val="auto"/>
        </w:rPr>
        <w:t>) and (iv) the judgment by the United States court is not incompatible with a decision rendered between the same parties by a Dutch court, or with a previous decision rendered between the same parties by a foreign court in a dispute that concerns the same subject and is based on the same cause, provided that the previous decision qualifies for recognition in the Netherlands. Even if such a United States judgment is given binding effect, a claim based thereon may, however, still be rejected if the United States judgment is not or no longer formally enforceable. Moreover, if the United States judgment is not final (for instance when appeal is possible or pending) a competent Dutch court may postpone recognition until the United States judgment will have become final, refuse recognition under the understanding that recognition can be asked again once the United States judgment will have become final, or impose as a condition for recognition that security is posted.</w:t>
      </w:r>
    </w:p>
    <w:p>
      <w:pPr>
        <w:spacing w:after="0" w:line="145" w:lineRule="exact"/>
        <w:rPr>
          <w:sz w:val="20"/>
          <w:szCs w:val="20"/>
          <w:color w:val="auto"/>
        </w:rPr>
      </w:pPr>
    </w:p>
    <w:p>
      <w:pPr>
        <w:ind w:left="9" w:right="60"/>
        <w:spacing w:after="0" w:line="247" w:lineRule="auto"/>
        <w:rPr>
          <w:sz w:val="20"/>
          <w:szCs w:val="20"/>
          <w:color w:val="auto"/>
        </w:rPr>
      </w:pPr>
      <w:r>
        <w:rPr>
          <w:rFonts w:ascii="Arial" w:cs="Arial" w:eastAsia="Arial" w:hAnsi="Arial"/>
          <w:sz w:val="15"/>
          <w:szCs w:val="15"/>
          <w:color w:val="auto"/>
        </w:rPr>
        <w:t>A competent Dutch court may deny the recognition and enforcement of punitive damages or other awards. Moreover, a competent Dutch court may reduce the amount of damages granted by a United States court and recognize damages only to the extent that they are necessary to compensate actual losses or damages. Finally, there may be specific other instances, including pursuant to anti-boycott rules and regulations, where Dutch law prohibits the recognition and enforcement of a United States judgment. Thus, United States investors may not be able to enforce, or may experience difficulty in enforcing, a judgment obtained in a United States court against us or our officers.</w:t>
      </w:r>
    </w:p>
    <w:p>
      <w:pPr>
        <w:spacing w:after="0" w:line="232"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715327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69"/>
          </w:cols>
          <w:pgMar w:left="311" w:top="223" w:right="319" w:bottom="1440" w:gutter="0" w:footer="0" w:header="0"/>
        </w:sectPr>
      </w:pPr>
    </w:p>
    <w:bookmarkStart w:id="33" w:name="page34"/>
    <w:bookmarkEnd w:id="33"/>
    <w:p>
      <w:pPr>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WHERE YOU CAN FIND MORE INFORMATION</w:t>
      </w:r>
    </w:p>
    <w:p>
      <w:pPr>
        <w:spacing w:after="0" w:line="170" w:lineRule="exact"/>
        <w:rPr>
          <w:sz w:val="20"/>
          <w:szCs w:val="20"/>
          <w:color w:val="auto"/>
        </w:rPr>
      </w:pPr>
    </w:p>
    <w:p>
      <w:pPr>
        <w:ind w:right="80"/>
        <w:spacing w:after="0" w:line="246" w:lineRule="auto"/>
        <w:rPr>
          <w:sz w:val="20"/>
          <w:szCs w:val="20"/>
          <w:color w:val="auto"/>
        </w:rPr>
      </w:pPr>
      <w:r>
        <w:rPr>
          <w:rFonts w:ascii="Arial" w:cs="Arial" w:eastAsia="Arial" w:hAnsi="Arial"/>
          <w:sz w:val="15"/>
          <w:szCs w:val="15"/>
          <w:color w:val="auto"/>
        </w:rPr>
        <w:t xml:space="preserve">We are subject to the informational requirements of the Exchange Act. Accordingly, we are required to file reports and other information with the SEC, including annual reports on Form 20-F and reports on Form 6-K. The SEC maintains an internet site at </w:t>
      </w:r>
      <w:r>
        <w:rPr>
          <w:rFonts w:ascii="Arial" w:cs="Arial" w:eastAsia="Arial" w:hAnsi="Arial"/>
          <w:sz w:val="15"/>
          <w:szCs w:val="15"/>
          <w:i w:val="1"/>
          <w:iCs w:val="1"/>
          <w:color w:val="auto"/>
        </w:rPr>
        <w:t>www.sec.gov</w:t>
      </w:r>
      <w:r>
        <w:rPr>
          <w:rFonts w:ascii="Arial" w:cs="Arial" w:eastAsia="Arial" w:hAnsi="Arial"/>
          <w:sz w:val="15"/>
          <w:szCs w:val="15"/>
          <w:color w:val="auto"/>
        </w:rPr>
        <w:t xml:space="preserve"> that contains reports, proxy and information statements and other information we have filed electronically with the SEC. 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139" w:lineRule="exact"/>
        <w:rPr>
          <w:sz w:val="20"/>
          <w:szCs w:val="20"/>
          <w:color w:val="auto"/>
        </w:rPr>
      </w:pPr>
    </w:p>
    <w:p>
      <w:pPr>
        <w:spacing w:after="0" w:line="247" w:lineRule="auto"/>
        <w:rPr>
          <w:sz w:val="20"/>
          <w:szCs w:val="20"/>
          <w:color w:val="auto"/>
        </w:rPr>
      </w:pPr>
      <w:r>
        <w:rPr>
          <w:rFonts w:ascii="Arial" w:cs="Arial" w:eastAsia="Arial" w:hAnsi="Arial"/>
          <w:sz w:val="15"/>
          <w:szCs w:val="15"/>
          <w:color w:val="auto"/>
        </w:rPr>
        <w:t>We have filed with the SEC a “shelf” registration statement (including exhibits to the registration statement) on Form F-3 under the Securities Act. This prospectus, which is part of the registration statement, does not contain all of the information set forth in the registration statement and the exhibits and schedules to the registration statement. We have omitted parts of the registration statement in accordance with the rules and regulations of the SEC. For more detail about us and the securities that may be offered by this prospectus, you may examine the registration statement on Form F-3 and the exhibits filed with it at the website provided in the previous paragraph.</w:t>
      </w:r>
    </w:p>
    <w:p>
      <w:pPr>
        <w:spacing w:after="0" w:line="141" w:lineRule="exact"/>
        <w:rPr>
          <w:sz w:val="20"/>
          <w:szCs w:val="20"/>
          <w:color w:val="auto"/>
        </w:rPr>
      </w:pPr>
    </w:p>
    <w:p>
      <w:pPr>
        <w:ind w:right="600"/>
        <w:spacing w:after="0" w:line="276" w:lineRule="auto"/>
        <w:rPr>
          <w:sz w:val="20"/>
          <w:szCs w:val="20"/>
          <w:color w:val="auto"/>
        </w:rPr>
      </w:pPr>
      <w:r>
        <w:rPr>
          <w:rFonts w:ascii="Arial" w:cs="Arial" w:eastAsia="Arial" w:hAnsi="Arial"/>
          <w:sz w:val="15"/>
          <w:szCs w:val="15"/>
          <w:color w:val="auto"/>
        </w:rPr>
        <w:t xml:space="preserve">We maintain a corporate website at </w:t>
      </w:r>
      <w:r>
        <w:rPr>
          <w:rFonts w:ascii="Arial" w:cs="Arial" w:eastAsia="Arial" w:hAnsi="Arial"/>
          <w:sz w:val="15"/>
          <w:szCs w:val="15"/>
          <w:i w:val="1"/>
          <w:iCs w:val="1"/>
          <w:color w:val="auto"/>
        </w:rPr>
        <w:t>www.immatics.com</w:t>
      </w:r>
      <w:r>
        <w:rPr>
          <w:rFonts w:ascii="Arial" w:cs="Arial" w:eastAsia="Arial" w:hAnsi="Arial"/>
          <w:sz w:val="15"/>
          <w:szCs w:val="15"/>
          <w:color w:val="auto"/>
        </w:rPr>
        <w:t>. The reference to our website is an inactive textual reference only, and information contained therein or connected thereto is not incorporated into this prospectus or the registration statement of which it forms a part.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60"/>
          </w:cols>
          <w:pgMar w:left="320" w:top="223" w:right="319" w:bottom="1440" w:gutter="0" w:footer="0" w:header="0"/>
        </w:sectPr>
      </w:pPr>
    </w:p>
    <w:bookmarkStart w:id="34" w:name="page35"/>
    <w:bookmarkEnd w:id="34"/>
    <w:p>
      <w:pPr>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INFORMATION INCORPORATED BY REFERENCE</w:t>
      </w:r>
    </w:p>
    <w:p>
      <w:pPr>
        <w:spacing w:after="0" w:line="170" w:lineRule="exact"/>
        <w:rPr>
          <w:sz w:val="20"/>
          <w:szCs w:val="20"/>
          <w:color w:val="auto"/>
        </w:rPr>
      </w:pPr>
    </w:p>
    <w:p>
      <w:pPr>
        <w:spacing w:after="0" w:line="246" w:lineRule="auto"/>
        <w:rPr>
          <w:sz w:val="20"/>
          <w:szCs w:val="20"/>
          <w:color w:val="auto"/>
        </w:rPr>
      </w:pPr>
      <w:r>
        <w:rPr>
          <w:rFonts w:ascii="Arial" w:cs="Arial" w:eastAsia="Arial" w:hAnsi="Arial"/>
          <w:sz w:val="15"/>
          <w:szCs w:val="15"/>
          <w:color w:val="auto"/>
        </w:rPr>
        <w:t>The rules of the SEC allow us to incorporate by reference information in this prospectus, which means that we disclose important information to you by referring you to another document filed separately with the SEC. The information incorporated by reference in this prospectus is considered to be a part of this prospectus. Any statement made in this prospectus or in a document incorporated or deemed to be incorporated by reference in this prospectus will be deemed to be modified or superseded for purposes of this prospectus to the extent that a statement contained in this prospectus or in any other subsequently filed document that is also incorporated or deemed to be incorporated by reference in this prospectus modifies or supersedes that statement. Any statement so modified or superseded will not be deemed, except as so modified or superseded, to constitute a part of this prospectus. This prospectus incorporates by reference the documents listed below:</w:t>
      </w:r>
    </w:p>
    <w:p>
      <w:pPr>
        <w:spacing w:after="0" w:line="139" w:lineRule="exact"/>
        <w:rPr>
          <w:sz w:val="20"/>
          <w:szCs w:val="20"/>
          <w:color w:val="auto"/>
        </w:rPr>
      </w:pPr>
    </w:p>
    <w:p>
      <w:pPr>
        <w:ind w:left="540" w:hanging="274"/>
        <w:spacing w:after="0"/>
        <w:tabs>
          <w:tab w:leader="none" w:pos="5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 xml:space="preserve">our </w:t>
      </w:r>
      <w:hyperlink r:id="rId46">
        <w:r>
          <w:rPr>
            <w:rFonts w:ascii="Arial" w:cs="Arial" w:eastAsia="Arial" w:hAnsi="Arial"/>
            <w:sz w:val="15"/>
            <w:szCs w:val="15"/>
            <w:u w:val="single" w:color="auto"/>
            <w:color w:val="0000EE"/>
          </w:rPr>
          <w:t>Annual Report on Form 20-F for the year ended December 31, 2024</w:t>
        </w:r>
      </w:hyperlink>
      <w:r>
        <w:rPr>
          <w:rFonts w:ascii="Arial" w:cs="Arial" w:eastAsia="Arial" w:hAnsi="Arial"/>
          <w:sz w:val="15"/>
          <w:szCs w:val="15"/>
          <w:color w:val="auto"/>
        </w:rPr>
        <w:t>; and</w:t>
      </w:r>
    </w:p>
    <w:p>
      <w:pPr>
        <w:spacing w:after="0" w:line="181" w:lineRule="exact"/>
        <w:rPr>
          <w:rFonts w:ascii="Arial" w:cs="Arial" w:eastAsia="Arial" w:hAnsi="Arial"/>
          <w:sz w:val="15"/>
          <w:szCs w:val="15"/>
          <w:color w:val="auto"/>
        </w:rPr>
      </w:pPr>
    </w:p>
    <w:p>
      <w:pPr>
        <w:ind w:left="540" w:hanging="274"/>
        <w:spacing w:after="0"/>
        <w:tabs>
          <w:tab w:leader="none" w:pos="5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 xml:space="preserve">our </w:t>
      </w:r>
      <w:hyperlink r:id="rId47">
        <w:r>
          <w:rPr>
            <w:rFonts w:ascii="Arial" w:cs="Arial" w:eastAsia="Arial" w:hAnsi="Arial"/>
            <w:sz w:val="15"/>
            <w:szCs w:val="15"/>
            <w:u w:val="single" w:color="auto"/>
            <w:color w:val="0000EE"/>
          </w:rPr>
          <w:t>Registration Statement on Form 8-A filed with the SEC on July 1, 2020</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and any amendment or report filed for the purpose of updating such description.</w:t>
      </w:r>
    </w:p>
    <w:p>
      <w:pPr>
        <w:spacing w:after="0" w:line="181" w:lineRule="exact"/>
        <w:rPr>
          <w:rFonts w:ascii="Times New Roman" w:cs="Times New Roman" w:eastAsia="Times New Roman" w:hAnsi="Times New Roman"/>
          <w:sz w:val="15"/>
          <w:szCs w:val="15"/>
          <w:color w:val="auto"/>
        </w:rPr>
      </w:pPr>
    </w:p>
    <w:p>
      <w:pPr>
        <w:ind w:right="40"/>
        <w:spacing w:after="0" w:line="244" w:lineRule="auto"/>
        <w:rPr>
          <w:sz w:val="20"/>
          <w:szCs w:val="20"/>
          <w:color w:val="auto"/>
        </w:rPr>
      </w:pPr>
      <w:r>
        <w:rPr>
          <w:rFonts w:ascii="Arial" w:cs="Arial" w:eastAsia="Arial" w:hAnsi="Arial"/>
          <w:sz w:val="15"/>
          <w:szCs w:val="15"/>
          <w:color w:val="auto"/>
        </w:rPr>
        <w:t>All subsequent annual reports on Form 20-F, Form 40-F or Form 10-K that we file with the SEC and all subsequent filings on Forms 10-Q and 8-K filed by us with the SEC pursuant to the Exchange Act (excluding, in each case, any information or documents deemed to be furnished and not filed with the SEC), after the date hereof and prior to the termination or expiration of the registration statement of which this prospectus forms a part, shall be incorporated by reference. We may incorporate by reference any reports on Form 6-K that we furnish to the SEC that we specifically identify in such form or in any applicable prospectus supplement as being incorporated by reference into this prospectus or such prospectus supplement (i) on or after the date of the initial filing of the registration statement of which this prospectus forms a part and prior to the effectiveness of such registration statement and (ii) on or after the date hereof and prior to the completion of an offering of securities under this prospectus.</w:t>
      </w:r>
    </w:p>
    <w:p>
      <w:pPr>
        <w:spacing w:after="0" w:line="144" w:lineRule="exact"/>
        <w:rPr>
          <w:rFonts w:ascii="Times New Roman" w:cs="Times New Roman" w:eastAsia="Times New Roman" w:hAnsi="Times New Roman"/>
          <w:sz w:val="15"/>
          <w:szCs w:val="15"/>
          <w:color w:val="auto"/>
        </w:rPr>
      </w:pPr>
    </w:p>
    <w:p>
      <w:pPr>
        <w:ind w:right="100"/>
        <w:spacing w:after="0" w:line="246" w:lineRule="auto"/>
        <w:rPr>
          <w:sz w:val="20"/>
          <w:szCs w:val="20"/>
          <w:color w:val="auto"/>
        </w:rPr>
      </w:pPr>
      <w:r>
        <w:rPr>
          <w:rFonts w:ascii="Arial" w:cs="Arial" w:eastAsia="Arial" w:hAnsi="Arial"/>
          <w:sz w:val="15"/>
          <w:szCs w:val="15"/>
          <w:color w:val="auto"/>
        </w:rPr>
        <w:t xml:space="preserve">You can obtain any of the filings incorporated by reference in this prospectus through us or from the SEC through the SEC’s website at </w:t>
      </w:r>
      <w:r>
        <w:rPr>
          <w:rFonts w:ascii="Arial" w:cs="Arial" w:eastAsia="Arial" w:hAnsi="Arial"/>
          <w:sz w:val="15"/>
          <w:szCs w:val="15"/>
          <w:i w:val="1"/>
          <w:iCs w:val="1"/>
          <w:color w:val="auto"/>
        </w:rPr>
        <w:t>www.sec.gov</w:t>
      </w:r>
      <w:r>
        <w:rPr>
          <w:rFonts w:ascii="Arial" w:cs="Arial" w:eastAsia="Arial" w:hAnsi="Arial"/>
          <w:sz w:val="15"/>
          <w:szCs w:val="15"/>
          <w:color w:val="auto"/>
        </w:rPr>
        <w:t>. Our filings with the SEC, including our Annual Reports on Form 20-F and Reports on Form 6-K and exhibits incorporated in and amendments to those reports, are also available free of charge on our website (</w:t>
      </w:r>
      <w:r>
        <w:rPr>
          <w:rFonts w:ascii="Arial" w:cs="Arial" w:eastAsia="Arial" w:hAnsi="Arial"/>
          <w:sz w:val="15"/>
          <w:szCs w:val="15"/>
          <w:i w:val="1"/>
          <w:iCs w:val="1"/>
          <w:color w:val="auto"/>
        </w:rPr>
        <w:t>www.immatics.com</w:t>
      </w:r>
      <w:r>
        <w:rPr>
          <w:rFonts w:ascii="Arial" w:cs="Arial" w:eastAsia="Arial" w:hAnsi="Arial"/>
          <w:sz w:val="15"/>
          <w:szCs w:val="15"/>
          <w:color w:val="auto"/>
        </w:rPr>
        <w:t>) as soon as reasonably practicable after they are filed with, or furnished to, the SEC. The reference to our website is an inactive textual reference only, and information contained therein or connected thereto is not incorporated into this prospectus or the registration statement of which it forms a part. We will provide to each person, including any beneficial owner, to whom this prospectus is delivered, a copy of any or all the reports or documents incorporated by reference in this prospectus at no cost, upon written or oral request to us at the following address:</w:t>
      </w:r>
    </w:p>
    <w:p>
      <w:pPr>
        <w:spacing w:after="0" w:line="139" w:lineRule="exact"/>
        <w:rPr>
          <w:rFonts w:ascii="Times New Roman" w:cs="Times New Roman" w:eastAsia="Times New Roman" w:hAnsi="Times New Roman"/>
          <w:sz w:val="15"/>
          <w:szCs w:val="15"/>
          <w:color w:val="auto"/>
        </w:rPr>
      </w:pPr>
    </w:p>
    <w:p>
      <w:pPr>
        <w:jc w:val="center"/>
        <w:ind w:right="-19"/>
        <w:spacing w:after="0"/>
        <w:rPr>
          <w:sz w:val="20"/>
          <w:szCs w:val="20"/>
          <w:color w:val="auto"/>
        </w:rPr>
      </w:pPr>
      <w:r>
        <w:rPr>
          <w:rFonts w:ascii="Arial" w:cs="Arial" w:eastAsia="Arial" w:hAnsi="Arial"/>
          <w:sz w:val="15"/>
          <w:szCs w:val="15"/>
          <w:color w:val="auto"/>
        </w:rPr>
        <w:t>Investor Relations</w:t>
      </w:r>
    </w:p>
    <w:p>
      <w:pPr>
        <w:spacing w:after="0" w:line="12" w:lineRule="exact"/>
        <w:rPr>
          <w:rFonts w:ascii="Times New Roman" w:cs="Times New Roman" w:eastAsia="Times New Roman" w:hAnsi="Times New Roman"/>
          <w:sz w:val="15"/>
          <w:szCs w:val="15"/>
          <w:color w:val="auto"/>
        </w:rPr>
      </w:pPr>
    </w:p>
    <w:p>
      <w:pPr>
        <w:jc w:val="center"/>
        <w:ind w:right="-19"/>
        <w:spacing w:after="0"/>
        <w:rPr>
          <w:sz w:val="20"/>
          <w:szCs w:val="20"/>
          <w:color w:val="auto"/>
        </w:rPr>
      </w:pPr>
      <w:r>
        <w:rPr>
          <w:rFonts w:ascii="Arial" w:cs="Arial" w:eastAsia="Arial" w:hAnsi="Arial"/>
          <w:sz w:val="15"/>
          <w:szCs w:val="15"/>
          <w:color w:val="auto"/>
        </w:rPr>
        <w:t>Immatics N.V.</w:t>
      </w:r>
    </w:p>
    <w:p>
      <w:pPr>
        <w:jc w:val="center"/>
        <w:ind w:right="-19"/>
        <w:spacing w:after="0" w:line="238" w:lineRule="auto"/>
        <w:rPr>
          <w:sz w:val="20"/>
          <w:szCs w:val="20"/>
          <w:color w:val="auto"/>
        </w:rPr>
      </w:pPr>
      <w:r>
        <w:rPr>
          <w:rFonts w:ascii="Arial" w:cs="Arial" w:eastAsia="Arial" w:hAnsi="Arial"/>
          <w:sz w:val="15"/>
          <w:szCs w:val="15"/>
          <w:color w:val="auto"/>
        </w:rPr>
        <w:t>c/o Immatics US, Inc.</w:t>
      </w:r>
    </w:p>
    <w:p>
      <w:pPr>
        <w:jc w:val="center"/>
        <w:ind w:right="-19"/>
        <w:spacing w:after="0"/>
        <w:rPr>
          <w:sz w:val="20"/>
          <w:szCs w:val="20"/>
          <w:color w:val="auto"/>
        </w:rPr>
      </w:pPr>
      <w:r>
        <w:rPr>
          <w:rFonts w:ascii="Arial" w:cs="Arial" w:eastAsia="Arial" w:hAnsi="Arial"/>
          <w:sz w:val="15"/>
          <w:szCs w:val="15"/>
          <w:color w:val="auto"/>
        </w:rPr>
        <w:t>13203 Murphy Rd., Suite 100</w:t>
      </w:r>
    </w:p>
    <w:p>
      <w:pPr>
        <w:jc w:val="center"/>
        <w:ind w:right="-19"/>
        <w:spacing w:after="0" w:line="238" w:lineRule="auto"/>
        <w:rPr>
          <w:sz w:val="20"/>
          <w:szCs w:val="20"/>
          <w:color w:val="auto"/>
        </w:rPr>
      </w:pPr>
      <w:r>
        <w:rPr>
          <w:rFonts w:ascii="Arial" w:cs="Arial" w:eastAsia="Arial" w:hAnsi="Arial"/>
          <w:sz w:val="15"/>
          <w:szCs w:val="15"/>
          <w:color w:val="auto"/>
        </w:rPr>
        <w:t>Stafford, Texas 77477</w:t>
      </w:r>
    </w:p>
    <w:p>
      <w:pPr>
        <w:ind w:left="5500" w:hanging="397"/>
        <w:spacing w:after="0"/>
        <w:tabs>
          <w:tab w:leader="none" w:pos="55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810-7545</w:t>
      </w:r>
    </w:p>
    <w:p>
      <w:pPr>
        <w:spacing w:after="0" w:line="247" w:lineRule="exact"/>
        <w:rPr>
          <w:rFonts w:ascii="Arial" w:cs="Arial" w:eastAsia="Arial" w:hAnsi="Arial"/>
          <w:sz w:val="15"/>
          <w:szCs w:val="15"/>
          <w:color w:val="auto"/>
        </w:rPr>
      </w:pPr>
    </w:p>
    <w:p>
      <w:pPr>
        <w:ind w:left="5540"/>
        <w:spacing w:after="0"/>
        <w:rPr>
          <w:rFonts w:ascii="Arial" w:cs="Arial" w:eastAsia="Arial" w:hAnsi="Arial"/>
          <w:sz w:val="15"/>
          <w:szCs w:val="15"/>
          <w:color w:val="auto"/>
        </w:rPr>
      </w:pPr>
      <w:r>
        <w:rPr>
          <w:rFonts w:ascii="Arial" w:cs="Arial" w:eastAsia="Arial" w:hAnsi="Arial"/>
          <w:sz w:val="15"/>
          <w:szCs w:val="15"/>
          <w:color w:val="auto"/>
        </w:rPr>
        <w:t>31</w:t>
      </w:r>
    </w:p>
    <w:p>
      <w:pPr>
        <w:spacing w:after="0" w:line="2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422910</wp:posOffset>
            </wp:positionV>
            <wp:extent cx="7153275" cy="292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53275" cy="29210"/>
                    </a:xfrm>
                    <a:prstGeom prst="rect">
                      <a:avLst/>
                    </a:prstGeom>
                    <a:noFill/>
                  </pic:spPr>
                </pic:pic>
              </a:graphicData>
            </a:graphic>
          </wp:anchor>
        </w:drawing>
        <w:drawing>
          <wp:anchor simplePos="0" relativeHeight="251657728" behindDoc="1" locked="0" layoutInCell="0" allowOverlap="1">
            <wp:simplePos x="0" y="0"/>
            <wp:positionH relativeFrom="page">
              <wp:posOffset>197485</wp:posOffset>
            </wp:positionH>
            <wp:positionV relativeFrom="page">
              <wp:posOffset>459105</wp:posOffset>
            </wp:positionV>
            <wp:extent cx="715327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53275" cy="6985"/>
                    </a:xfrm>
                    <a:prstGeom prst="rect">
                      <a:avLst/>
                    </a:prstGeom>
                    <a:noFill/>
                  </pic:spPr>
                </pic:pic>
              </a:graphicData>
            </a:graphic>
          </wp:anchor>
        </w:drawing>
        <w:drawing>
          <wp:anchor simplePos="0" relativeHeight="251657728" behindDoc="1" locked="0" layoutInCell="0" allowOverlap="1">
            <wp:simplePos x="0" y="0"/>
            <wp:positionH relativeFrom="page">
              <wp:posOffset>2853055</wp:posOffset>
            </wp:positionH>
            <wp:positionV relativeFrom="page">
              <wp:posOffset>727075</wp:posOffset>
            </wp:positionV>
            <wp:extent cx="1842770" cy="6819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842770" cy="681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IMMATICS N.V.</w:t>
      </w:r>
    </w:p>
    <w:p>
      <w:pPr>
        <w:sectPr>
          <w:pgSz w:w="11900" w:h="16838" w:orient="portrait"/>
          <w:cols w:equalWidth="0" w:num="1">
            <w:col w:w="9019"/>
          </w:cols>
          <w:pgMar w:left="1440" w:top="1440"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Ordinary Shares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Debt Securities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Warrants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Subscription Rights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Purchase Contracts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Units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13" w:lineRule="exact"/>
        <w:rPr>
          <w:sz w:val="20"/>
          <w:szCs w:val="20"/>
          <w:color w:val="auto"/>
        </w:rPr>
      </w:pPr>
    </w:p>
    <w:p>
      <w:pPr>
        <w:ind w:left="4800"/>
        <w:spacing w:after="0"/>
        <w:rPr>
          <w:sz w:val="20"/>
          <w:szCs w:val="20"/>
          <w:color w:val="auto"/>
        </w:rPr>
      </w:pPr>
      <w:r>
        <w:rPr>
          <w:rFonts w:ascii="Arial" w:cs="Arial" w:eastAsia="Arial" w:hAnsi="Arial"/>
          <w:sz w:val="15"/>
          <w:szCs w:val="15"/>
          <w:b w:val="1"/>
          <w:bCs w:val="1"/>
          <w:color w:val="auto"/>
        </w:rPr>
        <w: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226060</wp:posOffset>
            </wp:positionV>
            <wp:extent cx="715327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53275" cy="698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248285</wp:posOffset>
            </wp:positionV>
            <wp:extent cx="7153275" cy="292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53275" cy="29210"/>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574675</wp:posOffset>
            </wp:positionV>
            <wp:extent cx="715327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36" w:name="page37"/>
    <w:bookmarkEnd w:id="36"/>
    <w:p>
      <w:pPr>
        <w:jc w:val="center"/>
        <w:ind w:right="20"/>
        <w:spacing w:after="0" w:line="263" w:lineRule="auto"/>
        <w:rPr>
          <w:sz w:val="20"/>
          <w:szCs w:val="20"/>
          <w:color w:val="auto"/>
        </w:rPr>
      </w:pPr>
      <w:r>
        <w:rPr>
          <w:rFonts w:ascii="Arial" w:cs="Arial" w:eastAsia="Arial" w:hAnsi="Arial"/>
          <w:sz w:val="15"/>
          <w:szCs w:val="15"/>
          <w:b w:val="1"/>
          <w:bCs w:val="1"/>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FF0000"/>
        </w:rPr>
        <w:t>SUBJECT TO COMPLETION, DATED MARCH 27, 2025</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2649855</wp:posOffset>
            </wp:positionH>
            <wp:positionV relativeFrom="paragraph">
              <wp:posOffset>117475</wp:posOffset>
            </wp:positionV>
            <wp:extent cx="1842770" cy="6819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1842770" cy="681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30"/>
          <w:szCs w:val="30"/>
          <w:b w:val="1"/>
          <w:bCs w:val="1"/>
          <w:color w:val="auto"/>
        </w:rPr>
        <w:t>IMMATICS N.V.</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Up to $150,000,000</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Ordinary Shares</w:t>
      </w:r>
    </w:p>
    <w:p>
      <w:pPr>
        <w:spacing w:after="0" w:line="267" w:lineRule="exact"/>
        <w:rPr>
          <w:sz w:val="20"/>
          <w:szCs w:val="20"/>
          <w:color w:val="auto"/>
        </w:rPr>
      </w:pPr>
    </w:p>
    <w:p>
      <w:pPr>
        <w:ind w:right="60"/>
        <w:spacing w:after="0" w:line="251" w:lineRule="auto"/>
        <w:rPr>
          <w:sz w:val="20"/>
          <w:szCs w:val="20"/>
          <w:color w:val="auto"/>
        </w:rPr>
      </w:pPr>
      <w:r>
        <w:rPr>
          <w:rFonts w:ascii="Arial" w:cs="Arial" w:eastAsia="Arial" w:hAnsi="Arial"/>
          <w:sz w:val="15"/>
          <w:szCs w:val="15"/>
          <w:color w:val="auto"/>
        </w:rPr>
        <w:t>We have entered into a Sales Agreement with Leerink Partners LLC (“Leerink Partners” or the “sales agent”), dated October 10, 2024, relating to the sale of our ordinary shares, nominal value € 0.01 per share, offered by this prospectus supplement and the accompanying prospectus (such agreement, the “sales agreement”). In accordance with the terms of the sales agreement, under this prospectus supplement, we may offer and sell our ordinary shares having an aggregate offering price of up to $150,000,000 from time to time through the sales agent.</w:t>
      </w:r>
    </w:p>
    <w:p>
      <w:pPr>
        <w:spacing w:after="0" w:line="135" w:lineRule="exact"/>
        <w:rPr>
          <w:sz w:val="20"/>
          <w:szCs w:val="20"/>
          <w:color w:val="auto"/>
        </w:rPr>
      </w:pPr>
    </w:p>
    <w:p>
      <w:pPr>
        <w:ind w:right="40"/>
        <w:spacing w:after="0" w:line="251" w:lineRule="auto"/>
        <w:rPr>
          <w:sz w:val="20"/>
          <w:szCs w:val="20"/>
          <w:color w:val="auto"/>
        </w:rPr>
      </w:pPr>
      <w:r>
        <w:rPr>
          <w:rFonts w:ascii="Arial" w:cs="Arial" w:eastAsia="Arial" w:hAnsi="Arial"/>
          <w:sz w:val="15"/>
          <w:szCs w:val="15"/>
          <w:color w:val="auto"/>
        </w:rPr>
        <w:t>Sales of our ordinary shares, if any, under this prospectus supplement will be made by any method permitted that is deemed an “at the market offering” as defined in Rule 415(a)(4) under the Securities Act of 1933, as amended (the “Securities Act”). The sales agent is not required to sell any specific amount, but will act as our sales agent using commercially reasonable efforts consistent with its normal trading and sales practices. There is no arrangement for funds to be received in an escrow, trust or similar arrangement.</w:t>
      </w:r>
    </w:p>
    <w:p>
      <w:pPr>
        <w:spacing w:after="0" w:line="135" w:lineRule="exact"/>
        <w:rPr>
          <w:sz w:val="20"/>
          <w:szCs w:val="20"/>
          <w:color w:val="auto"/>
        </w:rPr>
      </w:pPr>
    </w:p>
    <w:p>
      <w:pPr>
        <w:ind w:right="140"/>
        <w:spacing w:after="0" w:line="247" w:lineRule="auto"/>
        <w:rPr>
          <w:sz w:val="20"/>
          <w:szCs w:val="20"/>
          <w:color w:val="auto"/>
        </w:rPr>
      </w:pPr>
      <w:r>
        <w:rPr>
          <w:rFonts w:ascii="Arial" w:cs="Arial" w:eastAsia="Arial" w:hAnsi="Arial"/>
          <w:sz w:val="15"/>
          <w:szCs w:val="15"/>
          <w:color w:val="auto"/>
        </w:rPr>
        <w:t>The sales agent will be entitled to compensation at a commission rate up to 3.0% of the gross sales price of any ordinary shares sold under the sales agreement. In connection with the sale of ordinary shares on our behalf, the sales agent will be deemed to be an “underwriter” within the meaning of the Securities Act and the compensation of the sales agent will be deemed to be underwriting commissions or discounts. We have also agreed to provide indemnification and contribution to the sales agent with respect to certain liabilities, including civil liabilities under the Securities Act. See “Plan of Distribution” beginning on page S-30 for additional information regarding the compensation to be paid to the sales agent.</w:t>
      </w:r>
    </w:p>
    <w:p>
      <w:pPr>
        <w:spacing w:after="0" w:line="141" w:lineRule="exact"/>
        <w:rPr>
          <w:sz w:val="20"/>
          <w:szCs w:val="20"/>
          <w:color w:val="auto"/>
        </w:rPr>
      </w:pPr>
    </w:p>
    <w:p>
      <w:pPr>
        <w:ind w:right="140"/>
        <w:spacing w:after="0" w:line="276" w:lineRule="auto"/>
        <w:rPr>
          <w:sz w:val="20"/>
          <w:szCs w:val="20"/>
          <w:color w:val="auto"/>
        </w:rPr>
      </w:pPr>
      <w:r>
        <w:rPr>
          <w:rFonts w:ascii="Arial" w:cs="Arial" w:eastAsia="Arial" w:hAnsi="Arial"/>
          <w:sz w:val="15"/>
          <w:szCs w:val="15"/>
          <w:color w:val="auto"/>
        </w:rPr>
        <w:t>Our ordinary shares are listed on The Nasdaq Stock Market LLC (“Nasdaq”) under the symbol “IMTX.” On March 25, 2025, the last reported sale price of our ordinary shares on Nasdaq was $4.68 per share.</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5"/>
          <w:szCs w:val="15"/>
          <w:b w:val="1"/>
          <w:bCs w:val="1"/>
          <w:color w:val="auto"/>
        </w:rPr>
        <w:t>Investing in our securities involves a high degree of risk. See the “Risk Factors” section beginning on page S-6 of this prospectus supplement and any risk factors in our Securities and Exchange Commission (“SEC”) filings that are incorporated by reference in this prospectus supplement.</w:t>
      </w:r>
    </w:p>
    <w:p>
      <w:pPr>
        <w:spacing w:after="0" w:line="102" w:lineRule="exact"/>
        <w:rPr>
          <w:sz w:val="20"/>
          <w:szCs w:val="20"/>
          <w:color w:val="auto"/>
        </w:rPr>
      </w:pPr>
    </w:p>
    <w:p>
      <w:pPr>
        <w:ind w:right="260"/>
        <w:spacing w:after="0" w:line="287"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Leerink Partners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400" w:type="dxa"/>
            <w:vAlign w:val="bottom"/>
          </w:tcPr>
          <w:p>
            <w:pPr>
              <w:ind w:left="4140"/>
              <w:spacing w:after="0"/>
              <w:rPr>
                <w:sz w:val="20"/>
                <w:szCs w:val="20"/>
                <w:color w:val="auto"/>
              </w:rPr>
            </w:pPr>
            <w:r>
              <w:rPr>
                <w:rFonts w:ascii="Arial" w:cs="Arial" w:eastAsia="Arial" w:hAnsi="Arial"/>
                <w:sz w:val="15"/>
                <w:szCs w:val="15"/>
                <w:color w:val="auto"/>
              </w:rPr>
              <w:t>Prospectus supplement dated</w:t>
            </w:r>
          </w:p>
        </w:tc>
        <w:tc>
          <w:tcPr>
            <w:tcW w:w="4860" w:type="dxa"/>
            <w:vAlign w:val="bottom"/>
          </w:tcPr>
          <w:p>
            <w:pPr>
              <w:jc w:val="right"/>
              <w:ind w:right="4064"/>
              <w:spacing w:after="0"/>
              <w:rPr>
                <w:sz w:val="20"/>
                <w:szCs w:val="20"/>
                <w:color w:val="auto"/>
              </w:rPr>
            </w:pPr>
            <w:r>
              <w:rPr>
                <w:rFonts w:ascii="Arial" w:cs="Arial" w:eastAsia="Arial" w:hAnsi="Arial"/>
                <w:sz w:val="15"/>
                <w:szCs w:val="15"/>
                <w:color w:val="auto"/>
              </w:rPr>
              <w:t>, 2025.</w:t>
            </w:r>
          </w:p>
        </w:tc>
      </w:tr>
      <w:tr>
        <w:trPr>
          <w:trHeight w:val="420"/>
        </w:trPr>
        <w:tc>
          <w:tcPr>
            <w:tcW w:w="640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479" w:right="319"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140" w:type="dxa"/>
            <w:vAlign w:val="bottom"/>
            <w:gridSpan w:val="2"/>
          </w:tcPr>
          <w:p>
            <w:pPr>
              <w:ind w:left="1260"/>
              <w:spacing w:after="0"/>
              <w:rPr>
                <w:sz w:val="20"/>
                <w:szCs w:val="20"/>
                <w:color w:val="auto"/>
              </w:rPr>
            </w:pPr>
            <w:r>
              <w:rPr>
                <w:rFonts w:ascii="Arial" w:cs="Arial" w:eastAsia="Arial" w:hAnsi="Arial"/>
                <w:sz w:val="15"/>
                <w:szCs w:val="15"/>
                <w:b w:val="1"/>
                <w:bCs w:val="1"/>
                <w:color w:val="auto"/>
              </w:rPr>
              <w:t>TABLE OF CONTENTS</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310"/>
        </w:trPr>
        <w:tc>
          <w:tcPr>
            <w:tcW w:w="3080" w:type="dxa"/>
            <w:vAlign w:val="bottom"/>
            <w:tcBorders>
              <w:bottom w:val="single" w:sz="8" w:color="0000EE"/>
            </w:tcBorders>
            <w:gridSpan w:val="8"/>
          </w:tcPr>
          <w:p>
            <w:pPr>
              <w:spacing w:after="0"/>
              <w:rPr>
                <w:sz w:val="20"/>
                <w:szCs w:val="20"/>
                <w:color w:val="auto"/>
              </w:rPr>
            </w:pPr>
            <w:r>
              <w:rPr>
                <w:rFonts w:ascii="Arial" w:cs="Arial" w:eastAsia="Arial" w:hAnsi="Arial"/>
                <w:sz w:val="15"/>
                <w:szCs w:val="15"/>
                <w:color w:val="0000EE"/>
              </w:rPr>
              <w:t>ABOUT THIS PROSPECTUS SUPPLEMENT</w:t>
            </w:r>
          </w:p>
        </w:tc>
        <w:tc>
          <w:tcPr>
            <w:tcW w:w="5600" w:type="dxa"/>
            <w:vAlign w:val="bottom"/>
            <w:gridSpan w:val="4"/>
          </w:tcPr>
          <w:p>
            <w:pPr>
              <w:spacing w:after="0"/>
              <w:rPr>
                <w:sz w:val="24"/>
                <w:szCs w:val="24"/>
                <w:color w:val="auto"/>
              </w:rPr>
            </w:pPr>
          </w:p>
        </w:tc>
        <w:tc>
          <w:tcPr>
            <w:tcW w:w="2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94"/>
              </w:rPr>
              <w:t>S-1</w:t>
            </w:r>
          </w:p>
        </w:tc>
      </w:tr>
      <w:tr>
        <w:trPr>
          <w:trHeight w:val="174"/>
        </w:trPr>
        <w:tc>
          <w:tcPr>
            <w:tcW w:w="2940" w:type="dxa"/>
            <w:vAlign w:val="bottom"/>
            <w:tcBorders>
              <w:bottom w:val="single" w:sz="8" w:color="0000EE"/>
            </w:tcBorders>
            <w:gridSpan w:val="7"/>
          </w:tcPr>
          <w:p>
            <w:pPr>
              <w:spacing w:after="0"/>
              <w:rPr>
                <w:sz w:val="20"/>
                <w:szCs w:val="20"/>
                <w:color w:val="auto"/>
              </w:rPr>
            </w:pPr>
            <w:r>
              <w:rPr>
                <w:rFonts w:ascii="Arial" w:cs="Arial" w:eastAsia="Arial" w:hAnsi="Arial"/>
                <w:sz w:val="15"/>
                <w:szCs w:val="15"/>
                <w:color w:val="0000EE"/>
              </w:rPr>
              <w:t>PROSPECTUS SUPPLEMENT SUMMARY</w:t>
            </w:r>
          </w:p>
        </w:tc>
        <w:tc>
          <w:tcPr>
            <w:tcW w:w="5740" w:type="dxa"/>
            <w:vAlign w:val="bottom"/>
            <w:gridSpan w:val="5"/>
          </w:tcPr>
          <w:p>
            <w:pPr>
              <w:spacing w:after="0"/>
              <w:rPr>
                <w:sz w:val="15"/>
                <w:szCs w:val="15"/>
                <w:color w:val="auto"/>
              </w:rPr>
            </w:pPr>
          </w:p>
        </w:tc>
        <w:tc>
          <w:tcPr>
            <w:tcW w:w="2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94"/>
              </w:rPr>
              <w:t>S-3</w:t>
            </w:r>
          </w:p>
        </w:tc>
      </w:tr>
      <w:tr>
        <w:trPr>
          <w:trHeight w:val="174"/>
        </w:trPr>
        <w:tc>
          <w:tcPr>
            <w:tcW w:w="8680" w:type="dxa"/>
            <w:vAlign w:val="bottom"/>
            <w:gridSpan w:val="12"/>
          </w:tcPr>
          <w:p>
            <w:pPr>
              <w:spacing w:after="0"/>
              <w:rPr>
                <w:sz w:val="20"/>
                <w:szCs w:val="20"/>
                <w:color w:val="auto"/>
              </w:rPr>
            </w:pPr>
            <w:r>
              <w:rPr>
                <w:rFonts w:ascii="Arial" w:cs="Arial" w:eastAsia="Arial" w:hAnsi="Arial"/>
                <w:sz w:val="15"/>
                <w:szCs w:val="15"/>
                <w:color w:val="0000EE"/>
              </w:rPr>
              <w:t>THE OFFERING</w:t>
            </w:r>
          </w:p>
        </w:tc>
        <w:tc>
          <w:tcPr>
            <w:tcW w:w="2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5"/>
                <w:szCs w:val="15"/>
                <w:color w:val="0000EE"/>
                <w:w w:val="94"/>
              </w:rPr>
              <w:t>S-5</w:t>
            </w:r>
          </w:p>
        </w:tc>
      </w:tr>
      <w:tr>
        <w:trPr>
          <w:trHeight w:val="174"/>
        </w:trPr>
        <w:tc>
          <w:tcPr>
            <w:tcW w:w="1120" w:type="dxa"/>
            <w:vAlign w:val="bottom"/>
            <w:tcBorders>
              <w:top w:val="single" w:sz="8" w:color="0000EE"/>
            </w:tcBorders>
            <w:gridSpan w:val="3"/>
          </w:tcPr>
          <w:p>
            <w:pPr>
              <w:spacing w:after="0"/>
              <w:rPr>
                <w:sz w:val="20"/>
                <w:szCs w:val="20"/>
                <w:color w:val="auto"/>
              </w:rPr>
            </w:pPr>
            <w:r>
              <w:rPr>
                <w:rFonts w:ascii="Arial" w:cs="Arial" w:eastAsia="Arial" w:hAnsi="Arial"/>
                <w:sz w:val="15"/>
                <w:szCs w:val="15"/>
                <w:color w:val="0000EE"/>
                <w:w w:val="99"/>
              </w:rPr>
              <w:t>RISK FACTORS</w:t>
            </w:r>
          </w:p>
        </w:tc>
        <w:tc>
          <w:tcPr>
            <w:tcW w:w="7560" w:type="dxa"/>
            <w:vAlign w:val="bottom"/>
            <w:gridSpan w:val="9"/>
          </w:tcPr>
          <w:p>
            <w:pPr>
              <w:spacing w:after="0"/>
              <w:rPr>
                <w:sz w:val="15"/>
                <w:szCs w:val="15"/>
                <w:color w:val="auto"/>
              </w:rPr>
            </w:pPr>
          </w:p>
        </w:tc>
        <w:tc>
          <w:tcPr>
            <w:tcW w:w="2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top w:val="single" w:sz="8" w:color="0000EE"/>
            </w:tcBorders>
          </w:tcPr>
          <w:p>
            <w:pPr>
              <w:jc w:val="right"/>
              <w:spacing w:after="0"/>
              <w:rPr>
                <w:sz w:val="20"/>
                <w:szCs w:val="20"/>
                <w:color w:val="auto"/>
              </w:rPr>
            </w:pPr>
            <w:r>
              <w:rPr>
                <w:rFonts w:ascii="Arial" w:cs="Arial" w:eastAsia="Arial" w:hAnsi="Arial"/>
                <w:sz w:val="15"/>
                <w:szCs w:val="15"/>
                <w:color w:val="0000EE"/>
                <w:w w:val="94"/>
              </w:rPr>
              <w:t>S-6</w:t>
            </w:r>
          </w:p>
        </w:tc>
      </w:tr>
      <w:tr>
        <w:trPr>
          <w:trHeight w:val="20"/>
        </w:trPr>
        <w:tc>
          <w:tcPr>
            <w:tcW w:w="7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74"/>
        </w:trPr>
        <w:tc>
          <w:tcPr>
            <w:tcW w:w="8680" w:type="dxa"/>
            <w:vAlign w:val="bottom"/>
            <w:gridSpan w:val="12"/>
          </w:tcPr>
          <w:p>
            <w:pPr>
              <w:spacing w:after="0"/>
              <w:rPr>
                <w:sz w:val="20"/>
                <w:szCs w:val="20"/>
                <w:color w:val="auto"/>
              </w:rPr>
            </w:pPr>
            <w:r>
              <w:rPr>
                <w:rFonts w:ascii="Arial" w:cs="Arial" w:eastAsia="Arial" w:hAnsi="Arial"/>
                <w:sz w:val="15"/>
                <w:szCs w:val="15"/>
                <w:color w:val="0000EE"/>
              </w:rPr>
              <w:t>CAUTIONARY STATEMENT REGARDING FORWARD-LOOKING STATEMENTS</w:t>
            </w:r>
          </w:p>
        </w:tc>
        <w:tc>
          <w:tcPr>
            <w:tcW w:w="2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5"/>
                <w:szCs w:val="15"/>
                <w:color w:val="0000EE"/>
                <w:w w:val="94"/>
              </w:rPr>
              <w:t>S-8</w:t>
            </w:r>
          </w:p>
        </w:tc>
      </w:tr>
      <w:tr>
        <w:trPr>
          <w:trHeight w:val="174"/>
        </w:trPr>
        <w:tc>
          <w:tcPr>
            <w:tcW w:w="146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5"/>
                <w:szCs w:val="15"/>
                <w:color w:val="0000EE"/>
                <w:w w:val="99"/>
              </w:rPr>
              <w:t>USE OF PROCEEDS</w:t>
            </w:r>
          </w:p>
        </w:tc>
        <w:tc>
          <w:tcPr>
            <w:tcW w:w="4040" w:type="dxa"/>
            <w:vAlign w:val="bottom"/>
            <w:tcBorders>
              <w:top w:val="single" w:sz="8" w:color="0000EE"/>
            </w:tcBorders>
            <w:gridSpan w:val="6"/>
          </w:tcPr>
          <w:p>
            <w:pPr>
              <w:spacing w:after="0"/>
              <w:rPr>
                <w:sz w:val="15"/>
                <w:szCs w:val="15"/>
                <w:color w:val="auto"/>
              </w:rPr>
            </w:pPr>
          </w:p>
        </w:tc>
        <w:tc>
          <w:tcPr>
            <w:tcW w:w="31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top w:val="single" w:sz="8" w:color="0000EE"/>
              <w:bottom w:val="single" w:sz="8" w:color="0000EE"/>
            </w:tcBorders>
          </w:tcPr>
          <w:p>
            <w:pPr>
              <w:jc w:val="right"/>
              <w:spacing w:after="0"/>
              <w:rPr>
                <w:sz w:val="20"/>
                <w:szCs w:val="20"/>
                <w:color w:val="auto"/>
              </w:rPr>
            </w:pPr>
            <w:r>
              <w:rPr>
                <w:rFonts w:ascii="Arial" w:cs="Arial" w:eastAsia="Arial" w:hAnsi="Arial"/>
                <w:sz w:val="15"/>
                <w:szCs w:val="15"/>
                <w:color w:val="0000EE"/>
                <w:w w:val="94"/>
              </w:rPr>
              <w:t>S-9</w:t>
            </w:r>
          </w:p>
        </w:tc>
      </w:tr>
      <w:tr>
        <w:trPr>
          <w:trHeight w:val="174"/>
        </w:trPr>
        <w:tc>
          <w:tcPr>
            <w:tcW w:w="700" w:type="dxa"/>
            <w:vAlign w:val="bottom"/>
          </w:tcPr>
          <w:p>
            <w:pPr>
              <w:spacing w:after="0"/>
              <w:rPr>
                <w:sz w:val="20"/>
                <w:szCs w:val="20"/>
                <w:color w:val="auto"/>
              </w:rPr>
            </w:pPr>
            <w:r>
              <w:rPr>
                <w:rFonts w:ascii="Arial" w:cs="Arial" w:eastAsia="Arial" w:hAnsi="Arial"/>
                <w:sz w:val="15"/>
                <w:szCs w:val="15"/>
                <w:color w:val="0000EE"/>
                <w:w w:val="87"/>
              </w:rPr>
              <w:t>TAXATION</w:t>
            </w:r>
          </w:p>
        </w:tc>
        <w:tc>
          <w:tcPr>
            <w:tcW w:w="7980" w:type="dxa"/>
            <w:vAlign w:val="bottom"/>
            <w:gridSpan w:val="11"/>
          </w:tcPr>
          <w:p>
            <w:pPr>
              <w:spacing w:after="0"/>
              <w:rPr>
                <w:sz w:val="15"/>
                <w:szCs w:val="15"/>
                <w:color w:val="auto"/>
              </w:rPr>
            </w:pPr>
          </w:p>
        </w:tc>
        <w:tc>
          <w:tcPr>
            <w:tcW w:w="2580" w:type="dxa"/>
            <w:vAlign w:val="bottom"/>
            <w:gridSpan w:val="3"/>
          </w:tcPr>
          <w:p>
            <w:pPr>
              <w:jc w:val="right"/>
              <w:spacing w:after="0"/>
              <w:rPr>
                <w:sz w:val="20"/>
                <w:szCs w:val="20"/>
                <w:color w:val="auto"/>
              </w:rPr>
            </w:pPr>
            <w:r>
              <w:rPr>
                <w:rFonts w:ascii="Arial" w:cs="Arial" w:eastAsia="Arial" w:hAnsi="Arial"/>
                <w:sz w:val="15"/>
                <w:szCs w:val="15"/>
                <w:color w:val="0000EE"/>
              </w:rPr>
              <w:t>S-10</w:t>
            </w:r>
          </w:p>
        </w:tc>
      </w:tr>
      <w:tr>
        <w:trPr>
          <w:trHeight w:val="20"/>
        </w:trPr>
        <w:tc>
          <w:tcPr>
            <w:tcW w:w="70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r>
      <w:tr>
        <w:trPr>
          <w:trHeight w:val="174"/>
        </w:trPr>
        <w:tc>
          <w:tcPr>
            <w:tcW w:w="1760" w:type="dxa"/>
            <w:vAlign w:val="bottom"/>
            <w:gridSpan w:val="6"/>
          </w:tcPr>
          <w:p>
            <w:pPr>
              <w:spacing w:after="0"/>
              <w:rPr>
                <w:sz w:val="20"/>
                <w:szCs w:val="20"/>
                <w:color w:val="auto"/>
              </w:rPr>
            </w:pPr>
            <w:r>
              <w:rPr>
                <w:rFonts w:ascii="Arial" w:cs="Arial" w:eastAsia="Arial" w:hAnsi="Arial"/>
                <w:sz w:val="15"/>
                <w:szCs w:val="15"/>
                <w:color w:val="0000EE"/>
                <w:w w:val="99"/>
              </w:rPr>
              <w:t>PLAN OF DISTRIBUTION</w:t>
            </w:r>
          </w:p>
        </w:tc>
        <w:tc>
          <w:tcPr>
            <w:tcW w:w="6920" w:type="dxa"/>
            <w:vAlign w:val="bottom"/>
            <w:gridSpan w:val="6"/>
          </w:tcPr>
          <w:p>
            <w:pPr>
              <w:spacing w:after="0"/>
              <w:rPr>
                <w:sz w:val="15"/>
                <w:szCs w:val="15"/>
                <w:color w:val="auto"/>
              </w:rPr>
            </w:pPr>
          </w:p>
        </w:tc>
        <w:tc>
          <w:tcPr>
            <w:tcW w:w="2580" w:type="dxa"/>
            <w:vAlign w:val="bottom"/>
            <w:gridSpan w:val="3"/>
          </w:tcPr>
          <w:p>
            <w:pPr>
              <w:jc w:val="right"/>
              <w:spacing w:after="0"/>
              <w:rPr>
                <w:sz w:val="20"/>
                <w:szCs w:val="20"/>
                <w:color w:val="auto"/>
              </w:rPr>
            </w:pPr>
            <w:r>
              <w:rPr>
                <w:rFonts w:ascii="Arial" w:cs="Arial" w:eastAsia="Arial" w:hAnsi="Arial"/>
                <w:sz w:val="15"/>
                <w:szCs w:val="15"/>
                <w:color w:val="0000EE"/>
              </w:rPr>
              <w:t>S-30</w:t>
            </w:r>
          </w:p>
        </w:tc>
      </w:tr>
      <w:tr>
        <w:trPr>
          <w:trHeight w:val="20"/>
        </w:trPr>
        <w:tc>
          <w:tcPr>
            <w:tcW w:w="70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r>
      <w:tr>
        <w:trPr>
          <w:trHeight w:val="174"/>
        </w:trPr>
        <w:tc>
          <w:tcPr>
            <w:tcW w:w="1760" w:type="dxa"/>
            <w:vAlign w:val="bottom"/>
            <w:gridSpan w:val="6"/>
          </w:tcPr>
          <w:p>
            <w:pPr>
              <w:spacing w:after="0"/>
              <w:rPr>
                <w:sz w:val="20"/>
                <w:szCs w:val="20"/>
                <w:color w:val="auto"/>
              </w:rPr>
            </w:pPr>
            <w:r>
              <w:rPr>
                <w:rFonts w:ascii="Arial" w:cs="Arial" w:eastAsia="Arial" w:hAnsi="Arial"/>
                <w:sz w:val="15"/>
                <w:szCs w:val="15"/>
                <w:color w:val="0000EE"/>
              </w:rPr>
              <w:t>LEGAL MATTERS</w:t>
            </w:r>
          </w:p>
        </w:tc>
        <w:tc>
          <w:tcPr>
            <w:tcW w:w="6920" w:type="dxa"/>
            <w:vAlign w:val="bottom"/>
            <w:gridSpan w:val="6"/>
          </w:tcPr>
          <w:p>
            <w:pPr>
              <w:spacing w:after="0"/>
              <w:rPr>
                <w:sz w:val="15"/>
                <w:szCs w:val="15"/>
                <w:color w:val="auto"/>
              </w:rPr>
            </w:pPr>
          </w:p>
        </w:tc>
        <w:tc>
          <w:tcPr>
            <w:tcW w:w="2580" w:type="dxa"/>
            <w:vAlign w:val="bottom"/>
            <w:gridSpan w:val="3"/>
          </w:tcPr>
          <w:p>
            <w:pPr>
              <w:jc w:val="right"/>
              <w:spacing w:after="0"/>
              <w:rPr>
                <w:sz w:val="20"/>
                <w:szCs w:val="20"/>
                <w:color w:val="auto"/>
              </w:rPr>
            </w:pPr>
            <w:r>
              <w:rPr>
                <w:rFonts w:ascii="Arial" w:cs="Arial" w:eastAsia="Arial" w:hAnsi="Arial"/>
                <w:sz w:val="15"/>
                <w:szCs w:val="15"/>
                <w:color w:val="0000EE"/>
              </w:rPr>
              <w:t>S-32</w:t>
            </w:r>
          </w:p>
        </w:tc>
      </w:tr>
      <w:tr>
        <w:trPr>
          <w:trHeight w:val="20"/>
        </w:trPr>
        <w:tc>
          <w:tcPr>
            <w:tcW w:w="70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r>
      <w:tr>
        <w:trPr>
          <w:trHeight w:val="174"/>
        </w:trPr>
        <w:tc>
          <w:tcPr>
            <w:tcW w:w="700" w:type="dxa"/>
            <w:vAlign w:val="bottom"/>
          </w:tcPr>
          <w:p>
            <w:pPr>
              <w:spacing w:after="0"/>
              <w:rPr>
                <w:sz w:val="20"/>
                <w:szCs w:val="20"/>
                <w:color w:val="auto"/>
              </w:rPr>
            </w:pPr>
            <w:r>
              <w:rPr>
                <w:rFonts w:ascii="Arial" w:cs="Arial" w:eastAsia="Arial" w:hAnsi="Arial"/>
                <w:sz w:val="15"/>
                <w:szCs w:val="15"/>
                <w:color w:val="0000EE"/>
                <w:w w:val="94"/>
              </w:rPr>
              <w:t>EXPERTS</w:t>
            </w:r>
          </w:p>
        </w:tc>
        <w:tc>
          <w:tcPr>
            <w:tcW w:w="540" w:type="dxa"/>
            <w:vAlign w:val="bottom"/>
            <w:gridSpan w:val="3"/>
          </w:tcPr>
          <w:p>
            <w:pPr>
              <w:spacing w:after="0"/>
              <w:rPr>
                <w:sz w:val="15"/>
                <w:szCs w:val="15"/>
                <w:color w:val="auto"/>
              </w:rPr>
            </w:pPr>
          </w:p>
        </w:tc>
        <w:tc>
          <w:tcPr>
            <w:tcW w:w="7440" w:type="dxa"/>
            <w:vAlign w:val="bottom"/>
            <w:gridSpan w:val="8"/>
          </w:tcPr>
          <w:p>
            <w:pPr>
              <w:spacing w:after="0"/>
              <w:rPr>
                <w:sz w:val="15"/>
                <w:szCs w:val="15"/>
                <w:color w:val="auto"/>
              </w:rPr>
            </w:pPr>
          </w:p>
        </w:tc>
        <w:tc>
          <w:tcPr>
            <w:tcW w:w="2580" w:type="dxa"/>
            <w:vAlign w:val="bottom"/>
            <w:gridSpan w:val="3"/>
          </w:tcPr>
          <w:p>
            <w:pPr>
              <w:jc w:val="right"/>
              <w:spacing w:after="0"/>
              <w:rPr>
                <w:sz w:val="20"/>
                <w:szCs w:val="20"/>
                <w:color w:val="auto"/>
              </w:rPr>
            </w:pPr>
            <w:r>
              <w:rPr>
                <w:rFonts w:ascii="Arial" w:cs="Arial" w:eastAsia="Arial" w:hAnsi="Arial"/>
                <w:sz w:val="15"/>
                <w:szCs w:val="15"/>
                <w:color w:val="0000EE"/>
              </w:rPr>
              <w:t>S-32</w:t>
            </w:r>
          </w:p>
        </w:tc>
      </w:tr>
      <w:tr>
        <w:trPr>
          <w:trHeight w:val="20"/>
        </w:trPr>
        <w:tc>
          <w:tcPr>
            <w:tcW w:w="700" w:type="dxa"/>
            <w:vAlign w:val="bottom"/>
            <w:shd w:val="clear" w:color="auto" w:fill="0000EE"/>
          </w:tcPr>
          <w:p>
            <w:pPr>
              <w:spacing w:after="0" w:line="20" w:lineRule="exact"/>
              <w:rPr>
                <w:sz w:val="1"/>
                <w:szCs w:val="1"/>
                <w:color w:val="auto"/>
              </w:rPr>
            </w:pPr>
          </w:p>
        </w:tc>
        <w:tc>
          <w:tcPr>
            <w:tcW w:w="2580" w:type="dxa"/>
            <w:vAlign w:val="bottom"/>
            <w:gridSpan w:val="8"/>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r>
      <w:tr>
        <w:trPr>
          <w:trHeight w:val="174"/>
        </w:trPr>
        <w:tc>
          <w:tcPr>
            <w:tcW w:w="8680" w:type="dxa"/>
            <w:vAlign w:val="bottom"/>
            <w:gridSpan w:val="12"/>
          </w:tcPr>
          <w:p>
            <w:pPr>
              <w:spacing w:after="0"/>
              <w:rPr>
                <w:sz w:val="20"/>
                <w:szCs w:val="20"/>
                <w:color w:val="auto"/>
              </w:rPr>
            </w:pPr>
            <w:r>
              <w:rPr>
                <w:rFonts w:ascii="Arial" w:cs="Arial" w:eastAsia="Arial" w:hAnsi="Arial"/>
                <w:sz w:val="15"/>
                <w:szCs w:val="15"/>
                <w:color w:val="0000EE"/>
              </w:rPr>
              <w:t>WHERE YOU CAN FIND MORE INFORMATION</w:t>
            </w:r>
          </w:p>
        </w:tc>
        <w:tc>
          <w:tcPr>
            <w:tcW w:w="2580" w:type="dxa"/>
            <w:vAlign w:val="bottom"/>
            <w:gridSpan w:val="3"/>
          </w:tcPr>
          <w:p>
            <w:pPr>
              <w:jc w:val="right"/>
              <w:spacing w:after="0"/>
              <w:rPr>
                <w:sz w:val="20"/>
                <w:szCs w:val="20"/>
                <w:color w:val="auto"/>
              </w:rPr>
            </w:pPr>
            <w:r>
              <w:rPr>
                <w:rFonts w:ascii="Arial" w:cs="Arial" w:eastAsia="Arial" w:hAnsi="Arial"/>
                <w:sz w:val="15"/>
                <w:szCs w:val="15"/>
                <w:color w:val="0000EE"/>
              </w:rPr>
              <w:t>S-33</w:t>
            </w:r>
          </w:p>
        </w:tc>
      </w:tr>
      <w:tr>
        <w:trPr>
          <w:trHeight w:val="20"/>
        </w:trPr>
        <w:tc>
          <w:tcPr>
            <w:tcW w:w="3280" w:type="dxa"/>
            <w:vAlign w:val="bottom"/>
            <w:gridSpan w:val="9"/>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r>
      <w:tr>
        <w:trPr>
          <w:trHeight w:val="174"/>
        </w:trPr>
        <w:tc>
          <w:tcPr>
            <w:tcW w:w="3540" w:type="dxa"/>
            <w:vAlign w:val="bottom"/>
            <w:gridSpan w:val="10"/>
          </w:tcPr>
          <w:p>
            <w:pPr>
              <w:spacing w:after="0"/>
              <w:rPr>
                <w:sz w:val="20"/>
                <w:szCs w:val="20"/>
                <w:color w:val="auto"/>
              </w:rPr>
            </w:pPr>
            <w:r>
              <w:rPr>
                <w:rFonts w:ascii="Arial" w:cs="Arial" w:eastAsia="Arial" w:hAnsi="Arial"/>
                <w:sz w:val="15"/>
                <w:szCs w:val="15"/>
                <w:color w:val="0000EE"/>
              </w:rPr>
              <w:t>INFORMATION INCORPORATED BY REFERENCE</w:t>
            </w:r>
          </w:p>
        </w:tc>
        <w:tc>
          <w:tcPr>
            <w:tcW w:w="5140" w:type="dxa"/>
            <w:vAlign w:val="bottom"/>
            <w:gridSpan w:val="2"/>
          </w:tcPr>
          <w:p>
            <w:pPr>
              <w:spacing w:after="0"/>
              <w:rPr>
                <w:sz w:val="15"/>
                <w:szCs w:val="15"/>
                <w:color w:val="auto"/>
              </w:rPr>
            </w:pPr>
          </w:p>
        </w:tc>
        <w:tc>
          <w:tcPr>
            <w:tcW w:w="2580" w:type="dxa"/>
            <w:vAlign w:val="bottom"/>
            <w:gridSpan w:val="3"/>
          </w:tcPr>
          <w:p>
            <w:pPr>
              <w:jc w:val="right"/>
              <w:spacing w:after="0"/>
              <w:rPr>
                <w:sz w:val="20"/>
                <w:szCs w:val="20"/>
                <w:color w:val="auto"/>
              </w:rPr>
            </w:pPr>
            <w:r>
              <w:rPr>
                <w:rFonts w:ascii="Arial" w:cs="Arial" w:eastAsia="Arial" w:hAnsi="Arial"/>
                <w:sz w:val="15"/>
                <w:szCs w:val="15"/>
                <w:color w:val="0000EE"/>
              </w:rPr>
              <w:t>S-34</w:t>
            </w:r>
          </w:p>
        </w:tc>
      </w:tr>
      <w:tr>
        <w:trPr>
          <w:trHeight w:val="20"/>
        </w:trPr>
        <w:tc>
          <w:tcPr>
            <w:tcW w:w="7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bl>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60"/>
          </w:cols>
          <w:pgMar w:left="320" w:top="479" w:right="319" w:bottom="1440" w:gutter="0" w:footer="0" w:header="0"/>
        </w:sectPr>
      </w:pPr>
    </w:p>
    <w:bookmarkStart w:id="38" w:name="page39"/>
    <w:bookmarkEnd w:id="38"/>
    <w:p>
      <w:pPr>
        <w:ind w:left="20"/>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ABOUT THIS PROSPECTUS SUPPLEMENT</w:t>
      </w:r>
    </w:p>
    <w:p>
      <w:pPr>
        <w:spacing w:after="0" w:line="170" w:lineRule="exact"/>
        <w:rPr>
          <w:sz w:val="20"/>
          <w:szCs w:val="20"/>
          <w:color w:val="auto"/>
        </w:rPr>
      </w:pPr>
    </w:p>
    <w:p>
      <w:pPr>
        <w:ind w:right="200"/>
        <w:spacing w:after="0" w:line="247" w:lineRule="auto"/>
        <w:rPr>
          <w:sz w:val="20"/>
          <w:szCs w:val="20"/>
          <w:color w:val="auto"/>
        </w:rPr>
      </w:pPr>
      <w:r>
        <w:rPr>
          <w:rFonts w:ascii="Arial" w:cs="Arial" w:eastAsia="Arial" w:hAnsi="Arial"/>
          <w:sz w:val="15"/>
          <w:szCs w:val="15"/>
          <w:color w:val="auto"/>
        </w:rPr>
        <w:t>This document consists of two parts. The first part is this prospectus supplement, which describes the specific terms of this offering. The second part is the accompanying prospectus, which is part of a registration statement that we filed with the SEC using a “shelf” registration process. The accompanying prospectus describes the general terms of the securities that may be offered pursuant to the accompanying prospectus and the general manner in which those securities will be offered, some of which may not apply to this offering. This prospectus supplement and the information incorporated by reference in this prospectus supplement supplements, updates and amends the information contained in the accompanying prospectus.</w:t>
      </w:r>
    </w:p>
    <w:p>
      <w:pPr>
        <w:spacing w:after="0" w:line="141" w:lineRule="exact"/>
        <w:rPr>
          <w:sz w:val="20"/>
          <w:szCs w:val="20"/>
          <w:color w:val="auto"/>
        </w:rPr>
      </w:pPr>
    </w:p>
    <w:p>
      <w:pPr>
        <w:ind w:right="60"/>
        <w:spacing w:after="0" w:line="247" w:lineRule="auto"/>
        <w:rPr>
          <w:sz w:val="20"/>
          <w:szCs w:val="20"/>
          <w:color w:val="auto"/>
        </w:rPr>
      </w:pPr>
      <w:r>
        <w:rPr>
          <w:rFonts w:ascii="Arial" w:cs="Arial" w:eastAsia="Arial" w:hAnsi="Arial"/>
          <w:sz w:val="15"/>
          <w:szCs w:val="15"/>
          <w:color w:val="auto"/>
        </w:rPr>
        <w:t>Before buying any of the securities offered by this prospectus supplement, you should carefully read both this prospectus supplement and the accompanying prospectus, together with all of the information incorporated by reference in this prospectus supplement, as well as the additional information described under the heading “Where You Can Find More Information” and “Information Incorporated by Reference.” These documents contain important information that you should consider when making your investment decision. We have filed or incorporated by reference exhibits to the registration statement of which this prospectus supplement forms a part. You should read the exhibits carefully for provisions that may be important to you.</w:t>
      </w:r>
    </w:p>
    <w:p>
      <w:pPr>
        <w:spacing w:after="0" w:line="141" w:lineRule="exact"/>
        <w:rPr>
          <w:sz w:val="20"/>
          <w:szCs w:val="20"/>
          <w:color w:val="auto"/>
        </w:rPr>
      </w:pPr>
    </w:p>
    <w:p>
      <w:pPr>
        <w:ind w:right="20"/>
        <w:spacing w:after="0" w:line="251" w:lineRule="auto"/>
        <w:rPr>
          <w:sz w:val="20"/>
          <w:szCs w:val="20"/>
          <w:color w:val="auto"/>
        </w:rPr>
      </w:pPr>
      <w:r>
        <w:rPr>
          <w:rFonts w:ascii="Arial" w:cs="Arial" w:eastAsia="Arial" w:hAnsi="Arial"/>
          <w:sz w:val="15"/>
          <w:szCs w:val="15"/>
          <w:color w:val="auto"/>
        </w:rPr>
        <w:t>To the extent there is a conflict between the information contained in this prospectus supplement, on the one hand, and the information contained in the accompanying prospectus or in any document incorporated by reference in this prospectus supplement, on the other hand, you should rely on the information in this prospectus supplement, provided that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w:t>
      </w:r>
    </w:p>
    <w:p>
      <w:pPr>
        <w:spacing w:after="0" w:line="135" w:lineRule="exact"/>
        <w:rPr>
          <w:sz w:val="20"/>
          <w:szCs w:val="20"/>
          <w:color w:val="auto"/>
        </w:rPr>
      </w:pPr>
    </w:p>
    <w:p>
      <w:pPr>
        <w:ind w:right="140"/>
        <w:spacing w:after="0" w:line="251" w:lineRule="auto"/>
        <w:rPr>
          <w:sz w:val="20"/>
          <w:szCs w:val="20"/>
          <w:color w:val="auto"/>
        </w:rPr>
      </w:pPr>
      <w:r>
        <w:rPr>
          <w:rFonts w:ascii="Arial" w:cs="Arial" w:eastAsia="Arial" w:hAnsi="Arial"/>
          <w:sz w:val="15"/>
          <w:szCs w:val="15"/>
          <w:color w:val="auto"/>
        </w:rPr>
        <w:t>The information contained in this prospectus supplement, the accompanying prospectus or any document incorporated by reference in this prospectus supplement is accurate only as of their respective dates, regardless of the time of delivery of this prospectus supplement, the accompanying prospectus or the documents incorporated by reference in this prospectus supplement or in the accompanying prospectus or the sale of any securities. Our business, financial condition, results of operations and prospects may have changed materially since those dates.</w:t>
      </w:r>
    </w:p>
    <w:p>
      <w:pPr>
        <w:spacing w:after="0" w:line="135" w:lineRule="exact"/>
        <w:rPr>
          <w:sz w:val="20"/>
          <w:szCs w:val="20"/>
          <w:color w:val="auto"/>
        </w:rPr>
      </w:pPr>
    </w:p>
    <w:p>
      <w:pPr>
        <w:ind w:right="160"/>
        <w:spacing w:after="0" w:line="247" w:lineRule="auto"/>
        <w:rPr>
          <w:sz w:val="20"/>
          <w:szCs w:val="20"/>
          <w:color w:val="auto"/>
        </w:rPr>
      </w:pPr>
      <w:r>
        <w:rPr>
          <w:rFonts w:ascii="Arial" w:cs="Arial" w:eastAsia="Arial" w:hAnsi="Arial"/>
          <w:sz w:val="15"/>
          <w:szCs w:val="15"/>
          <w:color w:val="auto"/>
        </w:rPr>
        <w:t>Neither we nor the sales agent have authorized anyone to provide you with information that is different from that contained or incorporated by reference in this prospectus supplement, the accompanying prospectus, or any free writing prospectus we may authorize to be delivered or made available to you. Neither we nor the sales agent take responsibility for, or provide assurance as to the reliability of, any other information that others may give you. 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w:t>
      </w:r>
    </w:p>
    <w:p>
      <w:pPr>
        <w:spacing w:after="0" w:line="141" w:lineRule="exact"/>
        <w:rPr>
          <w:sz w:val="20"/>
          <w:szCs w:val="20"/>
          <w:color w:val="auto"/>
        </w:rPr>
      </w:pPr>
    </w:p>
    <w:p>
      <w:pPr>
        <w:ind w:right="120"/>
        <w:spacing w:after="0" w:line="251" w:lineRule="auto"/>
        <w:rPr>
          <w:sz w:val="20"/>
          <w:szCs w:val="20"/>
          <w:color w:val="auto"/>
        </w:rPr>
      </w:pPr>
      <w:r>
        <w:rPr>
          <w:rFonts w:ascii="Arial" w:cs="Arial" w:eastAsia="Arial" w:hAnsi="Arial"/>
          <w:sz w:val="15"/>
          <w:szCs w:val="15"/>
          <w:color w:val="auto"/>
        </w:rPr>
        <w:t>For investors outside the United States: Neither we nor the sales agent have taken any action that would permit the offering or possession or distribution of this prospectus supplement in any jurisdiction where action for that purpose is required, other than in the United States. Persons outside the United States who come into possession of this prospectus supplement must inform themselves about, and observe any restrictions relating to, the offering of the securities described herein and the distribution of this prospectus supplement outside the United States.</w:t>
      </w:r>
    </w:p>
    <w:p>
      <w:pPr>
        <w:spacing w:after="0" w:line="135" w:lineRule="exact"/>
        <w:rPr>
          <w:sz w:val="20"/>
          <w:szCs w:val="20"/>
          <w:color w:val="auto"/>
        </w:rPr>
      </w:pPr>
    </w:p>
    <w:p>
      <w:pPr>
        <w:spacing w:after="0" w:line="251" w:lineRule="auto"/>
        <w:rPr>
          <w:sz w:val="20"/>
          <w:szCs w:val="20"/>
          <w:color w:val="auto"/>
        </w:rPr>
      </w:pPr>
      <w:r>
        <w:rPr>
          <w:rFonts w:ascii="Arial" w:cs="Arial" w:eastAsia="Arial" w:hAnsi="Arial"/>
          <w:sz w:val="15"/>
          <w:szCs w:val="15"/>
          <w:color w:val="auto"/>
        </w:rPr>
        <w:t>Unless otherwise indicated or the context otherwise requires, (i) all references to the “company,” “we,” “our” or “us” or similar terms refer to Immatics N.V., together with its subsidiaries, including Immatics Biotechnologies GmbH and Immatics US, Inc., and (ii) references to “Immatics” refer solely to Immatics N.V. Immatics N.V. is a Dutch public limited liability company (</w:t>
      </w:r>
      <w:r>
        <w:rPr>
          <w:rFonts w:ascii="Arial" w:cs="Arial" w:eastAsia="Arial" w:hAnsi="Arial"/>
          <w:sz w:val="15"/>
          <w:szCs w:val="15"/>
          <w:i w:val="1"/>
          <w:iCs w:val="1"/>
          <w:color w:val="auto"/>
        </w:rPr>
        <w:t>naamloze vennootschap</w:t>
      </w:r>
      <w:r>
        <w:rPr>
          <w:rFonts w:ascii="Arial" w:cs="Arial" w:eastAsia="Arial" w:hAnsi="Arial"/>
          <w:sz w:val="15"/>
          <w:szCs w:val="15"/>
          <w:color w:val="auto"/>
        </w:rPr>
        <w:t>) incorporated on March 10, 2020 and the holding company of Immatics Biotechnologies GmbH, a German biopharmaceutical company incorporated in 2000 focused on the development of T cell receptor-based</w:t>
      </w: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39" w:name="page40"/>
    <w:bookmarkEnd w:id="39"/>
    <w:p>
      <w:pPr>
        <w:ind w:left="20"/>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color w:val="auto"/>
        </w:rPr>
        <w:t>immunotherapies for the treatment of cancer. Immatics Biotechnologies GmbH holds all material assets and conducts all business activities and operations of Immatics N.V.</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Trademarks</w:t>
      </w:r>
    </w:p>
    <w:p>
      <w:pPr>
        <w:spacing w:after="0" w:line="172" w:lineRule="exact"/>
        <w:rPr>
          <w:sz w:val="20"/>
          <w:szCs w:val="20"/>
          <w:color w:val="auto"/>
        </w:rPr>
      </w:pPr>
    </w:p>
    <w:p>
      <w:pPr>
        <w:ind w:right="280"/>
        <w:spacing w:after="0" w:line="190" w:lineRule="auto"/>
        <w:rPr>
          <w:sz w:val="20"/>
          <w:szCs w:val="20"/>
          <w:color w:val="auto"/>
        </w:rPr>
      </w:pPr>
      <w:r>
        <w:rPr>
          <w:rFonts w:ascii="Arial" w:cs="Arial" w:eastAsia="Arial" w:hAnsi="Arial"/>
          <w:sz w:val="15"/>
          <w:szCs w:val="15"/>
          <w:color w:val="auto"/>
        </w:rPr>
        <w:t>We own various trademark registrations and applications, and unregistered trademarks, including Immatics</w:t>
      </w:r>
      <w:r>
        <w:rPr>
          <w:rFonts w:ascii="Arial" w:cs="Arial" w:eastAsia="Arial" w:hAnsi="Arial"/>
          <w:sz w:val="25"/>
          <w:szCs w:val="25"/>
          <w:color w:val="auto"/>
          <w:vertAlign w:val="superscript"/>
        </w:rPr>
        <w:t>®</w:t>
      </w:r>
      <w:r>
        <w:rPr>
          <w:rFonts w:ascii="Arial" w:cs="Arial" w:eastAsia="Arial" w:hAnsi="Arial"/>
          <w:sz w:val="15"/>
          <w:szCs w:val="15"/>
          <w:color w:val="auto"/>
        </w:rPr>
        <w:t>, XPRESIDENT</w:t>
      </w:r>
      <w:r>
        <w:rPr>
          <w:rFonts w:ascii="Arial" w:cs="Arial" w:eastAsia="Arial" w:hAnsi="Arial"/>
          <w:sz w:val="25"/>
          <w:szCs w:val="25"/>
          <w:color w:val="auto"/>
          <w:vertAlign w:val="superscript"/>
        </w:rPr>
        <w:t>®</w:t>
      </w:r>
      <w:r>
        <w:rPr>
          <w:rFonts w:ascii="Arial" w:cs="Arial" w:eastAsia="Arial" w:hAnsi="Arial"/>
          <w:sz w:val="15"/>
          <w:szCs w:val="15"/>
          <w:color w:val="auto"/>
        </w:rPr>
        <w:t>, ACTengine</w:t>
      </w:r>
      <w:r>
        <w:rPr>
          <w:rFonts w:ascii="Arial" w:cs="Arial" w:eastAsia="Arial" w:hAnsi="Arial"/>
          <w:sz w:val="25"/>
          <w:szCs w:val="25"/>
          <w:color w:val="auto"/>
          <w:vertAlign w:val="superscript"/>
        </w:rPr>
        <w:t>®</w:t>
      </w:r>
      <w:r>
        <w:rPr>
          <w:rFonts w:ascii="Arial" w:cs="Arial" w:eastAsia="Arial" w:hAnsi="Arial"/>
          <w:sz w:val="15"/>
          <w:szCs w:val="15"/>
          <w:color w:val="auto"/>
        </w:rPr>
        <w:t>, ACTallo</w:t>
      </w:r>
      <w:r>
        <w:rPr>
          <w:rFonts w:ascii="Arial" w:cs="Arial" w:eastAsia="Arial" w:hAnsi="Arial"/>
          <w:sz w:val="25"/>
          <w:szCs w:val="25"/>
          <w:color w:val="auto"/>
          <w:vertAlign w:val="superscript"/>
        </w:rPr>
        <w:t>®</w:t>
      </w:r>
      <w:r>
        <w:rPr>
          <w:rFonts w:ascii="Arial" w:cs="Arial" w:eastAsia="Arial" w:hAnsi="Arial"/>
          <w:sz w:val="15"/>
          <w:szCs w:val="15"/>
          <w:color w:val="auto"/>
        </w:rPr>
        <w:t>, ACTolog</w:t>
      </w:r>
      <w:r>
        <w:rPr>
          <w:rFonts w:ascii="Arial" w:cs="Arial" w:eastAsia="Arial" w:hAnsi="Arial"/>
          <w:sz w:val="25"/>
          <w:szCs w:val="25"/>
          <w:color w:val="auto"/>
          <w:vertAlign w:val="superscript"/>
        </w:rPr>
        <w:t>®</w:t>
      </w:r>
      <w:r>
        <w:rPr>
          <w:rFonts w:ascii="Arial" w:cs="Arial" w:eastAsia="Arial" w:hAnsi="Arial"/>
          <w:sz w:val="15"/>
          <w:szCs w:val="15"/>
          <w:color w:val="auto"/>
        </w:rPr>
        <w:t>, XCEPTOR</w:t>
      </w:r>
      <w:r>
        <w:rPr>
          <w:rFonts w:ascii="Arial" w:cs="Arial" w:eastAsia="Arial" w:hAnsi="Arial"/>
          <w:sz w:val="25"/>
          <w:szCs w:val="25"/>
          <w:color w:val="auto"/>
          <w:vertAlign w:val="superscript"/>
        </w:rPr>
        <w:t>®</w:t>
      </w:r>
      <w:r>
        <w:rPr>
          <w:rFonts w:ascii="Arial" w:cs="Arial" w:eastAsia="Arial" w:hAnsi="Arial"/>
          <w:sz w:val="15"/>
          <w:szCs w:val="15"/>
          <w:color w:val="auto"/>
        </w:rPr>
        <w:t>, TCER</w:t>
      </w:r>
      <w:r>
        <w:rPr>
          <w:rFonts w:ascii="Arial" w:cs="Arial" w:eastAsia="Arial" w:hAnsi="Arial"/>
          <w:sz w:val="25"/>
          <w:szCs w:val="25"/>
          <w:color w:val="auto"/>
          <w:vertAlign w:val="superscript"/>
        </w:rPr>
        <w:t>®</w:t>
      </w:r>
      <w:r>
        <w:rPr>
          <w:rFonts w:ascii="Arial" w:cs="Arial" w:eastAsia="Arial" w:hAnsi="Arial"/>
          <w:sz w:val="15"/>
          <w:szCs w:val="15"/>
          <w:color w:val="auto"/>
        </w:rPr>
        <w:t>, AbsQuant</w:t>
      </w:r>
      <w:r>
        <w:rPr>
          <w:rFonts w:ascii="Arial" w:cs="Arial" w:eastAsia="Arial" w:hAnsi="Arial"/>
          <w:sz w:val="25"/>
          <w:szCs w:val="25"/>
          <w:color w:val="auto"/>
          <w:vertAlign w:val="superscript"/>
        </w:rPr>
        <w:t>®</w:t>
      </w:r>
      <w:r>
        <w:rPr>
          <w:rFonts w:ascii="Arial" w:cs="Arial" w:eastAsia="Arial" w:hAnsi="Arial"/>
          <w:sz w:val="15"/>
          <w:szCs w:val="15"/>
          <w:color w:val="auto"/>
        </w:rPr>
        <w:t>, IMADetect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and our corporate logo. All other trade names, trademarks and service marks of other companies appearing in this prospectus supplement are the property of their respective owners. Solely for convenience, the trademarks and trade names in this prospectus supplement may be</w:t>
      </w:r>
    </w:p>
    <w:p>
      <w:pPr>
        <w:spacing w:after="0" w:line="3" w:lineRule="exact"/>
        <w:rPr>
          <w:sz w:val="20"/>
          <w:szCs w:val="20"/>
          <w:color w:val="auto"/>
        </w:rPr>
      </w:pPr>
    </w:p>
    <w:p>
      <w:pPr>
        <w:spacing w:after="0" w:line="213" w:lineRule="auto"/>
        <w:rPr>
          <w:sz w:val="20"/>
          <w:szCs w:val="20"/>
          <w:color w:val="auto"/>
        </w:rPr>
      </w:pPr>
      <w:r>
        <w:rPr>
          <w:rFonts w:ascii="Arial" w:cs="Arial" w:eastAsia="Arial" w:hAnsi="Arial"/>
          <w:sz w:val="15"/>
          <w:szCs w:val="15"/>
          <w:color w:val="auto"/>
        </w:rPr>
        <w:t xml:space="preserve">referred to without the </w:t>
      </w:r>
      <w:r>
        <w:rPr>
          <w:rFonts w:ascii="Arial" w:cs="Arial" w:eastAsia="Arial" w:hAnsi="Arial"/>
          <w:sz w:val="25"/>
          <w:szCs w:val="25"/>
          <w:color w:val="auto"/>
          <w:vertAlign w:val="superscript"/>
        </w:rPr>
        <w:t>®</w:t>
      </w:r>
      <w:r>
        <w:rPr>
          <w:rFonts w:ascii="Arial" w:cs="Arial" w:eastAsia="Arial" w:hAnsi="Arial"/>
          <w:sz w:val="15"/>
          <w:szCs w:val="15"/>
          <w:color w:val="auto"/>
        </w:rPr>
        <w:t xml:space="preserve"> and ™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Presentation of Financial Information</w:t>
      </w:r>
    </w:p>
    <w:p>
      <w:pPr>
        <w:spacing w:after="0" w:line="170" w:lineRule="exact"/>
        <w:rPr>
          <w:sz w:val="20"/>
          <w:szCs w:val="20"/>
          <w:color w:val="auto"/>
        </w:rPr>
      </w:pPr>
    </w:p>
    <w:p>
      <w:pPr>
        <w:ind w:right="20"/>
        <w:spacing w:after="0" w:line="244" w:lineRule="auto"/>
        <w:rPr>
          <w:sz w:val="20"/>
          <w:szCs w:val="20"/>
          <w:color w:val="auto"/>
        </w:rPr>
      </w:pPr>
      <w:r>
        <w:rPr>
          <w:rFonts w:ascii="Arial" w:cs="Arial" w:eastAsia="Arial" w:hAnsi="Arial"/>
          <w:sz w:val="15"/>
          <w:szCs w:val="15"/>
          <w:color w:val="auto"/>
        </w:rPr>
        <w:t>Our consolidated financial statements are presented in euros and have been prepared in accordance with International Financial Reporting Standards as issued by the International Accounting Standards Board (“IFRS”). None of the consolidated financial statements were prepared in accordance with generally accepted accounting principles in the United States (“U.S. GAAP”). The terms “dollar,” “USD” or “$” refer to the U.S. dollar and the term “euro,” “EUR” or “€” refer to the euro, unless otherwise indicated. The exchange rate used in this prospectus supplement for conversion between U.S. dollars and euros is based on the ECB euro reference exchange rate published by the European Central Bank, as of December 31, 2024, unless otherwise indicated. We have made rounding adjustments to some of the figures included in this prospectus supplement. Accordingly, any numerical discrepancies in any table between totals and sums of the amounts listed are due to rounding.</w:t>
      </w:r>
    </w:p>
    <w:p>
      <w:pPr>
        <w:spacing w:after="0" w:line="3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Market and Industry Data</w:t>
      </w:r>
    </w:p>
    <w:p>
      <w:pPr>
        <w:spacing w:after="0" w:line="170" w:lineRule="exact"/>
        <w:rPr>
          <w:sz w:val="20"/>
          <w:szCs w:val="20"/>
          <w:color w:val="auto"/>
        </w:rPr>
      </w:pPr>
    </w:p>
    <w:p>
      <w:pPr>
        <w:ind w:right="80"/>
        <w:spacing w:after="0" w:line="246" w:lineRule="auto"/>
        <w:rPr>
          <w:sz w:val="20"/>
          <w:szCs w:val="20"/>
          <w:color w:val="auto"/>
        </w:rPr>
      </w:pPr>
      <w:r>
        <w:rPr>
          <w:rFonts w:ascii="Arial" w:cs="Arial" w:eastAsia="Arial" w:hAnsi="Arial"/>
          <w:sz w:val="15"/>
          <w:szCs w:val="15"/>
          <w:color w:val="auto"/>
        </w:rPr>
        <w:t>This prospectus supplement contains industry, market and competitive position data that are based on general and industry publications, surveys and studies conducted by third parties, some of which may not be publicly available, and our own internal estimates and research. Third-party publications, surveys and studies generally state that they have obtained information from sources believed to be reliable, but do not guarantee the accuracy and completeness of such information. While we are not aware of any misstatements regarding such third-party publications, surveys and studies, industry, market and competitive position data involve risks and uncertainties and are subject to change based on various factors, including those identified in the “Risk Factors” section of this prospectus supplement and in the documents incorporated by reference in this prospectus supplement.</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40" w:name="page41"/>
    <w:bookmarkEnd w:id="40"/>
    <w:p>
      <w:pPr>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59690</wp:posOffset>
            </wp:positionV>
            <wp:extent cx="7158990" cy="4460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58990" cy="4460240"/>
                    </a:xfrm>
                    <a:prstGeom prst="rect">
                      <a:avLst/>
                    </a:prstGeom>
                    <a:noFill/>
                  </pic:spPr>
                </pic:pic>
              </a:graphicData>
            </a:graphic>
          </wp:anchor>
        </w:drawing>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PROSPECTUS SUPPLEMENT SUMMARY</w:t>
      </w:r>
    </w:p>
    <w:p>
      <w:pPr>
        <w:spacing w:after="0" w:line="170" w:lineRule="exact"/>
        <w:rPr>
          <w:sz w:val="20"/>
          <w:szCs w:val="20"/>
          <w:color w:val="auto"/>
        </w:rPr>
      </w:pPr>
    </w:p>
    <w:p>
      <w:pPr>
        <w:ind w:left="40" w:right="100"/>
        <w:spacing w:after="0" w:line="257" w:lineRule="auto"/>
        <w:rPr>
          <w:sz w:val="20"/>
          <w:szCs w:val="20"/>
          <w:color w:val="auto"/>
        </w:rPr>
      </w:pPr>
      <w:r>
        <w:rPr>
          <w:rFonts w:ascii="Arial" w:cs="Arial" w:eastAsia="Arial" w:hAnsi="Arial"/>
          <w:sz w:val="15"/>
          <w:szCs w:val="15"/>
          <w:i w:val="1"/>
          <w:iCs w:val="1"/>
          <w:color w:val="auto"/>
        </w:rPr>
        <w:t>This summary highlights information contained elsewhere in this prospectus supplement or incorporated by reference in this prospectus supplement. This summary may not contain all the information that may be important to you, and we urge you to read this entire prospectus supplement and the documents incorporated by reference in this prospectus supplement carefully before deciding to invest in our securities.</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Our Company</w:t>
      </w:r>
    </w:p>
    <w:p>
      <w:pPr>
        <w:spacing w:after="0" w:line="170" w:lineRule="exact"/>
        <w:rPr>
          <w:sz w:val="20"/>
          <w:szCs w:val="20"/>
          <w:color w:val="auto"/>
        </w:rPr>
      </w:pPr>
    </w:p>
    <w:p>
      <w:pPr>
        <w:ind w:left="40" w:right="40"/>
        <w:spacing w:after="0" w:line="251" w:lineRule="auto"/>
        <w:rPr>
          <w:sz w:val="20"/>
          <w:szCs w:val="20"/>
          <w:color w:val="auto"/>
        </w:rPr>
      </w:pPr>
      <w:r>
        <w:rPr>
          <w:rFonts w:ascii="Arial" w:cs="Arial" w:eastAsia="Arial" w:hAnsi="Arial"/>
          <w:sz w:val="15"/>
          <w:szCs w:val="15"/>
          <w:color w:val="auto"/>
        </w:rPr>
        <w:t>We are a clinical-stage biotechnology company dedicated to the development of T cell receptor (“TCR”)- based immunotherapies for patients with solid tumors and high unmet medical needs. Our mission is to deliver a meaningful impact on the lives of these patients by producing novel TCR-based immunotherapies that provide tangible clinical benefits. We strive to become an industry-leading, fully integrated global biopharmaceutical company engaged in developing, manufacturing and commercializing TCR-based immunotherapies for the benefit of cancer patients, our shareholders, our employees and our partners.</w:t>
      </w:r>
    </w:p>
    <w:p>
      <w:pPr>
        <w:spacing w:after="0" w:line="135" w:lineRule="exact"/>
        <w:rPr>
          <w:sz w:val="20"/>
          <w:szCs w:val="20"/>
          <w:color w:val="auto"/>
        </w:rPr>
      </w:pPr>
    </w:p>
    <w:p>
      <w:pPr>
        <w:ind w:left="40" w:right="40"/>
        <w:spacing w:after="0" w:line="247" w:lineRule="auto"/>
        <w:rPr>
          <w:sz w:val="20"/>
          <w:szCs w:val="20"/>
          <w:color w:val="auto"/>
        </w:rPr>
      </w:pPr>
      <w:r>
        <w:rPr>
          <w:rFonts w:ascii="Arial" w:cs="Arial" w:eastAsia="Arial" w:hAnsi="Arial"/>
          <w:sz w:val="15"/>
          <w:szCs w:val="15"/>
          <w:color w:val="auto"/>
        </w:rPr>
        <w:t xml:space="preserve">By utilizing TCR-based therapeutics, we are able to direct T cells to intracellular cancer targets that are </w:t>
      </w:r>
      <w:r>
        <w:rPr>
          <w:rFonts w:ascii="Arial" w:cs="Arial" w:eastAsia="Arial" w:hAnsi="Arial"/>
          <w:sz w:val="15"/>
          <w:szCs w:val="15"/>
          <w:i w:val="1"/>
          <w:iCs w:val="1"/>
          <w:color w:val="auto"/>
        </w:rPr>
        <w:t>not</w:t>
      </w:r>
      <w:r>
        <w:rPr>
          <w:rFonts w:ascii="Arial" w:cs="Arial" w:eastAsia="Arial" w:hAnsi="Arial"/>
          <w:sz w:val="15"/>
          <w:szCs w:val="15"/>
          <w:color w:val="auto"/>
        </w:rPr>
        <w:t xml:space="preserve"> accessible through classical antibody-based or CAR-T therapies. We believe that by identifying what we call </w:t>
      </w:r>
      <w:r>
        <w:rPr>
          <w:rFonts w:ascii="Arial" w:cs="Arial" w:eastAsia="Arial" w:hAnsi="Arial"/>
          <w:sz w:val="15"/>
          <w:szCs w:val="15"/>
          <w:i w:val="1"/>
          <w:iCs w:val="1"/>
          <w:color w:val="auto"/>
        </w:rPr>
        <w:t>true</w:t>
      </w:r>
      <w:r>
        <w:rPr>
          <w:rFonts w:ascii="Arial" w:cs="Arial" w:eastAsia="Arial" w:hAnsi="Arial"/>
          <w:sz w:val="15"/>
          <w:szCs w:val="15"/>
          <w:color w:val="auto"/>
        </w:rPr>
        <w:t xml:space="preserve"> cancer targets and the </w:t>
      </w:r>
      <w:r>
        <w:rPr>
          <w:rFonts w:ascii="Arial" w:cs="Arial" w:eastAsia="Arial" w:hAnsi="Arial"/>
          <w:sz w:val="15"/>
          <w:szCs w:val="15"/>
          <w:i w:val="1"/>
          <w:iCs w:val="1"/>
          <w:color w:val="auto"/>
        </w:rPr>
        <w:t>right</w:t>
      </w:r>
      <w:r>
        <w:rPr>
          <w:rFonts w:ascii="Arial" w:cs="Arial" w:eastAsia="Arial" w:hAnsi="Arial"/>
          <w:sz w:val="15"/>
          <w:szCs w:val="15"/>
          <w:color w:val="auto"/>
        </w:rPr>
        <w:t xml:space="preserve"> TCRs, we are well positioned to transform current treatment paradigms. We develop product candidates in two therapeutic modalities: autologous TCR-engineered adoptive T cell therapies, also called TCR-T (“ACTengine”), and antibody-like TCR Bispecifics, also called T Cell Engaging Receptors (“TCER”). Each modality is designed with distinct attributes and mechanisms of action to produce the desired therapeutic effect for the targeted cancer patient populations.</w:t>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Company and Corporate Information</w:t>
      </w:r>
    </w:p>
    <w:p>
      <w:pPr>
        <w:spacing w:after="0" w:line="170" w:lineRule="exact"/>
        <w:rPr>
          <w:sz w:val="20"/>
          <w:szCs w:val="20"/>
          <w:color w:val="auto"/>
        </w:rPr>
      </w:pPr>
    </w:p>
    <w:p>
      <w:pPr>
        <w:ind w:left="40"/>
        <w:spacing w:after="0" w:line="247" w:lineRule="auto"/>
        <w:rPr>
          <w:sz w:val="20"/>
          <w:szCs w:val="20"/>
          <w:color w:val="auto"/>
        </w:rPr>
      </w:pPr>
      <w:r>
        <w:rPr>
          <w:rFonts w:ascii="Arial" w:cs="Arial" w:eastAsia="Arial" w:hAnsi="Arial"/>
          <w:sz w:val="15"/>
          <w:szCs w:val="15"/>
          <w:color w:val="auto"/>
        </w:rPr>
        <w:t>We were incorporated as a Dutch private limited liability company (</w:t>
      </w:r>
      <w:r>
        <w:rPr>
          <w:rFonts w:ascii="Arial" w:cs="Arial" w:eastAsia="Arial" w:hAnsi="Arial"/>
          <w:sz w:val="15"/>
          <w:szCs w:val="15"/>
          <w:i w:val="1"/>
          <w:iCs w:val="1"/>
          <w:color w:val="auto"/>
        </w:rPr>
        <w:t>besloten vennootschap met beperkte aansprakelijkheid</w:t>
      </w:r>
      <w:r>
        <w:rPr>
          <w:rFonts w:ascii="Arial" w:cs="Arial" w:eastAsia="Arial" w:hAnsi="Arial"/>
          <w:sz w:val="15"/>
          <w:szCs w:val="15"/>
          <w:color w:val="auto"/>
        </w:rPr>
        <w:t>) under the name Immatics B.V. on March 10, 2020 solely for the purpose of effectuating the business combination (the “Business Combination”) between us, ARYA Sciences Acquisition Corp., a Cayman Islands exempted company, Immatics Biotechnologies GmbH, a German limited liability company, Immatics Merger Sub 1, a Cayman Islands exempted company, and Immatics Merger Sub 2, a Cayman Islands exempted company. Upon the closing of the Business Combination on July 1, 2020, we converted into a Dutch public limited liability company (</w:t>
      </w:r>
      <w:r>
        <w:rPr>
          <w:rFonts w:ascii="Arial" w:cs="Arial" w:eastAsia="Arial" w:hAnsi="Arial"/>
          <w:sz w:val="15"/>
          <w:szCs w:val="15"/>
          <w:i w:val="1"/>
          <w:iCs w:val="1"/>
          <w:color w:val="auto"/>
        </w:rPr>
        <w:t>naamloze vennootschap</w:t>
      </w:r>
      <w:r>
        <w:rPr>
          <w:rFonts w:ascii="Arial" w:cs="Arial" w:eastAsia="Arial" w:hAnsi="Arial"/>
          <w:sz w:val="15"/>
          <w:szCs w:val="15"/>
          <w:color w:val="auto"/>
        </w:rPr>
        <w:t>) and changed our name to Immatics N.V.</w:t>
      </w:r>
    </w:p>
    <w:p>
      <w:pPr>
        <w:spacing w:after="0" w:line="141" w:lineRule="exact"/>
        <w:rPr>
          <w:sz w:val="20"/>
          <w:szCs w:val="20"/>
          <w:color w:val="auto"/>
        </w:rPr>
      </w:pPr>
    </w:p>
    <w:p>
      <w:pPr>
        <w:ind w:left="40" w:right="240"/>
        <w:spacing w:after="0" w:line="247" w:lineRule="auto"/>
        <w:rPr>
          <w:sz w:val="20"/>
          <w:szCs w:val="20"/>
          <w:color w:val="auto"/>
        </w:rPr>
      </w:pPr>
      <w:r>
        <w:rPr>
          <w:rFonts w:ascii="Arial" w:cs="Arial" w:eastAsia="Arial" w:hAnsi="Arial"/>
          <w:sz w:val="15"/>
          <w:szCs w:val="15"/>
          <w:color w:val="auto"/>
        </w:rPr>
        <w:t>We are registered in the Commercial Register of the Chamber of Commerce (</w:t>
      </w:r>
      <w:r>
        <w:rPr>
          <w:rFonts w:ascii="Arial" w:cs="Arial" w:eastAsia="Arial" w:hAnsi="Arial"/>
          <w:sz w:val="15"/>
          <w:szCs w:val="15"/>
          <w:i w:val="1"/>
          <w:iCs w:val="1"/>
          <w:color w:val="auto"/>
        </w:rPr>
        <w:t>Kamer van Koophandel</w:t>
      </w:r>
      <w:r>
        <w:rPr>
          <w:rFonts w:ascii="Arial" w:cs="Arial" w:eastAsia="Arial" w:hAnsi="Arial"/>
          <w:sz w:val="15"/>
          <w:szCs w:val="15"/>
          <w:color w:val="auto"/>
        </w:rPr>
        <w:t xml:space="preserve">) in the Netherlands under number 77595726. We have our corporate seat in Amsterdam, the Netherlands and our registered office is at Paul-Ehrlich-Straße 15, 72076 Tübingen, Federal Republic of Germany, and our telephone number is +49 (7071) 5397-0. Our executive office in the United States is located at Immatics US, Inc., 13203 Murphy Rd., Suite 100, Stafford, Texas 77477 and our telephone number is +1 (346) 204-5400. Our website is </w:t>
      </w:r>
      <w:r>
        <w:rPr>
          <w:rFonts w:ascii="Arial" w:cs="Arial" w:eastAsia="Arial" w:hAnsi="Arial"/>
          <w:sz w:val="15"/>
          <w:szCs w:val="15"/>
          <w:i w:val="1"/>
          <w:iCs w:val="1"/>
          <w:color w:val="auto"/>
        </w:rPr>
        <w:t>www.immatics.com</w:t>
      </w:r>
      <w:r>
        <w:rPr>
          <w:rFonts w:ascii="Arial" w:cs="Arial" w:eastAsia="Arial" w:hAnsi="Arial"/>
          <w:sz w:val="15"/>
          <w:szCs w:val="15"/>
          <w:color w:val="auto"/>
        </w:rPr>
        <w:t>. The reference to our website is an inactive textual reference only, and information contained therein or connected thereto is not incorporated into this prospectus supplement or the registration statement of which it forms a part.</w:t>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Implications of Being a Foreign Private Issuer</w:t>
      </w:r>
    </w:p>
    <w:p>
      <w:pPr>
        <w:spacing w:after="0" w:line="170" w:lineRule="exact"/>
        <w:rPr>
          <w:sz w:val="20"/>
          <w:szCs w:val="20"/>
          <w:color w:val="auto"/>
        </w:rPr>
      </w:pPr>
    </w:p>
    <w:p>
      <w:pPr>
        <w:jc w:val="both"/>
        <w:ind w:left="40" w:right="280"/>
        <w:spacing w:after="0" w:line="257" w:lineRule="auto"/>
        <w:rPr>
          <w:sz w:val="20"/>
          <w:szCs w:val="20"/>
          <w:color w:val="auto"/>
        </w:rPr>
      </w:pPr>
      <w:r>
        <w:rPr>
          <w:rFonts w:ascii="Arial" w:cs="Arial" w:eastAsia="Arial" w:hAnsi="Arial"/>
          <w:sz w:val="15"/>
          <w:szCs w:val="15"/>
          <w:color w:val="auto"/>
        </w:rPr>
        <w:t>We are a “foreign private issuer.” Accordingly, we report under the Exchange Act of 1934, as amended (the “Exchange Act”), as a non-U.S. company with foreign private issuer status. This means that, as long as we qualify as a foreign private issuer under the Exchange Act, we will be exempt from certain provisions of the Exchange Act that are applicable to U.S. domestic public companies, including:</w:t>
      </w:r>
    </w:p>
    <w:p>
      <w:pPr>
        <w:spacing w:after="0" w:line="131" w:lineRule="exact"/>
        <w:rPr>
          <w:sz w:val="20"/>
          <w:szCs w:val="20"/>
          <w:color w:val="auto"/>
        </w:rPr>
      </w:pPr>
    </w:p>
    <w:p>
      <w:pPr>
        <w:jc w:val="center"/>
        <w:ind w:left="5480" w:right="40" w:hanging="5158"/>
        <w:spacing w:after="0" w:line="752" w:lineRule="auto"/>
        <w:tabs>
          <w:tab w:leader="none" w:pos="590" w:val="left"/>
        </w:tabs>
        <w:numPr>
          <w:ilvl w:val="0"/>
          <w:numId w:val="23"/>
        </w:numPr>
        <w:rPr>
          <w:rFonts w:ascii="Times New Roman" w:cs="Times New Roman" w:eastAsia="Times New Roman" w:hAnsi="Times New Roman"/>
          <w:sz w:val="15"/>
          <w:szCs w:val="15"/>
          <w:color w:val="auto"/>
        </w:rPr>
      </w:pPr>
      <w:r>
        <w:rPr>
          <w:rFonts w:ascii="Arial" w:cs="Arial" w:eastAsia="Arial" w:hAnsi="Arial"/>
          <w:sz w:val="15"/>
          <w:szCs w:val="15"/>
          <w:color w:val="auto"/>
        </w:rPr>
        <w:t>the sections of the Exchange Act regulating the solicitation of proxies, consents or authorizations in respect of a security registered under the Exchange Act; 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-234950</wp:posOffset>
            </wp:positionV>
            <wp:extent cx="715327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140"/>
          </w:cols>
          <w:pgMar w:left="340" w:top="223" w:right="419" w:bottom="1440" w:gutter="0" w:footer="0" w:header="0"/>
        </w:sectPr>
      </w:pPr>
    </w:p>
    <w:bookmarkStart w:id="41" w:name="page42"/>
    <w:bookmarkEnd w:id="41"/>
    <w:p>
      <w:pPr>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59690</wp:posOffset>
            </wp:positionV>
            <wp:extent cx="7158990" cy="17322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58990" cy="1732280"/>
                    </a:xfrm>
                    <a:prstGeom prst="rect">
                      <a:avLst/>
                    </a:prstGeom>
                    <a:noFill/>
                  </pic:spPr>
                </pic:pic>
              </a:graphicData>
            </a:graphic>
          </wp:anchor>
        </w:drawing>
      </w:r>
    </w:p>
    <w:p>
      <w:pPr>
        <w:spacing w:after="0" w:line="144" w:lineRule="exact"/>
        <w:rPr>
          <w:sz w:val="20"/>
          <w:szCs w:val="20"/>
          <w:color w:val="auto"/>
        </w:rPr>
      </w:pPr>
    </w:p>
    <w:p>
      <w:pPr>
        <w:ind w:left="600" w:hanging="278"/>
        <w:spacing w:after="0" w:line="275" w:lineRule="auto"/>
        <w:tabs>
          <w:tab w:leader="none" w:pos="600" w:val="left"/>
        </w:tabs>
        <w:numPr>
          <w:ilvl w:val="0"/>
          <w:numId w:val="24"/>
        </w:numPr>
        <w:rPr>
          <w:rFonts w:ascii="Times New Roman" w:cs="Times New Roman" w:eastAsia="Times New Roman" w:hAnsi="Times New Roman"/>
          <w:sz w:val="15"/>
          <w:szCs w:val="15"/>
          <w:color w:val="auto"/>
        </w:rPr>
      </w:pPr>
      <w:r>
        <w:rPr>
          <w:rFonts w:ascii="Arial" w:cs="Arial" w:eastAsia="Arial" w:hAnsi="Arial"/>
          <w:sz w:val="15"/>
          <w:szCs w:val="15"/>
          <w:color w:val="auto"/>
        </w:rPr>
        <w:t>the sections of the Exchange Act requiring insiders to file public reports of their stock ownership and trading activities and liability for insiders who profit from trades made in a short period of time; and</w:t>
      </w:r>
    </w:p>
    <w:p>
      <w:pPr>
        <w:spacing w:after="0" w:line="118" w:lineRule="exact"/>
        <w:rPr>
          <w:rFonts w:ascii="Times New Roman" w:cs="Times New Roman" w:eastAsia="Times New Roman" w:hAnsi="Times New Roman"/>
          <w:sz w:val="15"/>
          <w:szCs w:val="15"/>
          <w:color w:val="auto"/>
        </w:rPr>
      </w:pPr>
    </w:p>
    <w:p>
      <w:pPr>
        <w:ind w:left="600" w:right="380" w:hanging="278"/>
        <w:spacing w:after="0" w:line="275" w:lineRule="auto"/>
        <w:tabs>
          <w:tab w:leader="none" w:pos="600" w:val="left"/>
        </w:tabs>
        <w:numPr>
          <w:ilvl w:val="0"/>
          <w:numId w:val="24"/>
        </w:numPr>
        <w:rPr>
          <w:rFonts w:ascii="Times New Roman" w:cs="Times New Roman" w:eastAsia="Times New Roman" w:hAnsi="Times New Roman"/>
          <w:sz w:val="15"/>
          <w:szCs w:val="15"/>
          <w:color w:val="auto"/>
        </w:rPr>
      </w:pPr>
      <w:r>
        <w:rPr>
          <w:rFonts w:ascii="Arial" w:cs="Arial" w:eastAsia="Arial" w:hAnsi="Arial"/>
          <w:sz w:val="15"/>
          <w:szCs w:val="15"/>
          <w:color w:val="auto"/>
        </w:rPr>
        <w:t>the rules under the Exchange Act requiring the filing with the SEC of quarterly reports on Form 10-Q containing unaudited financial and other specified information, or current reports on Form 8-K upon the occurrence of specified significant events.</w:t>
      </w:r>
    </w:p>
    <w:p>
      <w:pPr>
        <w:spacing w:after="0" w:line="118" w:lineRule="exact"/>
        <w:rPr>
          <w:sz w:val="20"/>
          <w:szCs w:val="20"/>
          <w:color w:val="auto"/>
        </w:rPr>
      </w:pPr>
    </w:p>
    <w:p>
      <w:pPr>
        <w:ind w:left="40"/>
        <w:spacing w:after="0" w:line="251" w:lineRule="auto"/>
        <w:rPr>
          <w:sz w:val="20"/>
          <w:szCs w:val="20"/>
          <w:color w:val="auto"/>
        </w:rPr>
      </w:pPr>
      <w:r>
        <w:rPr>
          <w:rFonts w:ascii="Arial" w:cs="Arial" w:eastAsia="Arial" w:hAnsi="Arial"/>
          <w:sz w:val="15"/>
          <w:szCs w:val="15"/>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w:t>
      </w:r>
    </w:p>
    <w:p>
      <w:pPr>
        <w:spacing w:after="0" w:line="135" w:lineRule="exact"/>
        <w:rPr>
          <w:sz w:val="20"/>
          <w:szCs w:val="20"/>
          <w:color w:val="auto"/>
        </w:rPr>
      </w:pPr>
    </w:p>
    <w:p>
      <w:pPr>
        <w:ind w:left="40" w:right="180"/>
        <w:spacing w:after="0" w:line="251" w:lineRule="auto"/>
        <w:rPr>
          <w:sz w:val="20"/>
          <w:szCs w:val="20"/>
          <w:color w:val="auto"/>
        </w:rPr>
      </w:pPr>
      <w:r>
        <w:rPr>
          <w:rFonts w:ascii="Arial" w:cs="Arial" w:eastAsia="Arial" w:hAnsi="Arial"/>
          <w:sz w:val="15"/>
          <w:szCs w:val="15"/>
          <w:color w:val="auto"/>
        </w:rPr>
        <w:t>In this prospectus supplement and in the documents incorporated by reference in this prospectus supplement, we have taken advantage of certain of the reduced reporting requirements as a result of being a foreign private issuer. Accordingly, the information contained in this prospectus supplement and in the documents incorporated by reference in this prospectus supplement may be different than the information you receive from other public companies in which you hold equity securities.</w:t>
      </w:r>
    </w:p>
    <w:p>
      <w:pPr>
        <w:spacing w:after="0" w:line="295"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15875</wp:posOffset>
            </wp:positionV>
            <wp:extent cx="715327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080"/>
          </w:cols>
          <w:pgMar w:left="340" w:top="223" w:right="479" w:bottom="1440" w:gutter="0" w:footer="0" w:header="0"/>
        </w:sectPr>
      </w:pPr>
    </w:p>
    <w:bookmarkStart w:id="42" w:name="page43"/>
    <w:bookmarkEnd w:id="42"/>
    <w:p>
      <w:pPr>
        <w:ind w:left="40"/>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59690</wp:posOffset>
            </wp:positionV>
            <wp:extent cx="7158990" cy="2167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58990" cy="2167255"/>
                    </a:xfrm>
                    <a:prstGeom prst="rect">
                      <a:avLst/>
                    </a:prstGeom>
                    <a:noFill/>
                  </pic:spPr>
                </pic:pic>
              </a:graphicData>
            </a:graphic>
          </wp:anchor>
        </w:drawing>
      </w:r>
    </w:p>
    <w:p>
      <w:pPr>
        <w:sectPr>
          <w:pgSz w:w="11900" w:h="16838" w:orient="portrait"/>
          <w:cols w:equalWidth="0" w:num="1">
            <w:col w:w="11280"/>
          </w:cols>
          <w:pgMar w:left="300" w:top="223" w:right="31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ind w:left="80"/>
        <w:spacing w:after="0"/>
        <w:rPr>
          <w:sz w:val="20"/>
          <w:szCs w:val="20"/>
          <w:color w:val="auto"/>
        </w:rPr>
      </w:pPr>
      <w:r>
        <w:rPr>
          <w:rFonts w:ascii="Arial" w:cs="Arial" w:eastAsia="Arial" w:hAnsi="Arial"/>
          <w:sz w:val="15"/>
          <w:szCs w:val="15"/>
          <w:color w:val="auto"/>
        </w:rPr>
        <w:t>Ordinary shares offered by us</w:t>
      </w:r>
    </w:p>
    <w:p>
      <w:pPr>
        <w:spacing w:after="0" w:line="170" w:lineRule="exact"/>
        <w:rPr>
          <w:sz w:val="20"/>
          <w:szCs w:val="20"/>
          <w:color w:val="auto"/>
        </w:rPr>
      </w:pPr>
    </w:p>
    <w:p>
      <w:pPr>
        <w:ind w:left="80"/>
        <w:spacing w:after="0"/>
        <w:rPr>
          <w:sz w:val="20"/>
          <w:szCs w:val="20"/>
          <w:color w:val="auto"/>
        </w:rPr>
      </w:pPr>
      <w:r>
        <w:rPr>
          <w:rFonts w:ascii="Arial" w:cs="Arial" w:eastAsia="Arial" w:hAnsi="Arial"/>
          <w:sz w:val="15"/>
          <w:szCs w:val="15"/>
          <w:color w:val="auto"/>
        </w:rPr>
        <w:t>Manner of offering</w:t>
      </w:r>
    </w:p>
    <w:p>
      <w:pPr>
        <w:spacing w:after="0" w:line="342" w:lineRule="exact"/>
        <w:rPr>
          <w:sz w:val="20"/>
          <w:szCs w:val="20"/>
          <w:color w:val="auto"/>
        </w:rPr>
      </w:pPr>
    </w:p>
    <w:p>
      <w:pPr>
        <w:ind w:left="8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OFFERING</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5"/>
          <w:szCs w:val="15"/>
          <w:color w:val="auto"/>
        </w:rPr>
        <w:t>Ordinary shares having an aggregate offering price of up to $150,000,000.</w:t>
      </w:r>
    </w:p>
    <w:p>
      <w:pPr>
        <w:spacing w:after="0" w:line="170" w:lineRule="exact"/>
        <w:rPr>
          <w:sz w:val="20"/>
          <w:szCs w:val="20"/>
          <w:color w:val="auto"/>
        </w:rPr>
      </w:pPr>
    </w:p>
    <w:p>
      <w:pPr>
        <w:jc w:val="both"/>
        <w:ind w:left="680" w:right="300"/>
        <w:spacing w:after="0" w:line="276" w:lineRule="auto"/>
        <w:rPr>
          <w:sz w:val="20"/>
          <w:szCs w:val="20"/>
          <w:color w:val="auto"/>
        </w:rPr>
      </w:pPr>
      <w:r>
        <w:rPr>
          <w:rFonts w:ascii="Arial" w:cs="Arial" w:eastAsia="Arial" w:hAnsi="Arial"/>
          <w:sz w:val="15"/>
          <w:szCs w:val="15"/>
          <w:color w:val="auto"/>
        </w:rPr>
        <w:t>“At the market offering” that may be made from time to time through the sales agent. See “Plan of Distribution” on page S-30 of this prospectus supplement.</w:t>
      </w:r>
    </w:p>
    <w:p>
      <w:pPr>
        <w:spacing w:after="0" w:line="117" w:lineRule="exact"/>
        <w:rPr>
          <w:sz w:val="20"/>
          <w:szCs w:val="20"/>
          <w:color w:val="auto"/>
        </w:rPr>
      </w:pPr>
    </w:p>
    <w:p>
      <w:pPr>
        <w:ind w:left="680" w:right="100"/>
        <w:spacing w:after="0" w:line="251" w:lineRule="auto"/>
        <w:rPr>
          <w:sz w:val="20"/>
          <w:szCs w:val="20"/>
          <w:color w:val="auto"/>
        </w:rPr>
      </w:pPr>
      <w:r>
        <w:rPr>
          <w:rFonts w:ascii="Arial" w:cs="Arial" w:eastAsia="Arial" w:hAnsi="Arial"/>
          <w:sz w:val="15"/>
          <w:szCs w:val="15"/>
          <w:color w:val="auto"/>
        </w:rPr>
        <w:t>We intend to use the net proceeds from this offering, if any, to fund the continued research and development of our pipeline, the manufacturing, production and, if approved, commercialization of our product candidates and for working capital and other general corporate purposes. See “Use of Proceeds.”</w:t>
      </w:r>
    </w:p>
    <w:p>
      <w:pPr>
        <w:spacing w:after="0" w:line="134" w:lineRule="exact"/>
        <w:rPr>
          <w:sz w:val="20"/>
          <w:szCs w:val="20"/>
          <w:color w:val="auto"/>
        </w:rPr>
      </w:pPr>
    </w:p>
    <w:p>
      <w:pPr>
        <w:sectPr>
          <w:pgSz w:w="11900" w:h="16838" w:orient="portrait"/>
          <w:cols w:equalWidth="0" w:num="2">
            <w:col w:w="4360" w:space="720"/>
            <w:col w:w="6200"/>
          </w:cols>
          <w:pgMar w:left="300" w:top="223" w:right="31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320" w:type="dxa"/>
            <w:vAlign w:val="bottom"/>
          </w:tcPr>
          <w:p>
            <w:pPr>
              <w:ind w:left="60"/>
              <w:spacing w:after="0"/>
              <w:rPr>
                <w:sz w:val="20"/>
                <w:szCs w:val="20"/>
                <w:color w:val="auto"/>
              </w:rPr>
            </w:pPr>
            <w:r>
              <w:rPr>
                <w:rFonts w:ascii="Arial" w:cs="Arial" w:eastAsia="Arial" w:hAnsi="Arial"/>
                <w:sz w:val="15"/>
                <w:szCs w:val="15"/>
                <w:color w:val="auto"/>
              </w:rPr>
              <w:t>Risk factors</w:t>
            </w:r>
          </w:p>
        </w:tc>
        <w:tc>
          <w:tcPr>
            <w:tcW w:w="7940" w:type="dxa"/>
            <w:vAlign w:val="bottom"/>
          </w:tcPr>
          <w:p>
            <w:pPr>
              <w:ind w:left="2420"/>
              <w:spacing w:after="0"/>
              <w:rPr>
                <w:sz w:val="20"/>
                <w:szCs w:val="20"/>
                <w:color w:val="auto"/>
              </w:rPr>
            </w:pPr>
            <w:r>
              <w:rPr>
                <w:rFonts w:ascii="Arial" w:cs="Arial" w:eastAsia="Arial" w:hAnsi="Arial"/>
                <w:sz w:val="15"/>
                <w:szCs w:val="15"/>
                <w:color w:val="auto"/>
              </w:rPr>
              <w:t>Investing in our securities involves a high degree of risk. See the “Risk Factors”</w:t>
            </w: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7940" w:type="dxa"/>
            <w:vAlign w:val="bottom"/>
          </w:tcPr>
          <w:p>
            <w:pPr>
              <w:ind w:left="2420"/>
              <w:spacing w:after="0" w:line="172" w:lineRule="exact"/>
              <w:rPr>
                <w:sz w:val="20"/>
                <w:szCs w:val="20"/>
                <w:color w:val="auto"/>
              </w:rPr>
            </w:pPr>
            <w:r>
              <w:rPr>
                <w:rFonts w:ascii="Arial" w:cs="Arial" w:eastAsia="Arial" w:hAnsi="Arial"/>
                <w:sz w:val="15"/>
                <w:szCs w:val="15"/>
                <w:color w:val="auto"/>
              </w:rPr>
              <w:t>section beginning on page S-6 of this prospectus supplement and in the</w:t>
            </w: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7940" w:type="dxa"/>
            <w:vAlign w:val="bottom"/>
          </w:tcPr>
          <w:p>
            <w:pPr>
              <w:ind w:left="2420"/>
              <w:spacing w:after="0" w:line="172" w:lineRule="exact"/>
              <w:rPr>
                <w:sz w:val="20"/>
                <w:szCs w:val="20"/>
                <w:color w:val="auto"/>
              </w:rPr>
            </w:pPr>
            <w:r>
              <w:rPr>
                <w:rFonts w:ascii="Arial" w:cs="Arial" w:eastAsia="Arial" w:hAnsi="Arial"/>
                <w:sz w:val="15"/>
                <w:szCs w:val="15"/>
                <w:color w:val="auto"/>
              </w:rPr>
              <w:t>documents incorporated by reference in this prospectus supplement and the</w:t>
            </w: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7940" w:type="dxa"/>
            <w:vAlign w:val="bottom"/>
          </w:tcPr>
          <w:p>
            <w:pPr>
              <w:ind w:left="2420"/>
              <w:spacing w:after="0" w:line="172" w:lineRule="exact"/>
              <w:rPr>
                <w:sz w:val="20"/>
                <w:szCs w:val="20"/>
                <w:color w:val="auto"/>
              </w:rPr>
            </w:pPr>
            <w:r>
              <w:rPr>
                <w:rFonts w:ascii="Arial" w:cs="Arial" w:eastAsia="Arial" w:hAnsi="Arial"/>
                <w:sz w:val="15"/>
                <w:szCs w:val="15"/>
                <w:color w:val="auto"/>
              </w:rPr>
              <w:t>accompanying prospectus for a discussion of factors you should consider before</w:t>
            </w:r>
          </w:p>
        </w:tc>
      </w:tr>
      <w:tr>
        <w:trPr>
          <w:trHeight w:val="200"/>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7940" w:type="dxa"/>
            <w:vAlign w:val="bottom"/>
          </w:tcPr>
          <w:p>
            <w:pPr>
              <w:ind w:left="2420"/>
              <w:spacing w:after="0"/>
              <w:rPr>
                <w:sz w:val="20"/>
                <w:szCs w:val="20"/>
                <w:color w:val="auto"/>
              </w:rPr>
            </w:pPr>
            <w:r>
              <w:rPr>
                <w:rFonts w:ascii="Arial" w:cs="Arial" w:eastAsia="Arial" w:hAnsi="Arial"/>
                <w:sz w:val="15"/>
                <w:szCs w:val="15"/>
                <w:color w:val="auto"/>
              </w:rPr>
              <w:t>deciding to invest in our securities.</w:t>
            </w:r>
          </w:p>
        </w:tc>
      </w:tr>
      <w:tr>
        <w:trPr>
          <w:trHeight w:val="343"/>
        </w:trPr>
        <w:tc>
          <w:tcPr>
            <w:tcW w:w="20" w:type="dxa"/>
            <w:vAlign w:val="bottom"/>
          </w:tcPr>
          <w:p>
            <w:pPr>
              <w:spacing w:after="0"/>
              <w:rPr>
                <w:sz w:val="24"/>
                <w:szCs w:val="24"/>
                <w:color w:val="auto"/>
              </w:rPr>
            </w:pPr>
          </w:p>
        </w:tc>
        <w:tc>
          <w:tcPr>
            <w:tcW w:w="3320" w:type="dxa"/>
            <w:vAlign w:val="bottom"/>
          </w:tcPr>
          <w:p>
            <w:pPr>
              <w:ind w:left="60"/>
              <w:spacing w:after="0"/>
              <w:rPr>
                <w:sz w:val="20"/>
                <w:szCs w:val="20"/>
                <w:color w:val="auto"/>
              </w:rPr>
            </w:pPr>
            <w:r>
              <w:rPr>
                <w:rFonts w:ascii="Arial" w:cs="Arial" w:eastAsia="Arial" w:hAnsi="Arial"/>
                <w:sz w:val="15"/>
                <w:szCs w:val="15"/>
                <w:color w:val="auto"/>
              </w:rPr>
              <w:t>Nasdaq symbol</w:t>
            </w:r>
          </w:p>
        </w:tc>
        <w:tc>
          <w:tcPr>
            <w:tcW w:w="7940" w:type="dxa"/>
            <w:vAlign w:val="bottom"/>
          </w:tcPr>
          <w:p>
            <w:pPr>
              <w:ind w:left="2420"/>
              <w:spacing w:after="0"/>
              <w:rPr>
                <w:sz w:val="20"/>
                <w:szCs w:val="20"/>
                <w:color w:val="auto"/>
              </w:rPr>
            </w:pPr>
            <w:r>
              <w:rPr>
                <w:rFonts w:ascii="Arial" w:cs="Arial" w:eastAsia="Arial" w:hAnsi="Arial"/>
                <w:sz w:val="15"/>
                <w:szCs w:val="15"/>
                <w:color w:val="auto"/>
              </w:rPr>
              <w:t>“IMTX”</w:t>
            </w:r>
          </w:p>
        </w:tc>
      </w:tr>
      <w:tr>
        <w:trPr>
          <w:trHeight w:val="39"/>
        </w:trPr>
        <w:tc>
          <w:tcPr>
            <w:tcW w:w="20" w:type="dxa"/>
            <w:vAlign w:val="bottom"/>
            <w:tcBorders>
              <w:bottom w:val="single" w:sz="8" w:color="auto"/>
            </w:tcBorders>
          </w:tcPr>
          <w:p>
            <w:pPr>
              <w:spacing w:after="0"/>
              <w:rPr>
                <w:sz w:val="3"/>
                <w:szCs w:val="3"/>
                <w:color w:val="auto"/>
              </w:rPr>
            </w:pPr>
          </w:p>
        </w:tc>
        <w:tc>
          <w:tcPr>
            <w:tcW w:w="3320" w:type="dxa"/>
            <w:vAlign w:val="bottom"/>
            <w:tcBorders>
              <w:bottom w:val="single" w:sz="8" w:color="auto"/>
            </w:tcBorders>
          </w:tcPr>
          <w:p>
            <w:pPr>
              <w:spacing w:after="0"/>
              <w:rPr>
                <w:sz w:val="3"/>
                <w:szCs w:val="3"/>
                <w:color w:val="auto"/>
              </w:rPr>
            </w:pPr>
          </w:p>
        </w:tc>
        <w:tc>
          <w:tcPr>
            <w:tcW w:w="7940" w:type="dxa"/>
            <w:vAlign w:val="bottom"/>
            <w:tcBorders>
              <w:bottom w:val="single" w:sz="8" w:color="auto"/>
            </w:tcBorders>
          </w:tcPr>
          <w:p>
            <w:pPr>
              <w:spacing w:after="0"/>
              <w:rPr>
                <w:sz w:val="3"/>
                <w:szCs w:val="3"/>
                <w:color w:val="auto"/>
              </w:rPr>
            </w:pPr>
          </w:p>
        </w:tc>
      </w:tr>
      <w:tr>
        <w:trPr>
          <w:trHeight w:val="441"/>
        </w:trPr>
        <w:tc>
          <w:tcPr>
            <w:tcW w:w="20" w:type="dxa"/>
            <w:vAlign w:val="bottom"/>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tcPr>
          <w:p>
            <w:pPr>
              <w:ind w:left="2180"/>
              <w:spacing w:after="0"/>
              <w:rPr>
                <w:sz w:val="20"/>
                <w:szCs w:val="20"/>
                <w:color w:val="auto"/>
              </w:rPr>
            </w:pPr>
            <w:r>
              <w:rPr>
                <w:rFonts w:ascii="Arial" w:cs="Arial" w:eastAsia="Arial" w:hAnsi="Arial"/>
                <w:sz w:val="15"/>
                <w:szCs w:val="15"/>
                <w:color w:val="auto"/>
              </w:rPr>
              <w:t>S-5</w:t>
            </w:r>
          </w:p>
        </w:tc>
      </w:tr>
    </w:tbl>
    <w:p>
      <w:pPr>
        <w:sectPr>
          <w:pgSz w:w="11900" w:h="16838" w:orient="portrait"/>
          <w:cols w:equalWidth="0" w:num="1">
            <w:col w:w="11280"/>
          </w:cols>
          <w:pgMar w:left="300" w:top="223" w:right="319" w:bottom="1440" w:gutter="0" w:footer="0" w:header="0"/>
          <w:type w:val="continuous"/>
        </w:sectPr>
      </w:pPr>
    </w:p>
    <w:bookmarkStart w:id="43" w:name="page44"/>
    <w:bookmarkEnd w:id="43"/>
    <w:p>
      <w:pPr>
        <w:ind w:left="20"/>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RISK FACTORS</w:t>
      </w:r>
    </w:p>
    <w:p>
      <w:pPr>
        <w:spacing w:after="0" w:line="170" w:lineRule="exact"/>
        <w:rPr>
          <w:sz w:val="20"/>
          <w:szCs w:val="20"/>
          <w:color w:val="auto"/>
        </w:rPr>
      </w:pPr>
    </w:p>
    <w:p>
      <w:pPr>
        <w:ind w:right="80"/>
        <w:spacing w:after="0" w:line="246" w:lineRule="auto"/>
        <w:rPr>
          <w:sz w:val="20"/>
          <w:szCs w:val="20"/>
          <w:color w:val="auto"/>
        </w:rPr>
      </w:pPr>
      <w:r>
        <w:rPr>
          <w:rFonts w:ascii="Arial" w:cs="Arial" w:eastAsia="Arial" w:hAnsi="Arial"/>
          <w:sz w:val="15"/>
          <w:szCs w:val="15"/>
          <w:i w:val="1"/>
          <w:iCs w:val="1"/>
          <w:color w:val="auto"/>
        </w:rPr>
        <w:t>Investing in our securities involves risk. Before making a decision to invest in our securities, you should carefully consider the following risks and those included in our then-most recent Annual Report on Form 20-F, and any updates to those risk factors in our reports on Form 6-K incorporated by reference in this prospectus supplement, together with all of the other information appearing or incorporated by reference in this prospectus supplement and the accompanying prospectus, in light of your particular investment objectives and financial circumstances. Although we discuss key risks in our discussion of risk factors, new risks may emerge in the future, which may prove to be significant. We cannot predict future risks or estimate the extent to which they may affect our business, results of operations, financial condition and prospects.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this Offering</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You may experience immediate and substantial dilution in the book value of your investment.</w:t>
      </w:r>
    </w:p>
    <w:p>
      <w:pPr>
        <w:spacing w:after="0" w:line="170" w:lineRule="exact"/>
        <w:rPr>
          <w:sz w:val="20"/>
          <w:szCs w:val="20"/>
          <w:color w:val="auto"/>
        </w:rPr>
      </w:pPr>
    </w:p>
    <w:p>
      <w:pPr>
        <w:jc w:val="both"/>
        <w:ind w:right="420"/>
        <w:spacing w:after="0" w:line="251" w:lineRule="auto"/>
        <w:rPr>
          <w:sz w:val="20"/>
          <w:szCs w:val="20"/>
          <w:color w:val="auto"/>
        </w:rPr>
      </w:pPr>
      <w:r>
        <w:rPr>
          <w:rFonts w:ascii="Arial" w:cs="Arial" w:eastAsia="Arial" w:hAnsi="Arial"/>
          <w:sz w:val="15"/>
          <w:szCs w:val="15"/>
          <w:color w:val="auto"/>
        </w:rPr>
        <w:t>If you purchase our securities in this offering, you may experience immediate and substantial dilution in the book value of your investment. Dilution is equal to the difference between the purchase price per share and our then-net tangible book value per share. In addition, to the extent that any outstanding options under our share-based compensation plans are exercised, new options are issued under our share-based compensation plans or we issue additional ordinary shares in the future, there may be further dilution to investors participating in this offering.</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actual number of ordinary shares we will sell under the sales agreement and the resulting gross proceeds are uncertain.</w:t>
      </w:r>
    </w:p>
    <w:p>
      <w:pPr>
        <w:spacing w:after="0" w:line="170" w:lineRule="exact"/>
        <w:rPr>
          <w:sz w:val="20"/>
          <w:szCs w:val="20"/>
          <w:color w:val="auto"/>
        </w:rPr>
      </w:pPr>
    </w:p>
    <w:p>
      <w:pPr>
        <w:ind w:right="80"/>
        <w:spacing w:after="0" w:line="247" w:lineRule="auto"/>
        <w:rPr>
          <w:sz w:val="20"/>
          <w:szCs w:val="20"/>
          <w:color w:val="auto"/>
        </w:rPr>
      </w:pPr>
      <w:r>
        <w:rPr>
          <w:rFonts w:ascii="Arial" w:cs="Arial" w:eastAsia="Arial" w:hAnsi="Arial"/>
          <w:sz w:val="15"/>
          <w:szCs w:val="15"/>
          <w:color w:val="auto"/>
        </w:rPr>
        <w:t>Subject to certain limitations in the sales agreement and compliance with applicable law, we have the discretion to deliver a placement notice to the sales agent at any time throughout the term of the sales agreement. The number of ordinary shares that are sold by the sales agent after we deliver a placement notice will fluctuate based on the market price of our ordinary shares during the sales period and limits we set in the placement notice. Because the price per share sold will fluctuate based on the market price of our ordinary shares during the sales period, it is not possible to predict the number of ordinary shares that will be ultimately sold or the resulting gross proceeds.</w:t>
      </w:r>
    </w:p>
    <w:p>
      <w:pPr>
        <w:spacing w:after="0" w:line="141" w:lineRule="exact"/>
        <w:rPr>
          <w:sz w:val="20"/>
          <w:szCs w:val="20"/>
          <w:color w:val="auto"/>
        </w:rPr>
      </w:pPr>
    </w:p>
    <w:p>
      <w:pPr>
        <w:ind w:right="40"/>
        <w:spacing w:after="0" w:line="287" w:lineRule="auto"/>
        <w:rPr>
          <w:sz w:val="20"/>
          <w:szCs w:val="20"/>
          <w:color w:val="auto"/>
        </w:rPr>
      </w:pPr>
      <w:r>
        <w:rPr>
          <w:rFonts w:ascii="Arial" w:cs="Arial" w:eastAsia="Arial" w:hAnsi="Arial"/>
          <w:sz w:val="15"/>
          <w:szCs w:val="15"/>
          <w:b w:val="1"/>
          <w:bCs w:val="1"/>
          <w:i w:val="1"/>
          <w:iCs w:val="1"/>
          <w:color w:val="auto"/>
        </w:rPr>
        <w:t>The ordinary shares offered in this offering will be sold in “at the market offerings.” Investors who purchase our ordinary shares in this offering at different times will likely pay different prices.</w:t>
      </w:r>
    </w:p>
    <w:p>
      <w:pPr>
        <w:spacing w:after="0" w:line="102" w:lineRule="exact"/>
        <w:rPr>
          <w:sz w:val="20"/>
          <w:szCs w:val="20"/>
          <w:color w:val="auto"/>
        </w:rPr>
      </w:pPr>
    </w:p>
    <w:p>
      <w:pPr>
        <w:ind w:right="60"/>
        <w:spacing w:after="0" w:line="251" w:lineRule="auto"/>
        <w:rPr>
          <w:sz w:val="20"/>
          <w:szCs w:val="20"/>
          <w:color w:val="auto"/>
        </w:rPr>
      </w:pPr>
      <w:r>
        <w:rPr>
          <w:rFonts w:ascii="Arial" w:cs="Arial" w:eastAsia="Arial" w:hAnsi="Arial"/>
          <w:sz w:val="15"/>
          <w:szCs w:val="15"/>
          <w:color w:val="auto"/>
        </w:rPr>
        <w:t>Investors who purchase our ordinary shares in this offering at different times will likely pay different prices, and so may experience different outcomes in their investment results. We will have discretion, subject to market demand, to vary the timing, prices and numbers of ordinary shares sold, and subject to certain limitations in the sales agreement, there is no minimum or maximum sales price. Investors may experience a decline in the value of their ordinary shares and dilution as a result of sales made at prices lower than the prices they paid.</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broad discretion in the use of the net proceeds from this offering, and we may not use them effectively.</w:t>
      </w:r>
    </w:p>
    <w:p>
      <w:pPr>
        <w:spacing w:after="0" w:line="170" w:lineRule="exact"/>
        <w:rPr>
          <w:sz w:val="20"/>
          <w:szCs w:val="20"/>
          <w:color w:val="auto"/>
        </w:rPr>
      </w:pPr>
    </w:p>
    <w:p>
      <w:pPr>
        <w:spacing w:after="0" w:line="251" w:lineRule="auto"/>
        <w:rPr>
          <w:sz w:val="20"/>
          <w:szCs w:val="20"/>
          <w:color w:val="auto"/>
        </w:rPr>
      </w:pPr>
      <w:r>
        <w:rPr>
          <w:rFonts w:ascii="Arial" w:cs="Arial" w:eastAsia="Arial" w:hAnsi="Arial"/>
          <w:sz w:val="15"/>
          <w:szCs w:val="15"/>
          <w:color w:val="auto"/>
        </w:rPr>
        <w:t>We currently intend to use the net proceeds from this offering, if any, as described in “Use of Proceeds.” However, our board of directors and our management retain broad discretion in the application of the net proceeds from this offering and could spend the proceeds in ways that do not improve our results of operations or enhance the value of our ordinary shares. Our failure to apply these funds effectively could result in financial losses, which could have a material adverse effect on our business, results of operations, financial condition and prospects.</w:t>
      </w:r>
    </w:p>
    <w:p>
      <w:pPr>
        <w:spacing w:after="0" w:line="135" w:lineRule="exact"/>
        <w:rPr>
          <w:sz w:val="20"/>
          <w:szCs w:val="20"/>
          <w:color w:val="auto"/>
        </w:rPr>
      </w:pPr>
    </w:p>
    <w:p>
      <w:pPr>
        <w:ind w:right="560"/>
        <w:spacing w:after="0" w:line="287" w:lineRule="auto"/>
        <w:rPr>
          <w:sz w:val="20"/>
          <w:szCs w:val="20"/>
          <w:color w:val="auto"/>
        </w:rPr>
      </w:pPr>
      <w:r>
        <w:rPr>
          <w:rFonts w:ascii="Arial" w:cs="Arial" w:eastAsia="Arial" w:hAnsi="Arial"/>
          <w:sz w:val="15"/>
          <w:szCs w:val="15"/>
          <w:b w:val="1"/>
          <w:bCs w:val="1"/>
          <w:i w:val="1"/>
          <w:iCs w:val="1"/>
          <w:color w:val="auto"/>
        </w:rPr>
        <w:t>If a United States person is treated as owning at least 10% of our ordinary shares, such United States person may be subject to adverse U.S. federal income tax consequences.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44" w:name="page45"/>
    <w:bookmarkEnd w:id="44"/>
    <w:p>
      <w:pPr>
        <w:ind w:left="20"/>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ind w:right="80"/>
        <w:spacing w:after="0" w:line="251" w:lineRule="auto"/>
        <w:rPr>
          <w:sz w:val="20"/>
          <w:szCs w:val="20"/>
          <w:color w:val="auto"/>
        </w:rPr>
      </w:pPr>
      <w:r>
        <w:rPr>
          <w:rFonts w:ascii="Arial" w:cs="Arial" w:eastAsia="Arial" w:hAnsi="Arial"/>
          <w:sz w:val="15"/>
          <w:szCs w:val="15"/>
          <w:color w:val="auto"/>
        </w:rPr>
        <w:t>For U.S. federal income tax purposes, if a United States person is treated as owning (directly, indirectly or constructively) 10% or more of our stock by vote or value, such U.S. holder will be treated as a “United States shareholder” with respect to each “controlled foreign corporation” in our group (if any). Because our group includes at least one U.S. subsidiary, our non-U.S. subsidiaries and any non-U.S. subsidiaries we form or acquire in the future will generally be treated as controlled foreign corporations.</w:t>
      </w:r>
    </w:p>
    <w:p>
      <w:pPr>
        <w:spacing w:after="0" w:line="135" w:lineRule="exact"/>
        <w:rPr>
          <w:sz w:val="20"/>
          <w:szCs w:val="20"/>
          <w:color w:val="auto"/>
        </w:rPr>
      </w:pPr>
    </w:p>
    <w:p>
      <w:pPr>
        <w:ind w:right="80"/>
        <w:spacing w:after="0" w:line="247" w:lineRule="auto"/>
        <w:rPr>
          <w:sz w:val="20"/>
          <w:szCs w:val="20"/>
          <w:color w:val="auto"/>
        </w:rPr>
      </w:pPr>
      <w:r>
        <w:rPr>
          <w:rFonts w:ascii="Arial" w:cs="Arial" w:eastAsia="Arial" w:hAnsi="Arial"/>
          <w:sz w:val="15"/>
          <w:szCs w:val="15"/>
          <w:color w:val="auto"/>
        </w:rPr>
        <w:t>A United States shareholder of a controlled foreign corporation will be required to report annually and include in its U.S. federal taxable income its pro rata share of “subpart F income,” “global intangible low-taxed income” and investments in U.S. property by the controlled foreign corporation, regardless of whether it makes any distributions of that income. Special rules, however, apply to United States persons that are partnerships or other pass-through entities. Certain deductions and credits for foreign income taxes paid or accrued by the controlled foreign corporation may be allowed to a corporate United States shareholder, but will not be allowed to an individual United States shareholder.</w:t>
      </w:r>
    </w:p>
    <w:p>
      <w:pPr>
        <w:spacing w:after="0" w:line="141" w:lineRule="exact"/>
        <w:rPr>
          <w:sz w:val="20"/>
          <w:szCs w:val="20"/>
          <w:color w:val="auto"/>
        </w:rPr>
      </w:pPr>
    </w:p>
    <w:p>
      <w:pPr>
        <w:spacing w:after="0" w:line="247" w:lineRule="auto"/>
        <w:rPr>
          <w:sz w:val="20"/>
          <w:szCs w:val="20"/>
          <w:color w:val="auto"/>
        </w:rPr>
      </w:pPr>
      <w:r>
        <w:rPr>
          <w:rFonts w:ascii="Arial" w:cs="Arial" w:eastAsia="Arial" w:hAnsi="Arial"/>
          <w:sz w:val="15"/>
          <w:szCs w:val="15"/>
          <w:color w:val="auto"/>
        </w:rPr>
        <w:t>There can be no assurance that we will furnish to any United States shareholder the information required to comply with the obligations applicable to a United States shareholder in respect of controlled foreign corporations. Failure to comply with these obligations may subject a United States shareholder of a controlled foreign corporation to significant monetary penalties and may prevent the statute of limitations for assessments with respect to its U.S. federal income tax return for the year for which reporting was due from starting. Beneficial owners of 10% or more of our ordinary shares that are United States persons should consult their tax advisors regarding the potential application of these rules to their investment in our ordinary shares.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60"/>
          </w:cols>
          <w:pgMar w:left="320" w:top="223" w:right="319" w:bottom="1440" w:gutter="0" w:footer="0" w:header="0"/>
        </w:sectPr>
      </w:pPr>
    </w:p>
    <w:bookmarkStart w:id="45" w:name="page46"/>
    <w:bookmarkEnd w:id="45"/>
    <w:p>
      <w:pPr>
        <w:ind w:left="20"/>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CAUTIONARY STATEMENT REGARDING FORWARD-LOOKING STATEMENTS</w:t>
      </w:r>
    </w:p>
    <w:p>
      <w:pPr>
        <w:spacing w:after="0" w:line="170" w:lineRule="exact"/>
        <w:rPr>
          <w:sz w:val="20"/>
          <w:szCs w:val="20"/>
          <w:color w:val="auto"/>
        </w:rPr>
      </w:pPr>
    </w:p>
    <w:p>
      <w:pPr>
        <w:ind w:right="20"/>
        <w:spacing w:after="0" w:line="244" w:lineRule="auto"/>
        <w:rPr>
          <w:sz w:val="20"/>
          <w:szCs w:val="20"/>
          <w:color w:val="auto"/>
        </w:rPr>
      </w:pPr>
      <w:r>
        <w:rPr>
          <w:rFonts w:ascii="Arial" w:cs="Arial" w:eastAsia="Arial" w:hAnsi="Arial"/>
          <w:sz w:val="15"/>
          <w:szCs w:val="15"/>
          <w:color w:val="auto"/>
        </w:rPr>
        <w:t>This prospectus supplement and the documents incorporated by reference in this prospectus supplement contain statements that constitute forward-looking statements within the meaning of Section 21E of the Exchange Act and Section 27A of the Securities Act of 1933, as amended (the “Securities Act”). All statements other than statements of historical facts, including statements regarding our future results of operations and financial position, business and commercial strategy, potential market opportunities, products and product candidates, research pipeline, ongoing and planned preclinical studies and clinical trials, regulatory submissions and approvals, research and development costs, timing and likelihood of success, as well as plans and objectives of management for future operations, are forward-looking statements. Many of the forward-looking statements contained in this prospectus supplement can be identified by the use of forward-looking words such as “anticipate,” “believe,” “could,” “expect,” “should,” “plan,” “intend,” “estimate,” “will” and “potential,” among others.</w:t>
      </w:r>
    </w:p>
    <w:p>
      <w:pPr>
        <w:spacing w:after="0" w:line="144" w:lineRule="exact"/>
        <w:rPr>
          <w:sz w:val="20"/>
          <w:szCs w:val="20"/>
          <w:color w:val="auto"/>
        </w:rPr>
      </w:pPr>
    </w:p>
    <w:p>
      <w:pPr>
        <w:spacing w:after="0" w:line="242" w:lineRule="auto"/>
        <w:rPr>
          <w:sz w:val="20"/>
          <w:szCs w:val="20"/>
          <w:color w:val="auto"/>
        </w:rPr>
      </w:pPr>
      <w:r>
        <w:rPr>
          <w:rFonts w:ascii="Arial" w:cs="Arial" w:eastAsia="Arial" w:hAnsi="Arial"/>
          <w:sz w:val="15"/>
          <w:szCs w:val="15"/>
          <w:color w:val="auto"/>
        </w:rPr>
        <w:t>Forward-looking statements are based on our management’s beliefs and assumptions and on information available to our management at the time such statements are made. Such statements are subject to risks and uncertainties, and actual results may differ materially from those expressed or implied in the forward-looking statements due to various factors, including, but not limited to, those identified in the “Risk Factors” section of this prospectus supplement and in the documents incorporated by reference in this prospectus supplement.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whether as a result of any new information, future events, changed circumstances or otherwise. You should read this prospectus supplement, the documents incorporated by reference in this prospectus supplement and the documents that we have filed as exhibits to the registration statement of which this prospectus supplement is a part completely and with the understanding that our actual future results may be materially different from what we expect.</w:t>
      </w:r>
    </w:p>
    <w:p>
      <w:pPr>
        <w:spacing w:after="0" w:line="143" w:lineRule="exact"/>
        <w:rPr>
          <w:sz w:val="20"/>
          <w:szCs w:val="20"/>
          <w:color w:val="auto"/>
        </w:rPr>
      </w:pPr>
    </w:p>
    <w:p>
      <w:pPr>
        <w:ind w:right="20"/>
        <w:spacing w:after="0" w:line="251" w:lineRule="auto"/>
        <w:rPr>
          <w:sz w:val="20"/>
          <w:szCs w:val="20"/>
          <w:color w:val="auto"/>
        </w:rPr>
      </w:pPr>
      <w:r>
        <w:rPr>
          <w:rFonts w:ascii="Arial" w:cs="Arial" w:eastAsia="Arial" w:hAnsi="Arial"/>
          <w:sz w:val="15"/>
          <w:szCs w:val="15"/>
          <w:color w:val="auto"/>
        </w:rPr>
        <w:t>In addition, statements that “we believe” and similar statements reflect our beliefs and opinions on the relevant subject. These statements are based upon information available to us as of the date of such statements,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60"/>
          </w:cols>
          <w:pgMar w:left="320" w:top="223" w:right="319" w:bottom="1440" w:gutter="0" w:footer="0" w:header="0"/>
        </w:sectPr>
      </w:pPr>
    </w:p>
    <w:bookmarkStart w:id="46" w:name="page47"/>
    <w:bookmarkEnd w:id="46"/>
    <w:p>
      <w:pPr>
        <w:ind w:left="20"/>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USE OF PROCEEDS</w:t>
      </w:r>
    </w:p>
    <w:p>
      <w:pPr>
        <w:spacing w:after="0" w:line="170" w:lineRule="exact"/>
        <w:rPr>
          <w:sz w:val="20"/>
          <w:szCs w:val="20"/>
          <w:color w:val="auto"/>
        </w:rPr>
      </w:pPr>
    </w:p>
    <w:p>
      <w:pPr>
        <w:ind w:right="280"/>
        <w:spacing w:after="0" w:line="257" w:lineRule="auto"/>
        <w:rPr>
          <w:sz w:val="20"/>
          <w:szCs w:val="20"/>
          <w:color w:val="auto"/>
        </w:rPr>
      </w:pPr>
      <w:r>
        <w:rPr>
          <w:rFonts w:ascii="Arial" w:cs="Arial" w:eastAsia="Arial" w:hAnsi="Arial"/>
          <w:sz w:val="15"/>
          <w:szCs w:val="15"/>
          <w:color w:val="auto"/>
        </w:rPr>
        <w:t>We may offer and sell our ordinary shares having an aggregate offering price of up to $150,000,000 from time to time through the sales agent. Because there is no minimum offering amount required as a condition to close this offering, the actual total public offering amount, commissions and proceeds to us, if any, are not determinable at this time.</w:t>
      </w:r>
    </w:p>
    <w:p>
      <w:pPr>
        <w:spacing w:after="0" w:line="131" w:lineRule="exact"/>
        <w:rPr>
          <w:sz w:val="20"/>
          <w:szCs w:val="20"/>
          <w:color w:val="auto"/>
        </w:rPr>
      </w:pPr>
    </w:p>
    <w:p>
      <w:pPr>
        <w:ind w:right="380"/>
        <w:spacing w:after="0" w:line="276" w:lineRule="auto"/>
        <w:rPr>
          <w:sz w:val="20"/>
          <w:szCs w:val="20"/>
          <w:color w:val="auto"/>
        </w:rPr>
      </w:pPr>
      <w:r>
        <w:rPr>
          <w:rFonts w:ascii="Arial" w:cs="Arial" w:eastAsia="Arial" w:hAnsi="Arial"/>
          <w:sz w:val="15"/>
          <w:szCs w:val="15"/>
          <w:color w:val="auto"/>
        </w:rPr>
        <w:t>We intend to use the net proceeds from this offering, if any, to fund the continued research and development of our pipeline, the manufacturing, production and, if approved, commercialization of our product candidates and for working capital and other general corporate purposes.</w:t>
      </w:r>
    </w:p>
    <w:p>
      <w:pPr>
        <w:spacing w:after="0" w:line="117" w:lineRule="exact"/>
        <w:rPr>
          <w:sz w:val="20"/>
          <w:szCs w:val="20"/>
          <w:color w:val="auto"/>
        </w:rPr>
      </w:pPr>
    </w:p>
    <w:p>
      <w:pPr>
        <w:spacing w:after="0" w:line="251" w:lineRule="auto"/>
        <w:rPr>
          <w:sz w:val="20"/>
          <w:szCs w:val="20"/>
          <w:color w:val="auto"/>
        </w:rPr>
      </w:pPr>
      <w:r>
        <w:rPr>
          <w:rFonts w:ascii="Arial" w:cs="Arial" w:eastAsia="Arial" w:hAnsi="Arial"/>
          <w:sz w:val="15"/>
          <w:szCs w:val="15"/>
          <w:color w:val="auto"/>
        </w:rPr>
        <w:t>Our expected use of the net proceeds from this offering represents our current intentions based on our present plans and business condition, which could change as our plans and business conditions evolve. The amounts and timing of our actual use of the net proceeds from this offering will vary depending on numerous factors. As a result, we cannot predict with certainty all of the particular uses for any net proceeds to be received or the amounts that we will actually spend on the uses set forth above. Our board of directors and our management retains broad discretion in the application of the net proceeds from this offering.</w:t>
      </w:r>
    </w:p>
    <w:p>
      <w:pPr>
        <w:spacing w:after="0" w:line="135" w:lineRule="exact"/>
        <w:rPr>
          <w:sz w:val="20"/>
          <w:szCs w:val="20"/>
          <w:color w:val="auto"/>
        </w:rPr>
      </w:pPr>
    </w:p>
    <w:p>
      <w:pPr>
        <w:ind w:right="200"/>
        <w:spacing w:after="0" w:line="257" w:lineRule="auto"/>
        <w:rPr>
          <w:sz w:val="20"/>
          <w:szCs w:val="20"/>
          <w:color w:val="auto"/>
        </w:rPr>
      </w:pPr>
      <w:r>
        <w:rPr>
          <w:rFonts w:ascii="Arial" w:cs="Arial" w:eastAsia="Arial" w:hAnsi="Arial"/>
          <w:sz w:val="15"/>
          <w:szCs w:val="15"/>
          <w:color w:val="auto"/>
        </w:rPr>
        <w:t>Pending the use of the proceeds from this offering, we intend to invest the net proceeds in a variety of capital preservation instruments, which may include all or a combination of short-term and long-term interest-bearing instruments, investment-grade securities, and direct or guaranteed obligations of the U.S. government. We cannot predict whether the proceeds invested will yield a favorable return.</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00"/>
          </w:cols>
          <w:pgMar w:left="320" w:top="223" w:right="379" w:bottom="1440" w:gutter="0" w:footer="0" w:header="0"/>
        </w:sectPr>
      </w:pPr>
    </w:p>
    <w:bookmarkStart w:id="47" w:name="page48"/>
    <w:bookmarkEnd w:id="47"/>
    <w:p>
      <w:pPr>
        <w:ind w:left="20"/>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TAXATION</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Material U.S. Federal Income Tax Considerations for U.S. Holders</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5"/>
          <w:szCs w:val="15"/>
          <w:color w:val="auto"/>
        </w:rPr>
        <w:t>In the opinion of Davis Polk &amp; Wardwell LLP, the following is a description of the material U.S. federal income tax consequences to the U.S. Holders, as defined below, of owning and disposing of our ordinary shares. It does not describe all tax considerations that may be relevant to a particular person’s decision to acquire ordinary shares.</w:t>
      </w:r>
    </w:p>
    <w:p>
      <w:pPr>
        <w:spacing w:after="0" w:line="131" w:lineRule="exact"/>
        <w:rPr>
          <w:sz w:val="20"/>
          <w:szCs w:val="20"/>
          <w:color w:val="auto"/>
        </w:rPr>
      </w:pPr>
    </w:p>
    <w:p>
      <w:pPr>
        <w:spacing w:after="0" w:line="246" w:lineRule="auto"/>
        <w:rPr>
          <w:sz w:val="20"/>
          <w:szCs w:val="20"/>
          <w:color w:val="auto"/>
        </w:rPr>
      </w:pPr>
      <w:r>
        <w:rPr>
          <w:rFonts w:ascii="Arial" w:cs="Arial" w:eastAsia="Arial" w:hAnsi="Arial"/>
          <w:sz w:val="15"/>
          <w:szCs w:val="15"/>
          <w:color w:val="auto"/>
        </w:rPr>
        <w:t>This discussion applies only to a U.S. Holder that acquires ordinary shares registered for offer and sale pursuant to this prospectus supplement and holds ordinary shares as capital assets for U.S. federal income tax purposes (generally, property held for investment). In addition, it does not describe any tax consequences other than U.S. federal income tax consequences, including state and local tax consequences and estate tax consequences, and does not describe all of the U.S. federal income tax consequences that may be relevant in light of the U.S. Holder’s particular circumstances, including alternative minimum tax consequences, the potential application of the provisions of the Internal Revenue Code of 1986, as amended (the “Code”) known as the Medicare contribution tax and tax consequences applicable to U.S. Holders subject to special rules, such as:</w:t>
      </w:r>
    </w:p>
    <w:p>
      <w:pPr>
        <w:spacing w:after="0" w:line="139" w:lineRule="exact"/>
        <w:rPr>
          <w:sz w:val="20"/>
          <w:szCs w:val="20"/>
          <w:color w:val="auto"/>
        </w:rPr>
      </w:pPr>
    </w:p>
    <w:p>
      <w:pPr>
        <w:ind w:left="540" w:hanging="274"/>
        <w:spacing w:after="0"/>
        <w:tabs>
          <w:tab w:leader="none" w:pos="540" w:val="left"/>
        </w:tabs>
        <w:numPr>
          <w:ilvl w:val="0"/>
          <w:numId w:val="25"/>
        </w:numPr>
        <w:rPr>
          <w:rFonts w:ascii="Times New Roman" w:cs="Times New Roman" w:eastAsia="Times New Roman" w:hAnsi="Times New Roman"/>
          <w:sz w:val="15"/>
          <w:szCs w:val="15"/>
          <w:color w:val="auto"/>
        </w:rPr>
      </w:pPr>
      <w:r>
        <w:rPr>
          <w:rFonts w:ascii="Arial" w:cs="Arial" w:eastAsia="Arial" w:hAnsi="Arial"/>
          <w:sz w:val="15"/>
          <w:szCs w:val="15"/>
          <w:color w:val="auto"/>
        </w:rPr>
        <w:t>certain banks, insurance companies and other financial institutions;</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25"/>
        </w:numPr>
        <w:rPr>
          <w:rFonts w:ascii="Times New Roman" w:cs="Times New Roman" w:eastAsia="Times New Roman" w:hAnsi="Times New Roman"/>
          <w:sz w:val="15"/>
          <w:szCs w:val="15"/>
          <w:color w:val="auto"/>
        </w:rPr>
      </w:pPr>
      <w:r>
        <w:rPr>
          <w:rFonts w:ascii="Arial" w:cs="Arial" w:eastAsia="Arial" w:hAnsi="Arial"/>
          <w:sz w:val="15"/>
          <w:szCs w:val="15"/>
          <w:color w:val="auto"/>
        </w:rPr>
        <w:t>brokers, dealers or traders in securities who use a mark-to-market method of tax accounting;</w:t>
      </w:r>
    </w:p>
    <w:p>
      <w:pPr>
        <w:spacing w:after="0" w:line="181" w:lineRule="exact"/>
        <w:rPr>
          <w:rFonts w:ascii="Times New Roman" w:cs="Times New Roman" w:eastAsia="Times New Roman" w:hAnsi="Times New Roman"/>
          <w:sz w:val="15"/>
          <w:szCs w:val="15"/>
          <w:color w:val="auto"/>
        </w:rPr>
      </w:pPr>
    </w:p>
    <w:p>
      <w:pPr>
        <w:ind w:left="540" w:right="60" w:hanging="274"/>
        <w:spacing w:after="0" w:line="275" w:lineRule="auto"/>
        <w:tabs>
          <w:tab w:leader="none" w:pos="540" w:val="left"/>
        </w:tabs>
        <w:numPr>
          <w:ilvl w:val="0"/>
          <w:numId w:val="25"/>
        </w:numPr>
        <w:rPr>
          <w:rFonts w:ascii="Times New Roman" w:cs="Times New Roman" w:eastAsia="Times New Roman" w:hAnsi="Times New Roman"/>
          <w:sz w:val="15"/>
          <w:szCs w:val="15"/>
          <w:color w:val="auto"/>
        </w:rPr>
      </w:pPr>
      <w:r>
        <w:rPr>
          <w:rFonts w:ascii="Arial" w:cs="Arial" w:eastAsia="Arial" w:hAnsi="Arial"/>
          <w:sz w:val="15"/>
          <w:szCs w:val="15"/>
          <w:color w:val="auto"/>
        </w:rPr>
        <w:t>persons holding ordinary shares as part of a straddle, wash sale, conversion transaction or other integrated transaction or persons entering into a constructive sale with respect to the ordinary shares;</w:t>
      </w:r>
    </w:p>
    <w:p>
      <w:pPr>
        <w:spacing w:after="0" w:line="118"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25"/>
        </w:numPr>
        <w:rPr>
          <w:rFonts w:ascii="Times New Roman" w:cs="Times New Roman" w:eastAsia="Times New Roman" w:hAnsi="Times New Roman"/>
          <w:sz w:val="15"/>
          <w:szCs w:val="15"/>
          <w:color w:val="auto"/>
        </w:rPr>
      </w:pPr>
      <w:r>
        <w:rPr>
          <w:rFonts w:ascii="Arial" w:cs="Arial" w:eastAsia="Arial" w:hAnsi="Arial"/>
          <w:sz w:val="15"/>
          <w:szCs w:val="15"/>
          <w:color w:val="auto"/>
        </w:rPr>
        <w:t>persons whose functional currency for U.S. federal income tax purposes is not the U.S. dollar;</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25"/>
        </w:numPr>
        <w:rPr>
          <w:rFonts w:ascii="Times New Roman" w:cs="Times New Roman" w:eastAsia="Times New Roman" w:hAnsi="Times New Roman"/>
          <w:sz w:val="15"/>
          <w:szCs w:val="15"/>
          <w:color w:val="auto"/>
        </w:rPr>
      </w:pPr>
      <w:r>
        <w:rPr>
          <w:rFonts w:ascii="Arial" w:cs="Arial" w:eastAsia="Arial" w:hAnsi="Arial"/>
          <w:sz w:val="15"/>
          <w:szCs w:val="15"/>
          <w:color w:val="auto"/>
        </w:rPr>
        <w:t>entities or arrangements classified as partnerships or S corporations for U.S. federal income tax purposes;</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25"/>
        </w:numPr>
        <w:rPr>
          <w:rFonts w:ascii="Times New Roman" w:cs="Times New Roman" w:eastAsia="Times New Roman" w:hAnsi="Times New Roman"/>
          <w:sz w:val="15"/>
          <w:szCs w:val="15"/>
          <w:color w:val="auto"/>
        </w:rPr>
      </w:pPr>
      <w:r>
        <w:rPr>
          <w:rFonts w:ascii="Arial" w:cs="Arial" w:eastAsia="Arial" w:hAnsi="Arial"/>
          <w:sz w:val="15"/>
          <w:szCs w:val="15"/>
          <w:color w:val="auto"/>
        </w:rPr>
        <w:t>tax-exempt entities, including an “individual retirement account” or “Roth IRAs” and governmental entities;</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25"/>
        </w:numPr>
        <w:rPr>
          <w:rFonts w:ascii="Times New Roman" w:cs="Times New Roman" w:eastAsia="Times New Roman" w:hAnsi="Times New Roman"/>
          <w:sz w:val="15"/>
          <w:szCs w:val="15"/>
          <w:color w:val="auto"/>
        </w:rPr>
      </w:pPr>
      <w:r>
        <w:rPr>
          <w:rFonts w:ascii="Arial" w:cs="Arial" w:eastAsia="Arial" w:hAnsi="Arial"/>
          <w:sz w:val="15"/>
          <w:szCs w:val="15"/>
          <w:color w:val="auto"/>
        </w:rPr>
        <w:t>real estate investment trusts or regulated investment companies;</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25"/>
        </w:numPr>
        <w:rPr>
          <w:rFonts w:ascii="Times New Roman" w:cs="Times New Roman" w:eastAsia="Times New Roman" w:hAnsi="Times New Roman"/>
          <w:sz w:val="15"/>
          <w:szCs w:val="15"/>
          <w:color w:val="auto"/>
        </w:rPr>
      </w:pPr>
      <w:r>
        <w:rPr>
          <w:rFonts w:ascii="Arial" w:cs="Arial" w:eastAsia="Arial" w:hAnsi="Arial"/>
          <w:sz w:val="15"/>
          <w:szCs w:val="15"/>
          <w:color w:val="auto"/>
        </w:rPr>
        <w:t>corporations that accumulate earnings to avoid U.S. federal income tax;</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25"/>
        </w:numPr>
        <w:rPr>
          <w:rFonts w:ascii="Times New Roman" w:cs="Times New Roman" w:eastAsia="Times New Roman" w:hAnsi="Times New Roman"/>
          <w:sz w:val="15"/>
          <w:szCs w:val="15"/>
          <w:color w:val="auto"/>
        </w:rPr>
      </w:pPr>
      <w:r>
        <w:rPr>
          <w:rFonts w:ascii="Arial" w:cs="Arial" w:eastAsia="Arial" w:hAnsi="Arial"/>
          <w:sz w:val="15"/>
          <w:szCs w:val="15"/>
          <w:color w:val="auto"/>
        </w:rPr>
        <w:t>U.S. expatriates and certain former citizens or long term residents of the United States;</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25"/>
        </w:numPr>
        <w:rPr>
          <w:rFonts w:ascii="Times New Roman" w:cs="Times New Roman" w:eastAsia="Times New Roman" w:hAnsi="Times New Roman"/>
          <w:sz w:val="15"/>
          <w:szCs w:val="15"/>
          <w:color w:val="auto"/>
        </w:rPr>
      </w:pPr>
      <w:r>
        <w:rPr>
          <w:rFonts w:ascii="Arial" w:cs="Arial" w:eastAsia="Arial" w:hAnsi="Arial"/>
          <w:sz w:val="15"/>
          <w:szCs w:val="15"/>
          <w:color w:val="auto"/>
        </w:rPr>
        <w:t>persons that own or are deemed to own 10% or more of the voting power or value of our shares; or</w:t>
      </w:r>
    </w:p>
    <w:p>
      <w:pPr>
        <w:spacing w:after="0" w:line="181" w:lineRule="exact"/>
        <w:rPr>
          <w:rFonts w:ascii="Times New Roman" w:cs="Times New Roman" w:eastAsia="Times New Roman" w:hAnsi="Times New Roman"/>
          <w:sz w:val="15"/>
          <w:szCs w:val="15"/>
          <w:color w:val="auto"/>
        </w:rPr>
      </w:pPr>
    </w:p>
    <w:p>
      <w:pPr>
        <w:ind w:left="540" w:right="940" w:hanging="274"/>
        <w:spacing w:after="0" w:line="275" w:lineRule="auto"/>
        <w:tabs>
          <w:tab w:leader="none" w:pos="540" w:val="left"/>
        </w:tabs>
        <w:numPr>
          <w:ilvl w:val="0"/>
          <w:numId w:val="25"/>
        </w:numPr>
        <w:rPr>
          <w:rFonts w:ascii="Times New Roman" w:cs="Times New Roman" w:eastAsia="Times New Roman" w:hAnsi="Times New Roman"/>
          <w:sz w:val="15"/>
          <w:szCs w:val="15"/>
          <w:color w:val="auto"/>
        </w:rPr>
      </w:pPr>
      <w:r>
        <w:rPr>
          <w:rFonts w:ascii="Arial" w:cs="Arial" w:eastAsia="Arial" w:hAnsi="Arial"/>
          <w:sz w:val="15"/>
          <w:szCs w:val="15"/>
          <w:color w:val="auto"/>
        </w:rPr>
        <w:t>persons holding ordinary shares in connection with a trade or business conducted outside of the United States or in connection with a permanent establishment or other fixed place of business outside of the United States.</w:t>
      </w:r>
    </w:p>
    <w:p>
      <w:pPr>
        <w:spacing w:after="0" w:line="118" w:lineRule="exact"/>
        <w:rPr>
          <w:sz w:val="20"/>
          <w:szCs w:val="20"/>
          <w:color w:val="auto"/>
        </w:rPr>
      </w:pPr>
    </w:p>
    <w:p>
      <w:pPr>
        <w:ind w:right="140"/>
        <w:spacing w:after="0" w:line="257" w:lineRule="auto"/>
        <w:rPr>
          <w:sz w:val="20"/>
          <w:szCs w:val="20"/>
          <w:color w:val="auto"/>
        </w:rPr>
      </w:pPr>
      <w:r>
        <w:rPr>
          <w:rFonts w:ascii="Arial" w:cs="Arial" w:eastAsia="Arial" w:hAnsi="Arial"/>
          <w:sz w:val="15"/>
          <w:szCs w:val="15"/>
          <w:color w:val="auto"/>
        </w:rPr>
        <w:t>If an entity or arrangement that is classified as a partnership for U.S. federal income tax purposes holds ordinary shares, the U.S. federal income tax treatment of a partner will generally depend on the status of the partner and the activities of the partnership. Partnerships holding ordinary shares and partners in such partnerships should consult their tax advisors as to the particular U.S. federal income tax consequences of owning and disposing of the ordinary shares.</w:t>
      </w:r>
    </w:p>
    <w:p>
      <w:pPr>
        <w:spacing w:after="0" w:line="131" w:lineRule="exact"/>
        <w:rPr>
          <w:sz w:val="20"/>
          <w:szCs w:val="20"/>
          <w:color w:val="auto"/>
        </w:rPr>
      </w:pPr>
    </w:p>
    <w:p>
      <w:pPr>
        <w:ind w:right="380"/>
        <w:spacing w:after="0" w:line="276" w:lineRule="auto"/>
        <w:rPr>
          <w:sz w:val="20"/>
          <w:szCs w:val="20"/>
          <w:color w:val="auto"/>
        </w:rPr>
      </w:pPr>
      <w:r>
        <w:rPr>
          <w:rFonts w:ascii="Arial" w:cs="Arial" w:eastAsia="Arial" w:hAnsi="Arial"/>
          <w:sz w:val="15"/>
          <w:szCs w:val="15"/>
          <w:color w:val="auto"/>
        </w:rPr>
        <w:t>This discussion is based on the Code, administrative pronouncements, judicial decisions, final, temporary and proposed Treasury regulations, and the income tax treaty between Germany and the United States</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48" w:name="page49"/>
    <w:bookmarkEnd w:id="48"/>
    <w:p>
      <w:pPr>
        <w:ind w:left="29"/>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ind w:left="9"/>
        <w:spacing w:after="0"/>
        <w:rPr>
          <w:sz w:val="20"/>
          <w:szCs w:val="20"/>
          <w:color w:val="auto"/>
        </w:rPr>
      </w:pPr>
      <w:r>
        <w:rPr>
          <w:rFonts w:ascii="Arial" w:cs="Arial" w:eastAsia="Arial" w:hAnsi="Arial"/>
          <w:sz w:val="15"/>
          <w:szCs w:val="15"/>
          <w:color w:val="auto"/>
        </w:rPr>
        <w:t>(the “Treaty”), all as of the date hereof, any of which is subject to change or differing interpretations, possibly with retroactive effect.</w:t>
      </w:r>
    </w:p>
    <w:p>
      <w:pPr>
        <w:spacing w:after="0" w:line="170" w:lineRule="exact"/>
        <w:rPr>
          <w:sz w:val="20"/>
          <w:szCs w:val="20"/>
          <w:color w:val="auto"/>
        </w:rPr>
      </w:pPr>
    </w:p>
    <w:p>
      <w:pPr>
        <w:ind w:left="9"/>
        <w:spacing w:after="0"/>
        <w:rPr>
          <w:sz w:val="20"/>
          <w:szCs w:val="20"/>
          <w:color w:val="auto"/>
        </w:rPr>
      </w:pPr>
      <w:r>
        <w:rPr>
          <w:rFonts w:ascii="Arial" w:cs="Arial" w:eastAsia="Arial" w:hAnsi="Arial"/>
          <w:sz w:val="15"/>
          <w:szCs w:val="15"/>
          <w:color w:val="auto"/>
        </w:rPr>
        <w:t>A “U.S. Holder” is a beneficial owner of our ordinary shares who, for U.S. federal income tax purposes, is eligible for the benefits of the Treaty and who is:</w:t>
      </w:r>
    </w:p>
    <w:p>
      <w:pPr>
        <w:spacing w:after="0" w:line="170" w:lineRule="exact"/>
        <w:rPr>
          <w:sz w:val="20"/>
          <w:szCs w:val="20"/>
          <w:color w:val="auto"/>
        </w:rPr>
      </w:pPr>
    </w:p>
    <w:p>
      <w:pPr>
        <w:ind w:left="549" w:hanging="274"/>
        <w:spacing w:after="0"/>
        <w:tabs>
          <w:tab w:leader="none" w:pos="549" w:val="left"/>
        </w:tabs>
        <w:numPr>
          <w:ilvl w:val="0"/>
          <w:numId w:val="26"/>
        </w:numPr>
        <w:rPr>
          <w:rFonts w:ascii="Times New Roman" w:cs="Times New Roman" w:eastAsia="Times New Roman" w:hAnsi="Times New Roman"/>
          <w:sz w:val="15"/>
          <w:szCs w:val="15"/>
          <w:color w:val="auto"/>
        </w:rPr>
      </w:pPr>
      <w:r>
        <w:rPr>
          <w:rFonts w:ascii="Arial" w:cs="Arial" w:eastAsia="Arial" w:hAnsi="Arial"/>
          <w:sz w:val="15"/>
          <w:szCs w:val="15"/>
          <w:color w:val="auto"/>
        </w:rPr>
        <w:t>a U.S. citizen (other than a resident of the Netherlands or Germany) or individual resident of the United States;</w:t>
      </w:r>
    </w:p>
    <w:p>
      <w:pPr>
        <w:spacing w:after="0" w:line="181" w:lineRule="exact"/>
        <w:rPr>
          <w:rFonts w:ascii="Times New Roman" w:cs="Times New Roman" w:eastAsia="Times New Roman" w:hAnsi="Times New Roman"/>
          <w:sz w:val="15"/>
          <w:szCs w:val="15"/>
          <w:color w:val="auto"/>
        </w:rPr>
      </w:pPr>
    </w:p>
    <w:p>
      <w:pPr>
        <w:ind w:left="549" w:right="540" w:hanging="274"/>
        <w:spacing w:after="0" w:line="275" w:lineRule="auto"/>
        <w:tabs>
          <w:tab w:leader="none" w:pos="549" w:val="left"/>
        </w:tabs>
        <w:numPr>
          <w:ilvl w:val="0"/>
          <w:numId w:val="26"/>
        </w:numPr>
        <w:rPr>
          <w:rFonts w:ascii="Times New Roman" w:cs="Times New Roman" w:eastAsia="Times New Roman" w:hAnsi="Times New Roman"/>
          <w:sz w:val="15"/>
          <w:szCs w:val="15"/>
          <w:color w:val="auto"/>
        </w:rPr>
      </w:pPr>
      <w:r>
        <w:rPr>
          <w:rFonts w:ascii="Arial" w:cs="Arial" w:eastAsia="Arial" w:hAnsi="Arial"/>
          <w:sz w:val="15"/>
          <w:szCs w:val="15"/>
          <w:color w:val="auto"/>
        </w:rPr>
        <w:t>a corporation, or other entity taxable as a corporation, created or organized in or under the laws of the United States, any state therein or the District of Columbia; or</w:t>
      </w:r>
    </w:p>
    <w:p>
      <w:pPr>
        <w:spacing w:after="0" w:line="118" w:lineRule="exact"/>
        <w:rPr>
          <w:rFonts w:ascii="Times New Roman" w:cs="Times New Roman" w:eastAsia="Times New Roman" w:hAnsi="Times New Roman"/>
          <w:sz w:val="15"/>
          <w:szCs w:val="15"/>
          <w:color w:val="auto"/>
        </w:rPr>
      </w:pPr>
    </w:p>
    <w:p>
      <w:pPr>
        <w:ind w:left="549" w:hanging="274"/>
        <w:spacing w:after="0"/>
        <w:tabs>
          <w:tab w:leader="none" w:pos="549" w:val="left"/>
        </w:tabs>
        <w:numPr>
          <w:ilvl w:val="0"/>
          <w:numId w:val="26"/>
        </w:numPr>
        <w:rPr>
          <w:rFonts w:ascii="Times New Roman" w:cs="Times New Roman" w:eastAsia="Times New Roman" w:hAnsi="Times New Roman"/>
          <w:sz w:val="15"/>
          <w:szCs w:val="15"/>
          <w:color w:val="auto"/>
        </w:rPr>
      </w:pPr>
      <w:r>
        <w:rPr>
          <w:rFonts w:ascii="Arial" w:cs="Arial" w:eastAsia="Arial" w:hAnsi="Arial"/>
          <w:sz w:val="15"/>
          <w:szCs w:val="15"/>
          <w:color w:val="auto"/>
        </w:rPr>
        <w:t>an estate or trust the income of which is subject to U.S. federal income taxation regardless of its source.</w:t>
      </w:r>
    </w:p>
    <w:p>
      <w:pPr>
        <w:spacing w:after="0" w:line="181" w:lineRule="exact"/>
        <w:rPr>
          <w:sz w:val="20"/>
          <w:szCs w:val="20"/>
          <w:color w:val="auto"/>
        </w:rPr>
      </w:pPr>
    </w:p>
    <w:p>
      <w:pPr>
        <w:ind w:left="9"/>
        <w:spacing w:after="0" w:line="244" w:lineRule="auto"/>
        <w:rPr>
          <w:sz w:val="20"/>
          <w:szCs w:val="20"/>
          <w:color w:val="auto"/>
        </w:rPr>
      </w:pPr>
      <w:r>
        <w:rPr>
          <w:rFonts w:ascii="Arial" w:cs="Arial" w:eastAsia="Arial" w:hAnsi="Arial"/>
          <w:sz w:val="15"/>
          <w:szCs w:val="15"/>
          <w:color w:val="auto"/>
        </w:rPr>
        <w:t>Certain Treasury regulations (the “Foreign Tax Credit Regulations”) may in some circumstances prohibit a U.S. person from claiming a foreign tax credit with respect to certain non-U.S. taxes that are not creditable under applicable income tax treaties. The U.S. Internal Revenue Service (the “IRS”) has released notices which indicate that the Treasury Department and the IRS are considering amendments to the Foreign Tax Credit Regulations and provide temporary relief from certain of their provisions until such time as the IRS issues a subsequent notice or other guidance withdrawing or modifying the temporary relief (or any later date specified in the relevant notice or guidance). The rules governing the calculation and timing of foreign tax credits and the deduction of foreign taxes are complex and depend upon a U.S. Holder’s particular circumstances. Accordingly, U.S. investors that are not eligible for Treaty benefits should consult their tax advisors regarding the creditability or deductibility of any non-U.S. taxes imposed on dividends on, or dispositions of, ordinary shares. This discussion does not apply to investors in this special situation.</w:t>
      </w:r>
    </w:p>
    <w:p>
      <w:pPr>
        <w:spacing w:after="0" w:line="144" w:lineRule="exact"/>
        <w:rPr>
          <w:sz w:val="20"/>
          <w:szCs w:val="20"/>
          <w:color w:val="auto"/>
        </w:rPr>
      </w:pPr>
    </w:p>
    <w:p>
      <w:pPr>
        <w:ind w:left="9" w:right="40"/>
        <w:spacing w:after="0" w:line="276" w:lineRule="auto"/>
        <w:rPr>
          <w:sz w:val="20"/>
          <w:szCs w:val="20"/>
          <w:color w:val="auto"/>
        </w:rPr>
      </w:pPr>
      <w:r>
        <w:rPr>
          <w:rFonts w:ascii="Arial" w:cs="Arial" w:eastAsia="Arial" w:hAnsi="Arial"/>
          <w:sz w:val="15"/>
          <w:szCs w:val="15"/>
          <w:color w:val="auto"/>
        </w:rPr>
        <w:t>U.S. Holders should consult their tax advisors concerning the U.S. federal, state, local and non-U.S. tax consequences of owning and disposing of the ordinary shares in their particular circumstances.</w:t>
      </w:r>
    </w:p>
    <w:p>
      <w:pPr>
        <w:spacing w:after="0" w:line="117"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Taxation of Distributions</w:t>
      </w:r>
    </w:p>
    <w:p>
      <w:pPr>
        <w:spacing w:after="0" w:line="170" w:lineRule="exact"/>
        <w:rPr>
          <w:sz w:val="20"/>
          <w:szCs w:val="20"/>
          <w:color w:val="auto"/>
        </w:rPr>
      </w:pPr>
    </w:p>
    <w:p>
      <w:pPr>
        <w:ind w:left="9" w:right="120"/>
        <w:spacing w:after="0" w:line="242" w:lineRule="auto"/>
        <w:rPr>
          <w:sz w:val="20"/>
          <w:szCs w:val="20"/>
          <w:color w:val="auto"/>
        </w:rPr>
      </w:pPr>
      <w:r>
        <w:rPr>
          <w:rFonts w:ascii="Arial" w:cs="Arial" w:eastAsia="Arial" w:hAnsi="Arial"/>
          <w:sz w:val="15"/>
          <w:szCs w:val="15"/>
          <w:color w:val="auto"/>
        </w:rPr>
        <w:t>Subject to the discussion under “—Passive Foreign Investment Company Rules” below, distributions (if any) paid on ordinary shares, other than certain pro rata distributions of ordinary shares, will generally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generally will be reported to U.S. Holders as dividends. Dividends paid to certain non-corporate U.S. Holders may be eligible for taxation as “qualified dividend income” and therefore, subject to applicable limitations, may be taxable at long-term capital gain rates. Dividends may constitute qualified dividend income if</w:t>
      </w:r>
    </w:p>
    <w:p>
      <w:pPr>
        <w:spacing w:after="0" w:line="1" w:lineRule="exact"/>
        <w:rPr>
          <w:sz w:val="20"/>
          <w:szCs w:val="20"/>
          <w:color w:val="auto"/>
        </w:rPr>
      </w:pPr>
    </w:p>
    <w:p>
      <w:pPr>
        <w:ind w:left="9" w:right="160" w:hanging="9"/>
        <w:spacing w:after="0" w:line="243" w:lineRule="auto"/>
        <w:tabs>
          <w:tab w:leader="none" w:pos="237"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ordinary shares with respect to which the dividends are paid are listed on Nasdaq or are otherwise considered “readily tradable” on an established securities market for U.S. federal income tax purposes or we are eligible for benefits under the Treaty and (b) we are not a PFIC in the year in which the dividend is paid or the prior taxable year. However, there can be no assurance that our ordinary shares will remain listed or otherwise be considered readily tradable on an established securities market in the future, nor (as discussed under “Passive Foreign Investment Company Rules” below) that we will not be a PFIC for any future taxable year. U.S. Holders should consult their tax advisors regarding the availability of the reduced tax rate on dividends in their particular circumstances.</w:t>
      </w:r>
    </w:p>
    <w:p>
      <w:pPr>
        <w:spacing w:after="0" w:line="141" w:lineRule="exact"/>
        <w:rPr>
          <w:sz w:val="20"/>
          <w:szCs w:val="20"/>
          <w:color w:val="auto"/>
        </w:rPr>
      </w:pPr>
    </w:p>
    <w:p>
      <w:pPr>
        <w:ind w:left="9" w:right="40"/>
        <w:spacing w:after="0" w:line="246" w:lineRule="auto"/>
        <w:rPr>
          <w:sz w:val="20"/>
          <w:szCs w:val="20"/>
          <w:color w:val="auto"/>
        </w:rPr>
      </w:pPr>
      <w:r>
        <w:rPr>
          <w:rFonts w:ascii="Arial" w:cs="Arial" w:eastAsia="Arial" w:hAnsi="Arial"/>
          <w:sz w:val="15"/>
          <w:szCs w:val="15"/>
          <w:color w:val="auto"/>
        </w:rPr>
        <w:t>As described below under “—Material Dutch Tax Considerations” and “—Material German Tax Considerations,” it is expected that any dividends we pay to a U.S. Holder will be subject to German withholding tax (and will not be subject to Dutch withholding tax). The amount of a dividend will include any amounts withheld in respect of German income taxes. The amount of the dividend will be treated as foreign-source dividend income to U.S. Holders and will not be eligible for a dividends-received deduction generally available to U.S. corporations under the Code. Dividends will be included in a U.S. Holder’s income on the date of the U.S. Holder’s receipt of the dividend. The amount of any dividend income paid in euros will be the U.S. dollar amount calculated by reference to the exchange rate in effect on the date</w:t>
      </w:r>
    </w:p>
    <w:p>
      <w:pPr>
        <w:spacing w:after="0" w:line="200" w:lineRule="exact"/>
        <w:rPr>
          <w:sz w:val="20"/>
          <w:szCs w:val="20"/>
          <w:color w:val="auto"/>
        </w:rPr>
      </w:pPr>
    </w:p>
    <w:p>
      <w:pPr>
        <w:spacing w:after="0" w:line="207" w:lineRule="exact"/>
        <w:rPr>
          <w:sz w:val="20"/>
          <w:szCs w:val="20"/>
          <w:color w:val="auto"/>
        </w:rPr>
      </w:pPr>
    </w:p>
    <w:p>
      <w:pPr>
        <w:jc w:val="center"/>
        <w:ind w:right="-68"/>
        <w:spacing w:after="0"/>
        <w:rPr>
          <w:sz w:val="20"/>
          <w:szCs w:val="20"/>
          <w:color w:val="auto"/>
        </w:rPr>
      </w:pPr>
      <w:r>
        <w:rPr>
          <w:rFonts w:ascii="Arial" w:cs="Arial" w:eastAsia="Arial" w:hAnsi="Arial"/>
          <w:sz w:val="15"/>
          <w:szCs w:val="15"/>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715327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09"/>
          </w:cols>
          <w:pgMar w:left="311" w:top="223" w:right="379" w:bottom="1440" w:gutter="0" w:footer="0" w:header="0"/>
        </w:sectPr>
      </w:pPr>
    </w:p>
    <w:bookmarkStart w:id="49" w:name="page50"/>
    <w:bookmarkEnd w:id="49"/>
    <w:p>
      <w:pPr>
        <w:ind w:left="20"/>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spacing w:after="0" w:line="257" w:lineRule="auto"/>
        <w:rPr>
          <w:sz w:val="20"/>
          <w:szCs w:val="20"/>
          <w:color w:val="auto"/>
        </w:rPr>
      </w:pPr>
      <w:r>
        <w:rPr>
          <w:rFonts w:ascii="Arial" w:cs="Arial" w:eastAsia="Arial" w:hAnsi="Arial"/>
          <w:sz w:val="15"/>
          <w:szCs w:val="15"/>
          <w:color w:val="auto"/>
        </w:rPr>
        <w:t>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31" w:lineRule="exact"/>
        <w:rPr>
          <w:sz w:val="20"/>
          <w:szCs w:val="20"/>
          <w:color w:val="auto"/>
        </w:rPr>
      </w:pPr>
    </w:p>
    <w:p>
      <w:pPr>
        <w:ind w:right="60"/>
        <w:spacing w:after="0" w:line="241" w:lineRule="auto"/>
        <w:rPr>
          <w:sz w:val="20"/>
          <w:szCs w:val="20"/>
          <w:color w:val="auto"/>
        </w:rPr>
      </w:pPr>
      <w:r>
        <w:rPr>
          <w:rFonts w:ascii="Arial" w:cs="Arial" w:eastAsia="Arial" w:hAnsi="Arial"/>
          <w:sz w:val="15"/>
          <w:szCs w:val="15"/>
          <w:color w:val="auto"/>
        </w:rPr>
        <w:t>Subject to applicable limitations, some of which vary depending upon the U.S. Holder’s particular circumstances, and the discussion below regarding the Foreign Tax Credit Regulations, German taxes withheld from dividends on ordinary shares (at a rate not exceeding the rate provided by the Treaty, in the case of a U.S. Holder eligible for a reduced rate under the Treaty) will be creditable against the U.S. Holder’s U.S. federal income tax liability. As discussed under “—Material German Tax Considerations” below, Germany requires special procedures to be followed by U.S. Holders eligible for a reduced rate under the Treaty to obtain the benefit of such reduced rate. The rules governing foreign tax credits are complex. For example, the Foreign Tax Credit Regulations provide that, in the absence of an election to apply the benefits of an applicable income tax treaty, in order for foreign income taxes (including foreign withholding taxes treated as income taxes) to be creditable, the relevant foreign jurisdiction’s income tax rules must be consistent with certain U.S. federal income tax principles, and we have not determined whether the German income tax system meets these requirements. However, under the temporary relief in the notices described above, certain of the requirements for making this determination would not apply until such time as the IRS withdraws or modifies this temporary relief (or any later date specified in the relevant notice or guidance). Whether the IRS will withdraw this relief for 2025 or future years is inherently uncertain. U.S. Holders should consult their tax advisors regarding the creditability of any German taxes in their particular circumstances. In lieu of claiming a foreign tax credit, a U.S. Holder may be able to elect to deduct foreign taxes, such as the German withholding tax, in computing its taxable income, subject to generally applicable limitations under U.S. law. An election to deduct otherwise creditable non-U.S. taxes instead of claiming foreign tax credits applies to all creditable non-U.S. taxes paid or accrued in the taxable year.</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Sale or Other Disposition of Ordinary Shares</w:t>
      </w:r>
    </w:p>
    <w:p>
      <w:pPr>
        <w:spacing w:after="0" w:line="170" w:lineRule="exact"/>
        <w:rPr>
          <w:sz w:val="20"/>
          <w:szCs w:val="20"/>
          <w:color w:val="auto"/>
        </w:rPr>
      </w:pPr>
    </w:p>
    <w:p>
      <w:pPr>
        <w:ind w:right="100"/>
        <w:spacing w:after="0" w:line="244" w:lineRule="auto"/>
        <w:rPr>
          <w:sz w:val="20"/>
          <w:szCs w:val="20"/>
          <w:color w:val="auto"/>
        </w:rPr>
      </w:pPr>
      <w:r>
        <w:rPr>
          <w:rFonts w:ascii="Arial" w:cs="Arial" w:eastAsia="Arial" w:hAnsi="Arial"/>
          <w:sz w:val="15"/>
          <w:szCs w:val="15"/>
          <w:color w:val="auto"/>
        </w:rPr>
        <w:t>Subject to the discussion under “—Passive Foreign Investment Company Rules” below, gain or loss realized by a U.S. Holder on the sale or other disposition of ordinary shares will be capital gain or loss, and will be long-term capital gain or loss if the U.S. Holder’s holding period for such ordinary shares was more than one year as of the date of the sale or other disposition. The amount of the gain or loss will equal the difference between the U.S. Holder’s tax basis in the ordinary shares disposed of and the amount realized on the disposition, in each case as determined in U.S. dollars. Long-term capital gain recognized by a non-corporate U.S. Holder is subject to U.S. federal income tax at rates lower than the rates applicable to ordinary income and short-term capital gains, while short-term capital gains are subject to U.S. federal income tax at the rates applicable to ordinary income. This gain or loss will generally be U.S.-source gain or loss for foreign tax credit purposes. The deductibility of capital losses is subject to various limitations.</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Passive Foreign Investment Company Rules</w:t>
      </w:r>
    </w:p>
    <w:p>
      <w:pPr>
        <w:spacing w:after="0" w:line="170" w:lineRule="exact"/>
        <w:rPr>
          <w:sz w:val="20"/>
          <w:szCs w:val="20"/>
          <w:color w:val="auto"/>
        </w:rPr>
      </w:pPr>
    </w:p>
    <w:p>
      <w:pPr>
        <w:spacing w:after="0" w:line="243" w:lineRule="auto"/>
        <w:rPr>
          <w:sz w:val="20"/>
          <w:szCs w:val="20"/>
          <w:color w:val="auto"/>
        </w:rPr>
      </w:pPr>
      <w:r>
        <w:rPr>
          <w:rFonts w:ascii="Arial" w:cs="Arial" w:eastAsia="Arial" w:hAnsi="Arial"/>
          <w:sz w:val="15"/>
          <w:szCs w:val="15"/>
          <w:color w:val="auto"/>
        </w:rPr>
        <w:t>Under the Code, we will be a PFIC for any taxable year in which either (i) 75% or more of our gross income consists of “passive income” or (ii) 50% or more of the average quarterly value of our assets consist of assets that produce, or are held for the production of, “passive income.” For purposes of the above calculations,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interest, dividends, certain non-active rents and royalties (other than certain rents and royalties derived in an active conduct of a trade or business), and capital gains. Cash is generally a passive asset for these purposes. In addition, intangible assets, such as intellectual property and goodwill (the value of which may be determined by reference to the excess of the sum of a corporation’s market capitalization and liabilities over the value of its assets) are generally characterized as an active asset to the extent it is attributable to activities that produce active income.</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50" w:name="page51"/>
    <w:bookmarkEnd w:id="50"/>
    <w:p>
      <w:pPr>
        <w:ind w:left="20"/>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ind w:right="40"/>
        <w:spacing w:after="0" w:line="244" w:lineRule="auto"/>
        <w:rPr>
          <w:sz w:val="20"/>
          <w:szCs w:val="20"/>
          <w:color w:val="auto"/>
        </w:rPr>
      </w:pPr>
      <w:r>
        <w:rPr>
          <w:rFonts w:ascii="Arial" w:cs="Arial" w:eastAsia="Arial" w:hAnsi="Arial"/>
          <w:sz w:val="15"/>
          <w:szCs w:val="15"/>
          <w:color w:val="auto"/>
        </w:rPr>
        <w:t>Whether we will be a PFIC in the current or any future year is uncertain because, among other things, (i) we currently own, and likely will continue to own, a substantial amount of passive assets, including cash, (ii) the valuation of our assets that generate non-passive income for PFIC purposes, including our intangible assets, is uncertain and may be determined in substantial part by our market capitalization, which may vary substantially over time and (iii) the timing of our recognition of active income for U.S. federal income tax purposes, which may differ from the timing of the recognition of such income for financial accounting purposes, may result in our recognizing lesser amounts of active income for U.S. federal income tax purposes in certain taxable years. In particular, our market capitalization has been volatile. Accordingly, to the extent that the value of our non-passive assets is determined by reference to our market capitalization, there is a significant risk that we may be a PFIC for our current taxable year and possibly future taxable years. However, such determination can only be made after the end of the taxable year.</w:t>
      </w:r>
    </w:p>
    <w:p>
      <w:pPr>
        <w:spacing w:after="0" w:line="144" w:lineRule="exact"/>
        <w:rPr>
          <w:sz w:val="20"/>
          <w:szCs w:val="20"/>
          <w:color w:val="auto"/>
        </w:rPr>
      </w:pPr>
    </w:p>
    <w:p>
      <w:pPr>
        <w:ind w:right="20"/>
        <w:spacing w:after="0" w:line="243" w:lineRule="auto"/>
        <w:rPr>
          <w:sz w:val="20"/>
          <w:szCs w:val="20"/>
          <w:color w:val="auto"/>
        </w:rPr>
      </w:pPr>
      <w:r>
        <w:rPr>
          <w:rFonts w:ascii="Arial" w:cs="Arial" w:eastAsia="Arial" w:hAnsi="Arial"/>
          <w:sz w:val="15"/>
          <w:szCs w:val="15"/>
          <w:color w:val="auto"/>
        </w:rPr>
        <w:t>If we are a PFIC for any year during which a U.S. Holder holds ordinary shares, we will continue to be treated as a PFIC with respect to that U.S. Holder for all succeeding years during which the U.S. Holder holds ordinary shares, even if we cease to meet the threshold requirements for PFIC status, unless the U.S. Holder elects to recognize gain, if any, as if it sold its ordinary shares as of the last day of the last tax year in which we are a PFIC (a “Purging Election”). In addition, we may, directly or indirectly, have held or hold equity interests in other PFICs (collectively, “Lower-tier PFICs”). Under attribution rules, if we are a PFIC, U.S. Holders will be deemed to own their proportionate shares of the stock of Lower-tier PFICs and will be subject to U.S. federal income tax according to the rules described in the following paragraphs on (i) certain distributions by a Lower-tier PFIC and (ii) a disposition of shares of a Lower-tier PFIC, in each case as if the U.S. Holder held those shares directly, even though it will not have received the proceeds of those distributions or dispositions directly. U.S. Holders should consult their tax advisors about the consequences to them if we own one or more Lower-tier PFICs.</w:t>
      </w:r>
    </w:p>
    <w:p>
      <w:pPr>
        <w:spacing w:after="0" w:line="145" w:lineRule="exact"/>
        <w:rPr>
          <w:sz w:val="20"/>
          <w:szCs w:val="20"/>
          <w:color w:val="auto"/>
        </w:rPr>
      </w:pPr>
    </w:p>
    <w:p>
      <w:pPr>
        <w:spacing w:after="0" w:line="243" w:lineRule="auto"/>
        <w:rPr>
          <w:sz w:val="20"/>
          <w:szCs w:val="20"/>
          <w:color w:val="auto"/>
        </w:rPr>
      </w:pPr>
      <w:r>
        <w:rPr>
          <w:rFonts w:ascii="Arial" w:cs="Arial" w:eastAsia="Arial" w:hAnsi="Arial"/>
          <w:sz w:val="15"/>
          <w:szCs w:val="15"/>
          <w:color w:val="auto"/>
        </w:rPr>
        <w:t>If we are a PFIC for any taxable year during which a U.S. Holder holds ordinary shares (assuming the U.S. Holder has not made one of certain elections, as described below), gain recognized by the U.S. Holder on the sale or other disposition (including certain pledges) of ordinary shares (including any gain recognized as a consequence of a Purging Election) will be allocated ratably over the U.S. Holder’s holding period for the ordinary shares. The amounts allocated to the taxable year of the sale or other disposition and to any year before we became a PFIC will be taxed as ordinary income. The amount allocated to each other taxable year will be subject to tax at the highest rate in effect for individuals or corporations, as appropriate, for that taxable year, and an interest charge will be imposed on the resulting tax liability. Further, to the extent that any distribution received by a U.S. Holder on its ordinary shares exceeds 125% of the average of the annual distributions on the ordinary shares received during the preceding three years or the U.S. Holder’s holding period, whichever is shorter, that distribution will be subject to taxation in the same manner as gain.</w:t>
      </w:r>
    </w:p>
    <w:p>
      <w:pPr>
        <w:spacing w:after="0" w:line="145" w:lineRule="exact"/>
        <w:rPr>
          <w:sz w:val="20"/>
          <w:szCs w:val="20"/>
          <w:color w:val="auto"/>
        </w:rPr>
      </w:pPr>
    </w:p>
    <w:p>
      <w:pPr>
        <w:ind w:right="60"/>
        <w:spacing w:after="0" w:line="243" w:lineRule="auto"/>
        <w:rPr>
          <w:sz w:val="20"/>
          <w:szCs w:val="20"/>
          <w:color w:val="auto"/>
        </w:rPr>
      </w:pPr>
      <w:r>
        <w:rPr>
          <w:rFonts w:ascii="Arial" w:cs="Arial" w:eastAsia="Arial" w:hAnsi="Arial"/>
          <w:sz w:val="15"/>
          <w:szCs w:val="15"/>
          <w:color w:val="auto"/>
        </w:rPr>
        <w:t>If we were a PFIC and a U.S. Holder made either (a) an election to treat our ordinary shares as stock of a “qualified electing fund,” or “QEF”, or (b) a “mark-to-market” election with respect to our ordinary shares, that election would alleviate some of the adverse tax consequences of PFIC status and would result in an alternative treatment of the ordinary shares. If we determine that we are a PFIC for any taxable year, we intend to provide the information for U.S. Holders to make or maintain a QEF election, including information necessary to determine the appropriate income inclusion amounts for purposes of the QEF election. However, we cannot give any assurance that we will have timely knowledge of our status as a PFIC in the future or that we will provide the information necessary for U.S. Holders to make “QEF elections.” Furthermore, the availability of a “mark-to-market election” with respect to the ordinary shares is a factual determination that will depend on the manner and quantity of trading of our ordinary shares. A mark-to-market election cannot be made with respect to the stock of any of our subsidiaries. U.S. Holders should consult their tax advisors regarding whether any of these elections for alternative treatment would be available and, if so, what the consequences of the alternative treatments would be in their particular circumstances.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51" w:name="page52"/>
    <w:bookmarkEnd w:id="51"/>
    <w:p>
      <w:pPr>
        <w:ind w:left="20"/>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ind w:right="380"/>
        <w:spacing w:after="0" w:line="276" w:lineRule="auto"/>
        <w:rPr>
          <w:sz w:val="20"/>
          <w:szCs w:val="20"/>
          <w:color w:val="auto"/>
        </w:rPr>
      </w:pPr>
      <w:r>
        <w:rPr>
          <w:rFonts w:ascii="Arial" w:cs="Arial" w:eastAsia="Arial" w:hAnsi="Arial"/>
          <w:sz w:val="15"/>
          <w:szCs w:val="15"/>
          <w:color w:val="auto"/>
        </w:rPr>
        <w:t>If we are a PFIC (or, with respect to a particular U.S. Holder, are treated as a PFIC) for a taxable year in which we pay a dividend or for the prior taxable year, the preferential dividend rates discussed above with respect to dividends paid to certain non-corporate U.S. Holders will not apply.</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5"/>
          <w:szCs w:val="15"/>
          <w:color w:val="auto"/>
        </w:rPr>
        <w:t>If we are a PFIC for a taxable year during which a U.S. Holder holds ordinary shares, the U.S. Holder will generally be required to file an annual report on IRS Form 8621 with its annual U.S. federal income tax returns, subject to certain exceptions. The failure to file IRS Form 8621 could result in the imposition of penalties and the extension of the statute of limitations with respect to U.S. federal income tax.</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auto"/>
        </w:rPr>
        <w:t>Prospective U.S. Holders should consult their tax advisors regarding the potential PFIC rules to an investment in ordinary shares.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Information Reporting and Backup Withholding</w:t>
      </w:r>
    </w:p>
    <w:p>
      <w:pPr>
        <w:spacing w:after="0" w:line="170" w:lineRule="exact"/>
        <w:rPr>
          <w:sz w:val="20"/>
          <w:szCs w:val="20"/>
          <w:color w:val="auto"/>
        </w:rPr>
      </w:pPr>
    </w:p>
    <w:p>
      <w:pPr>
        <w:jc w:val="both"/>
        <w:ind w:right="380"/>
        <w:spacing w:after="0" w:line="257" w:lineRule="auto"/>
        <w:rPr>
          <w:sz w:val="20"/>
          <w:szCs w:val="20"/>
          <w:color w:val="auto"/>
        </w:rPr>
      </w:pPr>
      <w:r>
        <w:rPr>
          <w:rFonts w:ascii="Arial" w:cs="Arial" w:eastAsia="Arial" w:hAnsi="Arial"/>
          <w:sz w:val="15"/>
          <w:szCs w:val="15"/>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31" w:lineRule="exact"/>
        <w:rPr>
          <w:sz w:val="20"/>
          <w:szCs w:val="20"/>
          <w:color w:val="auto"/>
        </w:rPr>
      </w:pPr>
    </w:p>
    <w:p>
      <w:pPr>
        <w:ind w:right="120"/>
        <w:spacing w:after="0" w:line="276" w:lineRule="auto"/>
        <w:rPr>
          <w:sz w:val="20"/>
          <w:szCs w:val="20"/>
          <w:color w:val="auto"/>
        </w:rPr>
      </w:pPr>
      <w:r>
        <w:rPr>
          <w:rFonts w:ascii="Arial" w:cs="Arial" w:eastAsia="Arial" w:hAnsi="Arial"/>
          <w:sz w:val="15"/>
          <w:szCs w:val="15"/>
          <w:color w:val="auto"/>
        </w:rPr>
        <w:t>The amount of any backup withholding from a payment to a U.S. Holder will be allowed as a credit against the U.S. Holder’s U.S. federal income tax liability and may entitle it to a refund, provided that the required information is timely furnished to the IRS.</w:t>
      </w:r>
    </w:p>
    <w:p>
      <w:pPr>
        <w:spacing w:after="0" w:line="117" w:lineRule="exact"/>
        <w:rPr>
          <w:sz w:val="20"/>
          <w:szCs w:val="20"/>
          <w:color w:val="auto"/>
        </w:rPr>
      </w:pPr>
    </w:p>
    <w:p>
      <w:pPr>
        <w:spacing w:after="0" w:line="246" w:lineRule="auto"/>
        <w:rPr>
          <w:sz w:val="20"/>
          <w:szCs w:val="20"/>
          <w:color w:val="auto"/>
        </w:rPr>
      </w:pPr>
      <w:r>
        <w:rPr>
          <w:rFonts w:ascii="Arial" w:cs="Arial" w:eastAsia="Arial" w:hAnsi="Arial"/>
          <w:sz w:val="15"/>
          <w:szCs w:val="15"/>
          <w:color w:val="auto"/>
        </w:rPr>
        <w:t>Certain U.S. Holders who are individuals (and, under regulations, certain entities) may be required to report information relating to the ordinary shares, subject to certain exceptions (including an exception for assets held in accounts maintained by certain U.S. financial institutions), by filing IRS Form 8938 (Statement of Specified Foreign Financial Assets) with their federal income tax return. Such U.S. Holders who fail to timely furnish the required information may be subject to a penalty. Additionally, if a U.S. Holder does not file the required information, the statute of limitations with respect to tax returns of the U.S. Holder to which the information relates may not close until three years after such information is filed. U.S. Holders should consult their tax advisors regarding their reporting obligations with respect to their ownership and disposition of the ordinary shares.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Material Dutch Tax Considerations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Scope of Discussion</w:t>
      </w:r>
    </w:p>
    <w:p>
      <w:pPr>
        <w:spacing w:after="0" w:line="170" w:lineRule="exact"/>
        <w:rPr>
          <w:sz w:val="20"/>
          <w:szCs w:val="20"/>
          <w:color w:val="auto"/>
        </w:rPr>
      </w:pPr>
    </w:p>
    <w:p>
      <w:pPr>
        <w:ind w:right="200"/>
        <w:spacing w:after="0" w:line="251" w:lineRule="auto"/>
        <w:rPr>
          <w:sz w:val="20"/>
          <w:szCs w:val="20"/>
          <w:color w:val="auto"/>
        </w:rPr>
      </w:pPr>
      <w:r>
        <w:rPr>
          <w:rFonts w:ascii="Arial" w:cs="Arial" w:eastAsia="Arial" w:hAnsi="Arial"/>
          <w:sz w:val="15"/>
          <w:szCs w:val="15"/>
          <w:color w:val="auto"/>
        </w:rPr>
        <w:t>The section only outlines certain material Dutch tax consequences of the acquisition, holding and disposal of the ordinary shares. This section does not purport to describe all possible tax considerations or consequences that may be relevant to a holder or prospective holder of ordinary shares and does not purport to deal with the tax consequences applicable to all categories of investors, some of which (such as trusts or similar arrangements) may be subject to special rules. In view of its general nature, this section should be treated with corresponding caution.</w:t>
      </w:r>
    </w:p>
    <w:p>
      <w:pPr>
        <w:spacing w:after="0" w:line="135" w:lineRule="exact"/>
        <w:rPr>
          <w:sz w:val="20"/>
          <w:szCs w:val="20"/>
          <w:color w:val="auto"/>
        </w:rPr>
      </w:pPr>
    </w:p>
    <w:p>
      <w:pPr>
        <w:ind w:right="640"/>
        <w:spacing w:after="0" w:line="276" w:lineRule="auto"/>
        <w:rPr>
          <w:sz w:val="20"/>
          <w:szCs w:val="20"/>
          <w:color w:val="auto"/>
        </w:rPr>
      </w:pPr>
      <w:r>
        <w:rPr>
          <w:rFonts w:ascii="Arial" w:cs="Arial" w:eastAsia="Arial" w:hAnsi="Arial"/>
          <w:sz w:val="15"/>
          <w:szCs w:val="15"/>
          <w:color w:val="auto"/>
        </w:rPr>
        <w:t>For the purposes of this discussion, it is assumed that we are a tax resident of Germany under German national tax laws since we intended to have, from our incorporation and on a continuous basis, our place of effective management in Germany.</w:t>
      </w:r>
    </w:p>
    <w:p>
      <w:pPr>
        <w:spacing w:after="0" w:line="117" w:lineRule="exact"/>
        <w:rPr>
          <w:sz w:val="20"/>
          <w:szCs w:val="20"/>
          <w:color w:val="auto"/>
        </w:rPr>
      </w:pPr>
    </w:p>
    <w:p>
      <w:pPr>
        <w:ind w:right="140"/>
        <w:spacing w:after="0" w:line="247" w:lineRule="auto"/>
        <w:rPr>
          <w:sz w:val="20"/>
          <w:szCs w:val="20"/>
          <w:color w:val="auto"/>
        </w:rPr>
      </w:pPr>
      <w:r>
        <w:rPr>
          <w:rFonts w:ascii="Arial" w:cs="Arial" w:eastAsia="Arial" w:hAnsi="Arial"/>
          <w:sz w:val="15"/>
          <w:szCs w:val="15"/>
          <w:color w:val="auto"/>
        </w:rPr>
        <w:t>Except as otherwise indicated, this section is based on and only addresses the tax laws of the Netherlands, published regulations thereunder and published authoritative case law, all as in effect on the date hereof, including, for the avoidance of doubt, the tax rates, tax brackets and deemed returns applicable on the date hereof, and all of which are subject to change, possibly with retroactive effect. Where this section refers to “the Netherlands” or “Dutch” it refers only to the part of the Kingdom of the Netherlands located in Europe. The applicable tax laws or interpretations thereof may change, or the relevant facts and circumstances may change, and such changes may affect the contents of this section, which will not be updated to reflect any such changes.</w:t>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00"/>
          </w:cols>
          <w:pgMar w:left="320" w:top="223" w:right="379" w:bottom="1440" w:gutter="0" w:footer="0" w:header="0"/>
        </w:sectPr>
      </w:pPr>
    </w:p>
    <w:bookmarkStart w:id="52" w:name="page53"/>
    <w:bookmarkEnd w:id="52"/>
    <w:p>
      <w:pPr>
        <w:ind w:left="20"/>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ind w:right="340"/>
        <w:spacing w:after="0" w:line="257" w:lineRule="auto"/>
        <w:rPr>
          <w:sz w:val="20"/>
          <w:szCs w:val="20"/>
          <w:color w:val="auto"/>
        </w:rPr>
      </w:pPr>
      <w:r>
        <w:rPr>
          <w:rFonts w:ascii="Arial" w:cs="Arial" w:eastAsia="Arial" w:hAnsi="Arial"/>
          <w:sz w:val="15"/>
          <w:szCs w:val="15"/>
          <w:color w:val="auto"/>
        </w:rPr>
        <w:t>This section is intended as general information only and is not Dutch tax advice or a complete description of all Dutch tax consequences relating to the acquisition, holding and disposal of the ordinary shares. Holders or prospective holders of ordinary shares should consult their own tax advisor regarding the Dutch tax consequences relating to the acquisition, holding and disposal of ordinary shares in light of their particular circumstances.</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auto"/>
        </w:rPr>
        <w:t>Please note that this section does not describe the Dutch tax consequences for:</w:t>
      </w:r>
    </w:p>
    <w:p>
      <w:pPr>
        <w:spacing w:after="0" w:line="170" w:lineRule="exact"/>
        <w:rPr>
          <w:sz w:val="20"/>
          <w:szCs w:val="20"/>
          <w:color w:val="auto"/>
        </w:rPr>
      </w:pPr>
    </w:p>
    <w:p>
      <w:pPr>
        <w:ind w:left="540" w:right="20" w:hanging="274"/>
        <w:spacing w:after="0" w:line="244" w:lineRule="auto"/>
        <w:tabs>
          <w:tab w:leader="none" w:pos="540" w:val="left"/>
        </w:tabs>
        <w:numPr>
          <w:ilvl w:val="0"/>
          <w:numId w:val="28"/>
        </w:numPr>
        <w:rPr>
          <w:rFonts w:ascii="Times New Roman" w:cs="Times New Roman" w:eastAsia="Times New Roman" w:hAnsi="Times New Roman"/>
          <w:sz w:val="15"/>
          <w:szCs w:val="15"/>
          <w:color w:val="auto"/>
        </w:rPr>
      </w:pPr>
      <w:r>
        <w:rPr>
          <w:rFonts w:ascii="Arial" w:cs="Arial" w:eastAsia="Arial" w:hAnsi="Arial"/>
          <w:sz w:val="15"/>
          <w:szCs w:val="15"/>
          <w:color w:val="auto"/>
        </w:rPr>
        <w:t>a holder of ordinary shares if such holder has a substantial interest (</w:t>
      </w:r>
      <w:r>
        <w:rPr>
          <w:rFonts w:ascii="Arial" w:cs="Arial" w:eastAsia="Arial" w:hAnsi="Arial"/>
          <w:sz w:val="15"/>
          <w:szCs w:val="15"/>
          <w:i w:val="1"/>
          <w:iCs w:val="1"/>
          <w:color w:val="auto"/>
        </w:rPr>
        <w:t>aanmerkelijk belang</w:t>
      </w:r>
      <w:r>
        <w:rPr>
          <w:rFonts w:ascii="Arial" w:cs="Arial" w:eastAsia="Arial" w:hAnsi="Arial"/>
          <w:sz w:val="15"/>
          <w:szCs w:val="15"/>
          <w:color w:val="auto"/>
        </w:rPr>
        <w:t>) or deemed substantial interest (</w:t>
      </w:r>
      <w:r>
        <w:rPr>
          <w:rFonts w:ascii="Arial" w:cs="Arial" w:eastAsia="Arial" w:hAnsi="Arial"/>
          <w:sz w:val="15"/>
          <w:szCs w:val="15"/>
          <w:i w:val="1"/>
          <w:iCs w:val="1"/>
          <w:color w:val="auto"/>
        </w:rPr>
        <w:t>fictief aanmerkelijk belang</w:t>
      </w:r>
      <w:r>
        <w:rPr>
          <w:rFonts w:ascii="Arial" w:cs="Arial" w:eastAsia="Arial" w:hAnsi="Arial"/>
          <w:sz w:val="15"/>
          <w:szCs w:val="15"/>
          <w:color w:val="auto"/>
        </w:rPr>
        <w:t>) in us under the Dutch Income Tax Act 2001 (</w:t>
      </w:r>
      <w:r>
        <w:rPr>
          <w:rFonts w:ascii="Arial" w:cs="Arial" w:eastAsia="Arial" w:hAnsi="Arial"/>
          <w:sz w:val="15"/>
          <w:szCs w:val="15"/>
          <w:i w:val="1"/>
          <w:iCs w:val="1"/>
          <w:color w:val="auto"/>
        </w:rPr>
        <w:t>Wet inkomstenbelasting 2001</w:t>
      </w:r>
      <w:r>
        <w:rPr>
          <w:rFonts w:ascii="Arial" w:cs="Arial" w:eastAsia="Arial" w:hAnsi="Arial"/>
          <w:sz w:val="15"/>
          <w:szCs w:val="15"/>
          <w:color w:val="auto"/>
        </w:rPr>
        <w:t>). Generally, a holder is considered to hold a substantial interest in us, if such holder alone or, in the case of an individual, together with such holder’s partner for Dutch income tax purposes, or any relatives by blood or marriage in the direct line (including foster children), directly or indirectly, holds (i) an interest of 5% or more of our total issued and outstanding capital or of 5% or more of the issued and outstanding capital of a certain class of shares; or (ii) rights (including warrants) to acquire, directly or indirectly, such interest; or (iii) certain profit sharing rights that relate to 5% or more of our annual profits or to 5% or more of our liquidation proceeds. A deemed substantial interest may arise if a substantial interest (or part thereof) in us has been disposed of, or is deemed to have been disposed of, on a non-recognition basis;</w:t>
      </w:r>
    </w:p>
    <w:p>
      <w:pPr>
        <w:spacing w:after="0" w:line="142" w:lineRule="exact"/>
        <w:rPr>
          <w:rFonts w:ascii="Times New Roman" w:cs="Times New Roman" w:eastAsia="Times New Roman" w:hAnsi="Times New Roman"/>
          <w:sz w:val="15"/>
          <w:szCs w:val="15"/>
          <w:color w:val="auto"/>
        </w:rPr>
      </w:pPr>
    </w:p>
    <w:p>
      <w:pPr>
        <w:ind w:left="540" w:right="160" w:hanging="274"/>
        <w:spacing w:after="0" w:line="250" w:lineRule="auto"/>
        <w:tabs>
          <w:tab w:leader="none" w:pos="540" w:val="left"/>
        </w:tabs>
        <w:numPr>
          <w:ilvl w:val="0"/>
          <w:numId w:val="28"/>
        </w:numPr>
        <w:rPr>
          <w:rFonts w:ascii="Times New Roman" w:cs="Times New Roman" w:eastAsia="Times New Roman" w:hAnsi="Times New Roman"/>
          <w:sz w:val="15"/>
          <w:szCs w:val="15"/>
          <w:color w:val="auto"/>
        </w:rPr>
      </w:pPr>
      <w:r>
        <w:rPr>
          <w:rFonts w:ascii="Arial" w:cs="Arial" w:eastAsia="Arial" w:hAnsi="Arial"/>
          <w:sz w:val="15"/>
          <w:szCs w:val="15"/>
          <w:color w:val="auto"/>
        </w:rPr>
        <w:t>a holder of ordinary shares if the ordinary shares held by such holder qualify or qualified as a participation (</w:t>
      </w:r>
      <w:r>
        <w:rPr>
          <w:rFonts w:ascii="Arial" w:cs="Arial" w:eastAsia="Arial" w:hAnsi="Arial"/>
          <w:sz w:val="15"/>
          <w:szCs w:val="15"/>
          <w:i w:val="1"/>
          <w:iCs w:val="1"/>
          <w:color w:val="auto"/>
        </w:rPr>
        <w:t>deelneming</w:t>
      </w:r>
      <w:r>
        <w:rPr>
          <w:rFonts w:ascii="Arial" w:cs="Arial" w:eastAsia="Arial" w:hAnsi="Arial"/>
          <w:sz w:val="15"/>
          <w:szCs w:val="15"/>
          <w:color w:val="auto"/>
        </w:rPr>
        <w:t>) for purposes of the Dutch Corporate Income Tax Act 1969 (</w:t>
      </w:r>
      <w:r>
        <w:rPr>
          <w:rFonts w:ascii="Arial" w:cs="Arial" w:eastAsia="Arial" w:hAnsi="Arial"/>
          <w:sz w:val="15"/>
          <w:szCs w:val="15"/>
          <w:i w:val="1"/>
          <w:iCs w:val="1"/>
          <w:color w:val="auto"/>
        </w:rPr>
        <w:t>Wet op de vennootschapsbelasting 1969</w:t>
      </w:r>
      <w:r>
        <w:rPr>
          <w:rFonts w:ascii="Arial" w:cs="Arial" w:eastAsia="Arial" w:hAnsi="Arial"/>
          <w:sz w:val="15"/>
          <w:szCs w:val="15"/>
          <w:color w:val="auto"/>
        </w:rPr>
        <w:t>). Generally, a holder’s shareholding, or right to acquire, of 5% or more in our nominal paid-up share capital qualifies as a participation. A holder may also have a participation if (a) such holder does not have a shareholding of 5% or more but a related entity (statutorily defined term) has a participation or (b) we are a related entity (statutorily defined term);</w:t>
      </w:r>
    </w:p>
    <w:p>
      <w:pPr>
        <w:spacing w:after="0" w:line="137" w:lineRule="exact"/>
        <w:rPr>
          <w:rFonts w:ascii="Times New Roman" w:cs="Times New Roman" w:eastAsia="Times New Roman" w:hAnsi="Times New Roman"/>
          <w:sz w:val="15"/>
          <w:szCs w:val="15"/>
          <w:color w:val="auto"/>
        </w:rPr>
      </w:pPr>
    </w:p>
    <w:p>
      <w:pPr>
        <w:ind w:left="540" w:right="80" w:hanging="274"/>
        <w:spacing w:after="0" w:line="250" w:lineRule="auto"/>
        <w:tabs>
          <w:tab w:leader="none" w:pos="540" w:val="left"/>
        </w:tabs>
        <w:numPr>
          <w:ilvl w:val="0"/>
          <w:numId w:val="28"/>
        </w:numPr>
        <w:rPr>
          <w:rFonts w:ascii="Times New Roman" w:cs="Times New Roman" w:eastAsia="Times New Roman" w:hAnsi="Times New Roman"/>
          <w:sz w:val="15"/>
          <w:szCs w:val="15"/>
          <w:color w:val="auto"/>
        </w:rPr>
      </w:pPr>
      <w:r>
        <w:rPr>
          <w:rFonts w:ascii="Arial" w:cs="Arial" w:eastAsia="Arial" w:hAnsi="Arial"/>
          <w:sz w:val="15"/>
          <w:szCs w:val="15"/>
          <w:color w:val="auto"/>
        </w:rPr>
        <w:t>holder of ordinary shares which is or who is entitled to the dividend withholding tax exemption (</w:t>
      </w:r>
      <w:r>
        <w:rPr>
          <w:rFonts w:ascii="Arial" w:cs="Arial" w:eastAsia="Arial" w:hAnsi="Arial"/>
          <w:sz w:val="15"/>
          <w:szCs w:val="15"/>
          <w:i w:val="1"/>
          <w:iCs w:val="1"/>
          <w:color w:val="auto"/>
        </w:rPr>
        <w:t>inhoudingsvrijstelling</w:t>
      </w:r>
      <w:r>
        <w:rPr>
          <w:rFonts w:ascii="Arial" w:cs="Arial" w:eastAsia="Arial" w:hAnsi="Arial"/>
          <w:sz w:val="15"/>
          <w:szCs w:val="15"/>
          <w:color w:val="auto"/>
        </w:rPr>
        <w:t>) with respect to any income (</w:t>
      </w:r>
      <w:r>
        <w:rPr>
          <w:rFonts w:ascii="Arial" w:cs="Arial" w:eastAsia="Arial" w:hAnsi="Arial"/>
          <w:sz w:val="15"/>
          <w:szCs w:val="15"/>
          <w:i w:val="1"/>
          <w:iCs w:val="1"/>
          <w:color w:val="auto"/>
        </w:rPr>
        <w:t>opbrengst</w:t>
      </w:r>
      <w:r>
        <w:rPr>
          <w:rFonts w:ascii="Arial" w:cs="Arial" w:eastAsia="Arial" w:hAnsi="Arial"/>
          <w:sz w:val="15"/>
          <w:szCs w:val="15"/>
          <w:color w:val="auto"/>
        </w:rPr>
        <w:t>) derived from the ordinary shares (as defined in Article 4 of the Dutch Dividend Withholding Tax Act 1965 (</w:t>
      </w:r>
      <w:r>
        <w:rPr>
          <w:rFonts w:ascii="Arial" w:cs="Arial" w:eastAsia="Arial" w:hAnsi="Arial"/>
          <w:sz w:val="15"/>
          <w:szCs w:val="15"/>
          <w:i w:val="1"/>
          <w:iCs w:val="1"/>
          <w:color w:val="auto"/>
        </w:rPr>
        <w:t>Wet op de dividendbelasting</w:t>
      </w:r>
      <w:r>
        <w:rPr>
          <w:rFonts w:ascii="Arial" w:cs="Arial" w:eastAsia="Arial" w:hAnsi="Arial"/>
          <w:sz w:val="15"/>
          <w:szCs w:val="15"/>
          <w:color w:val="auto"/>
        </w:rPr>
        <w:t>)). Generally, a holder of ordinary shares may be entitled or required to apply, subject to certain other requirements, the dividend withholding tax exemption if it is an entity and holds an interest of 5% or more in our nominal paid-up share capital;</w:t>
      </w:r>
    </w:p>
    <w:p>
      <w:pPr>
        <w:spacing w:after="0" w:line="137" w:lineRule="exact"/>
        <w:rPr>
          <w:rFonts w:ascii="Times New Roman" w:cs="Times New Roman" w:eastAsia="Times New Roman" w:hAnsi="Times New Roman"/>
          <w:sz w:val="15"/>
          <w:szCs w:val="15"/>
          <w:color w:val="auto"/>
        </w:rPr>
      </w:pPr>
    </w:p>
    <w:p>
      <w:pPr>
        <w:ind w:left="540" w:right="80" w:hanging="274"/>
        <w:spacing w:after="0" w:line="247" w:lineRule="auto"/>
        <w:tabs>
          <w:tab w:leader="none" w:pos="540" w:val="left"/>
        </w:tabs>
        <w:numPr>
          <w:ilvl w:val="0"/>
          <w:numId w:val="28"/>
        </w:numPr>
        <w:rPr>
          <w:rFonts w:ascii="Times New Roman" w:cs="Times New Roman" w:eastAsia="Times New Roman" w:hAnsi="Times New Roman"/>
          <w:sz w:val="15"/>
          <w:szCs w:val="15"/>
          <w:color w:val="auto"/>
        </w:rPr>
      </w:pPr>
      <w:r>
        <w:rPr>
          <w:rFonts w:ascii="Arial" w:cs="Arial" w:eastAsia="Arial" w:hAnsi="Arial"/>
          <w:sz w:val="15"/>
          <w:szCs w:val="15"/>
          <w:color w:val="auto"/>
        </w:rPr>
        <w:t>pension funds, investment institutions (</w:t>
      </w:r>
      <w:r>
        <w:rPr>
          <w:rFonts w:ascii="Arial" w:cs="Arial" w:eastAsia="Arial" w:hAnsi="Arial"/>
          <w:sz w:val="15"/>
          <w:szCs w:val="15"/>
          <w:i w:val="1"/>
          <w:iCs w:val="1"/>
          <w:color w:val="auto"/>
        </w:rPr>
        <w:t>fiscale beleggingsinstellingen</w:t>
      </w:r>
      <w:r>
        <w:rPr>
          <w:rFonts w:ascii="Arial" w:cs="Arial" w:eastAsia="Arial" w:hAnsi="Arial"/>
          <w:sz w:val="15"/>
          <w:szCs w:val="15"/>
          <w:color w:val="auto"/>
        </w:rPr>
        <w:t>) and tax exempt investment institutions (</w:t>
      </w:r>
      <w:r>
        <w:rPr>
          <w:rFonts w:ascii="Arial" w:cs="Arial" w:eastAsia="Arial" w:hAnsi="Arial"/>
          <w:sz w:val="15"/>
          <w:szCs w:val="15"/>
          <w:i w:val="1"/>
          <w:iCs w:val="1"/>
          <w:color w:val="auto"/>
        </w:rPr>
        <w:t>vrijgestelde beleggingsinstellingen</w:t>
      </w:r>
      <w:r>
        <w:rPr>
          <w:rFonts w:ascii="Arial" w:cs="Arial" w:eastAsia="Arial" w:hAnsi="Arial"/>
          <w:sz w:val="15"/>
          <w:szCs w:val="15"/>
          <w:color w:val="auto"/>
        </w:rPr>
        <w:t>) (each as defined in the Dutch Corporate Income Tax Act 1969) and other entities that are, in whole or in part, not subject to or exempt from Dutch corporate income tax, entities that have a function comparable to an investment institution or a tax exempt investment institution, as well as entities that are exempt from corporate income tax in their country of residence, such country of residence being another state of the European Union, Norway, Liechtenstein, Iceland or any other state with which the Netherlands has agreed to exchange information in line with international standards; and</w:t>
      </w:r>
    </w:p>
    <w:p>
      <w:pPr>
        <w:spacing w:after="0" w:line="140" w:lineRule="exact"/>
        <w:rPr>
          <w:rFonts w:ascii="Times New Roman" w:cs="Times New Roman" w:eastAsia="Times New Roman" w:hAnsi="Times New Roman"/>
          <w:sz w:val="15"/>
          <w:szCs w:val="15"/>
          <w:color w:val="auto"/>
        </w:rPr>
      </w:pPr>
    </w:p>
    <w:p>
      <w:pPr>
        <w:ind w:left="540" w:hanging="274"/>
        <w:spacing w:after="0" w:line="256" w:lineRule="auto"/>
        <w:tabs>
          <w:tab w:leader="none" w:pos="540" w:val="left"/>
        </w:tabs>
        <w:numPr>
          <w:ilvl w:val="0"/>
          <w:numId w:val="28"/>
        </w:numPr>
        <w:rPr>
          <w:rFonts w:ascii="Times New Roman" w:cs="Times New Roman" w:eastAsia="Times New Roman" w:hAnsi="Times New Roman"/>
          <w:sz w:val="15"/>
          <w:szCs w:val="15"/>
          <w:color w:val="auto"/>
        </w:rPr>
      </w:pPr>
      <w:r>
        <w:rPr>
          <w:rFonts w:ascii="Arial" w:cs="Arial" w:eastAsia="Arial" w:hAnsi="Arial"/>
          <w:sz w:val="15"/>
          <w:szCs w:val="15"/>
          <w:color w:val="auto"/>
        </w:rPr>
        <w:t>a holder of ordinary shares if such holder is an individual for whom the ordinary shares or any benefit derived from the ordinary shares is a remuneration or deemed to be a remuneration for (employment) activities performed by such holder or certain individuals related to such holder (as defined in the Dutch Income Tax Act 2001).</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Withholding Tax on Dividends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Regular Dutch Dividend Withholding Tax</w:t>
      </w:r>
    </w:p>
    <w:p>
      <w:pPr>
        <w:spacing w:after="0" w:line="170" w:lineRule="exact"/>
        <w:rPr>
          <w:sz w:val="20"/>
          <w:szCs w:val="20"/>
          <w:color w:val="auto"/>
        </w:rPr>
      </w:pPr>
    </w:p>
    <w:p>
      <w:pPr>
        <w:ind w:right="680"/>
        <w:spacing w:after="0" w:line="276" w:lineRule="auto"/>
        <w:rPr>
          <w:sz w:val="20"/>
          <w:szCs w:val="20"/>
          <w:color w:val="auto"/>
        </w:rPr>
      </w:pPr>
      <w:r>
        <w:rPr>
          <w:rFonts w:ascii="Arial" w:cs="Arial" w:eastAsia="Arial" w:hAnsi="Arial"/>
          <w:sz w:val="15"/>
          <w:szCs w:val="15"/>
          <w:color w:val="auto"/>
        </w:rPr>
        <w:t>We are incorporated under the laws of the Netherlands, and therefore a Dutch tax resident for Dutch domestic tax law purposes, including the Dutch Dividend Withholding Tax Act 1969. As such, we are required to withhold Dutch dividend withholding tax at a rate of 15% from dividends distributed by us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60"/>
          </w:cols>
          <w:pgMar w:left="320" w:top="223" w:right="319" w:bottom="1440" w:gutter="0" w:footer="0" w:header="0"/>
        </w:sectPr>
      </w:pPr>
    </w:p>
    <w:bookmarkStart w:id="53" w:name="page54"/>
    <w:bookmarkEnd w:id="53"/>
    <w:p>
      <w:pPr>
        <w:ind w:left="20"/>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ind w:right="20"/>
        <w:spacing w:after="0" w:line="241" w:lineRule="auto"/>
        <w:rPr>
          <w:sz w:val="20"/>
          <w:szCs w:val="20"/>
          <w:color w:val="auto"/>
        </w:rPr>
      </w:pPr>
      <w:r>
        <w:rPr>
          <w:rFonts w:ascii="Arial" w:cs="Arial" w:eastAsia="Arial" w:hAnsi="Arial"/>
          <w:sz w:val="15"/>
          <w:szCs w:val="15"/>
          <w:color w:val="auto"/>
        </w:rPr>
        <w:t>(which withholding tax will not be borne by us but will be withheld by us from the gross dividends paid on the shares). We are however also treated as a German tax resident for German domestic tax law purposes, since our place of effective management is located in Germany. Based on the so-called tie-breaker provision (the “Tie-Breaker Provision”) included in Section 4(3) of the 2012 Convention between the Federal Republic of Germany and the Kingdom of the Netherlands for the avoidance of double taxation with respect to taxes on income (the “double tax treaty between Germany and the Netherlands”) as in effect on the date hereof, our tax residence in either the Netherlands or Germany for the purposes of the double tax treaty between Germany and the Netherlands should be determined based on our place of effective management. As long as we have our place of effective management continuously in Germany, and the Tie-Breaker Provision is not changed (for instance, by change in the reservations and choices made by Germany with respect to the application of the Multilateral Convention to Implement Tax Treaty Related Measures to Prevent Base Erosion and Profit Shifting), we will be considered to be exclusively tax resident in Germany for purposes of the double tax treaty between Germany and the Netherlands. As a consequence, the Netherlands will be restricted to impose Dutch dividend withholding tax on dividends distributed by us pursuant to Section 10(5) of the double tax treaty between Germany and the Netherlands (and we will not be required to withhold Dutch dividend withholding tax). This restriction does not apply to dividends distributed by us to a holder of our ordinary shares who is resident or deemed to be resident in the Netherlands for Dutch personal income tax purposes or Dutch corporate income tax purposes (“Dutch Resident Individual” and “Dutch Resident Entity”, respectively) or to a holder of our ordinary shares that is neither resident nor deemed to be resident of the Netherlands (“Non-Resident Holder”) if the ordinary shares are attributable to a Dutch permanent establishment of such Non-Resident Holder, in which evens the following applies.</w:t>
      </w:r>
    </w:p>
    <w:p>
      <w:pPr>
        <w:spacing w:after="0" w:line="146" w:lineRule="exact"/>
        <w:rPr>
          <w:sz w:val="20"/>
          <w:szCs w:val="20"/>
          <w:color w:val="auto"/>
        </w:rPr>
      </w:pPr>
    </w:p>
    <w:p>
      <w:pPr>
        <w:ind w:right="80"/>
        <w:spacing w:after="0" w:line="276" w:lineRule="auto"/>
        <w:rPr>
          <w:sz w:val="20"/>
          <w:szCs w:val="20"/>
          <w:color w:val="auto"/>
        </w:rPr>
      </w:pPr>
      <w:r>
        <w:rPr>
          <w:rFonts w:ascii="Arial" w:cs="Arial" w:eastAsia="Arial" w:hAnsi="Arial"/>
          <w:sz w:val="15"/>
          <w:szCs w:val="15"/>
          <w:color w:val="auto"/>
        </w:rPr>
        <w:t>Dividends distributed by us are generally subject to Dutch dividend withholding tax at a rate of 15%. Generally, we are responsible for the withholding of such dividend withholding tax at source; the Dutch dividend withholding tax is for the account of the holder of ordinary shares.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The expression “dividends distributed” includes, but is not limited to:</w:t>
      </w:r>
    </w:p>
    <w:p>
      <w:pPr>
        <w:spacing w:after="0" w:line="170" w:lineRule="exact"/>
        <w:rPr>
          <w:sz w:val="20"/>
          <w:szCs w:val="20"/>
          <w:color w:val="auto"/>
        </w:rPr>
      </w:pPr>
    </w:p>
    <w:p>
      <w:pPr>
        <w:ind w:left="540" w:right="420" w:hanging="274"/>
        <w:spacing w:after="0" w:line="275" w:lineRule="auto"/>
        <w:tabs>
          <w:tab w:leader="none" w:pos="540" w:val="left"/>
        </w:tabs>
        <w:numPr>
          <w:ilvl w:val="0"/>
          <w:numId w:val="29"/>
        </w:numPr>
        <w:rPr>
          <w:rFonts w:ascii="Times New Roman" w:cs="Times New Roman" w:eastAsia="Times New Roman" w:hAnsi="Times New Roman"/>
          <w:sz w:val="15"/>
          <w:szCs w:val="15"/>
          <w:color w:val="auto"/>
        </w:rPr>
      </w:pPr>
      <w:r>
        <w:rPr>
          <w:rFonts w:ascii="Arial" w:cs="Arial" w:eastAsia="Arial" w:hAnsi="Arial"/>
          <w:sz w:val="15"/>
          <w:szCs w:val="15"/>
          <w:color w:val="auto"/>
        </w:rPr>
        <w:t>distributions in cash or in kind, deemed and constructive distributions and repayments of paid-in capital not recognized for Dutch dividend withholding tax purposes;</w:t>
      </w:r>
    </w:p>
    <w:p>
      <w:pPr>
        <w:spacing w:after="0" w:line="118" w:lineRule="exact"/>
        <w:rPr>
          <w:rFonts w:ascii="Times New Roman" w:cs="Times New Roman" w:eastAsia="Times New Roman" w:hAnsi="Times New Roman"/>
          <w:sz w:val="15"/>
          <w:szCs w:val="15"/>
          <w:color w:val="auto"/>
        </w:rPr>
      </w:pPr>
    </w:p>
    <w:p>
      <w:pPr>
        <w:ind w:left="540" w:hanging="274"/>
        <w:spacing w:after="0" w:line="256" w:lineRule="auto"/>
        <w:tabs>
          <w:tab w:leader="none" w:pos="540" w:val="left"/>
        </w:tabs>
        <w:numPr>
          <w:ilvl w:val="0"/>
          <w:numId w:val="29"/>
        </w:numPr>
        <w:rPr>
          <w:rFonts w:ascii="Times New Roman" w:cs="Times New Roman" w:eastAsia="Times New Roman" w:hAnsi="Times New Roman"/>
          <w:sz w:val="15"/>
          <w:szCs w:val="15"/>
          <w:color w:val="auto"/>
        </w:rPr>
      </w:pPr>
      <w:r>
        <w:rPr>
          <w:rFonts w:ascii="Arial" w:cs="Arial" w:eastAsia="Arial" w:hAnsi="Arial"/>
          <w:sz w:val="15"/>
          <w:szCs w:val="15"/>
          <w:color w:val="auto"/>
        </w:rPr>
        <w:t>liquidation proceeds, proceeds from the redemption of ordinary shares, or proceeds from the repurchase of ordinary shares (other than as temporary portfolio investment; tijdelijke belegging) by us or one of our subsidiaries or other affiliated entities, in each case to the extent such proceeds exceed the average paid-in capital of those ordinary shares as recognized for Dutch dividend withholding tax purposes;</w:t>
      </w:r>
    </w:p>
    <w:p>
      <w:pPr>
        <w:spacing w:after="0" w:line="132" w:lineRule="exact"/>
        <w:rPr>
          <w:rFonts w:ascii="Times New Roman" w:cs="Times New Roman" w:eastAsia="Times New Roman" w:hAnsi="Times New Roman"/>
          <w:sz w:val="15"/>
          <w:szCs w:val="15"/>
          <w:color w:val="auto"/>
        </w:rPr>
      </w:pPr>
    </w:p>
    <w:p>
      <w:pPr>
        <w:ind w:left="540" w:right="60" w:hanging="274"/>
        <w:spacing w:after="0" w:line="275" w:lineRule="auto"/>
        <w:tabs>
          <w:tab w:leader="none" w:pos="540" w:val="left"/>
        </w:tabs>
        <w:numPr>
          <w:ilvl w:val="0"/>
          <w:numId w:val="29"/>
        </w:numPr>
        <w:rPr>
          <w:rFonts w:ascii="Times New Roman" w:cs="Times New Roman" w:eastAsia="Times New Roman" w:hAnsi="Times New Roman"/>
          <w:sz w:val="15"/>
          <w:szCs w:val="15"/>
          <w:color w:val="auto"/>
        </w:rPr>
      </w:pPr>
      <w:r>
        <w:rPr>
          <w:rFonts w:ascii="Arial" w:cs="Arial" w:eastAsia="Arial" w:hAnsi="Arial"/>
          <w:sz w:val="15"/>
          <w:szCs w:val="15"/>
          <w:color w:val="auto"/>
        </w:rPr>
        <w:t>an amount equal to the par value of the ordinary shares issued or an increase of the par value of the ordinary shares, to the extent that no related contribution, recognized for Dutch dividend withholding tax purposes, has been made or will be made; and</w:t>
      </w:r>
    </w:p>
    <w:p>
      <w:pPr>
        <w:spacing w:after="0" w:line="118" w:lineRule="exact"/>
        <w:rPr>
          <w:rFonts w:ascii="Times New Roman" w:cs="Times New Roman" w:eastAsia="Times New Roman" w:hAnsi="Times New Roman"/>
          <w:sz w:val="15"/>
          <w:szCs w:val="15"/>
          <w:color w:val="auto"/>
        </w:rPr>
      </w:pPr>
    </w:p>
    <w:p>
      <w:pPr>
        <w:ind w:left="540" w:right="80" w:hanging="274"/>
        <w:spacing w:after="0" w:line="250" w:lineRule="auto"/>
        <w:tabs>
          <w:tab w:leader="none" w:pos="540" w:val="left"/>
        </w:tabs>
        <w:numPr>
          <w:ilvl w:val="0"/>
          <w:numId w:val="29"/>
        </w:numPr>
        <w:rPr>
          <w:rFonts w:ascii="Times New Roman" w:cs="Times New Roman" w:eastAsia="Times New Roman" w:hAnsi="Times New Roman"/>
          <w:sz w:val="15"/>
          <w:szCs w:val="15"/>
          <w:color w:val="auto"/>
        </w:rPr>
      </w:pPr>
      <w:r>
        <w:rPr>
          <w:rFonts w:ascii="Arial" w:cs="Arial" w:eastAsia="Arial" w:hAnsi="Arial"/>
          <w:sz w:val="15"/>
          <w:szCs w:val="15"/>
          <w:color w:val="auto"/>
        </w:rPr>
        <w:t>partial repayment of the paid-in capital recognized for Dutch dividend withholding tax purposes, if and to the extent that we have “net profits” (</w:t>
      </w:r>
      <w:r>
        <w:rPr>
          <w:rFonts w:ascii="Arial" w:cs="Arial" w:eastAsia="Arial" w:hAnsi="Arial"/>
          <w:sz w:val="15"/>
          <w:szCs w:val="15"/>
          <w:i w:val="1"/>
          <w:iCs w:val="1"/>
          <w:color w:val="auto"/>
        </w:rPr>
        <w:t>zuivere winst</w:t>
      </w:r>
      <w:r>
        <w:rPr>
          <w:rFonts w:ascii="Arial" w:cs="Arial" w:eastAsia="Arial" w:hAnsi="Arial"/>
          <w:sz w:val="15"/>
          <w:szCs w:val="15"/>
          <w:color w:val="auto"/>
        </w:rPr>
        <w:t>), unless (i) the general meeting of shareholders has resolved in advance to make such repayment and (ii) the par value of the ordinary shares concerned has been reduced by an equal amount by way of an amendment to the articles of association. The term “net profits” includes anticipated profits that have yet to be realized.</w:t>
      </w:r>
    </w:p>
    <w:p>
      <w:pPr>
        <w:spacing w:after="0" w:line="138" w:lineRule="exact"/>
        <w:rPr>
          <w:sz w:val="20"/>
          <w:szCs w:val="20"/>
          <w:color w:val="auto"/>
        </w:rPr>
      </w:pPr>
    </w:p>
    <w:p>
      <w:pPr>
        <w:ind w:right="20"/>
        <w:spacing w:after="0" w:line="247" w:lineRule="auto"/>
        <w:rPr>
          <w:sz w:val="20"/>
          <w:szCs w:val="20"/>
          <w:color w:val="auto"/>
        </w:rPr>
      </w:pPr>
      <w:r>
        <w:rPr>
          <w:rFonts w:ascii="Arial" w:cs="Arial" w:eastAsia="Arial" w:hAnsi="Arial"/>
          <w:sz w:val="15"/>
          <w:szCs w:val="15"/>
          <w:color w:val="auto"/>
        </w:rPr>
        <w:t>Dutch Resident Entities generally are entitled to an exemption from, or a credit for, any Dutch dividend withholding tax against their Dutch corporate income tax liability. The credit in any given year is, however, limited to the amount of Dutch corporate income tax payable in respect of the relevant year with an indefinite carry forward of any excess amount. Dutch Resident Individuals generally are entitled to a credit for any Dutch dividend withholding tax against their Dutch personal income tax liability and to a refund of any residual Dutch dividend withholding tax. The above generally also applies to Non-Resident Holders if the ordinary shares are attributable to a Dutch permanent establishment of such Non-Resident Holder.</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54" w:name="page55"/>
    <w:bookmarkEnd w:id="54"/>
    <w:p>
      <w:pPr>
        <w:ind w:left="20"/>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color w:val="auto"/>
        </w:rPr>
        <w:t>A Non-Resident Holder may, depending on such holder’s specific circumstances, be entitled to exemptions from, reduction of, or full or partial refund of, Dutch dividend withholding tax under Dutch domestic law, EU law, or treaties for the avoidance of double taxation in effect between the Netherlands and such other country.</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Dividend Stripping</w:t>
      </w:r>
    </w:p>
    <w:p>
      <w:pPr>
        <w:spacing w:after="0" w:line="170" w:lineRule="exact"/>
        <w:rPr>
          <w:sz w:val="20"/>
          <w:szCs w:val="20"/>
          <w:color w:val="auto"/>
        </w:rPr>
      </w:pPr>
    </w:p>
    <w:p>
      <w:pPr>
        <w:ind w:right="20"/>
        <w:spacing w:after="0" w:line="246" w:lineRule="auto"/>
        <w:rPr>
          <w:sz w:val="20"/>
          <w:szCs w:val="20"/>
          <w:color w:val="auto"/>
        </w:rPr>
      </w:pPr>
      <w:r>
        <w:rPr>
          <w:rFonts w:ascii="Arial" w:cs="Arial" w:eastAsia="Arial" w:hAnsi="Arial"/>
          <w:sz w:val="15"/>
          <w:szCs w:val="15"/>
          <w:color w:val="auto"/>
        </w:rPr>
        <w:t>According to Dutch domestic anti-dividend stripping rules, no credit against Dutch tax, exemption from, reduction, or refund of Dutch dividend withholding tax will be granted if the recipient of the dividends we paid is not considered the beneficial owner (</w:t>
      </w:r>
      <w:r>
        <w:rPr>
          <w:rFonts w:ascii="Arial" w:cs="Arial" w:eastAsia="Arial" w:hAnsi="Arial"/>
          <w:sz w:val="15"/>
          <w:szCs w:val="15"/>
          <w:i w:val="1"/>
          <w:iCs w:val="1"/>
          <w:color w:val="auto"/>
        </w:rPr>
        <w:t>uiteindelijk gerechtigde</w:t>
      </w:r>
      <w:r>
        <w:rPr>
          <w:rFonts w:ascii="Arial" w:cs="Arial" w:eastAsia="Arial" w:hAnsi="Arial"/>
          <w:sz w:val="15"/>
          <w:szCs w:val="15"/>
          <w:color w:val="auto"/>
        </w:rPr>
        <w:t>; as described in the Dutch Dividend Withholding Tax Act 1965) of those dividends. This legislation generally targets situations in which a shareholder retains its economic interest in shares but reduces the withholding tax costs on dividends by a transaction with another party. It is not required for these rules to apply that the recipient of the dividends is aware that a dividend stripping transaction took place. The Dutch State Secretary of Finance takes the position that the definition of beneficial ownership introduced by this legislation will also be applied in the context of a double taxation convention.</w:t>
      </w:r>
    </w:p>
    <w:p>
      <w:pPr>
        <w:spacing w:after="0" w:line="139"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The burden of proof with respect to beneficial ownership of dividends distributed by us rests on the Dutch tax authorities. If, however, a shareholder would receive dividends, including dividends on the ordinary shares, in a calendar year in respect of which an aggregate amount of EUR 1,000 in Dutch dividend withholding tax would otherwise be due based on the rate of 15%, the burden of proof with respect to beneficial ownership of such dividends lies with the shareholder. Furthermore, for shares traded on a regulated market, including the ordinary shares, it has been codified that the record date is used when determining the person who is entitled to the dividend.</w:t>
      </w:r>
    </w:p>
    <w:p>
      <w:pPr>
        <w:spacing w:after="0" w:line="31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Conditional Withholding Tax on Dividends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In addition to the regular Dutch dividend withholding tax as described above, a Dutch conditional withholding tax will be imposed on dividends distributed by us to a</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Related Entity (as defined below), if such Related Entity:</w:t>
      </w:r>
    </w:p>
    <w:p>
      <w:pPr>
        <w:spacing w:after="0" w:line="156" w:lineRule="exact"/>
        <w:rPr>
          <w:sz w:val="20"/>
          <w:szCs w:val="20"/>
          <w:color w:val="auto"/>
        </w:rPr>
      </w:pPr>
    </w:p>
    <w:p>
      <w:pPr>
        <w:ind w:left="540" w:right="440" w:hanging="274"/>
        <w:spacing w:after="0" w:line="275" w:lineRule="auto"/>
        <w:tabs>
          <w:tab w:leader="none" w:pos="540" w:val="left"/>
        </w:tabs>
        <w:numPr>
          <w:ilvl w:val="0"/>
          <w:numId w:val="30"/>
        </w:numPr>
        <w:rPr>
          <w:rFonts w:ascii="Times New Roman" w:cs="Times New Roman" w:eastAsia="Times New Roman" w:hAnsi="Times New Roman"/>
          <w:sz w:val="15"/>
          <w:szCs w:val="15"/>
          <w:color w:val="auto"/>
        </w:rPr>
      </w:pPr>
      <w:r>
        <w:rPr>
          <w:rFonts w:ascii="Arial" w:cs="Arial" w:eastAsia="Arial" w:hAnsi="Arial"/>
          <w:sz w:val="15"/>
          <w:szCs w:val="15"/>
          <w:color w:val="auto"/>
        </w:rPr>
        <w:t>is considered to be resident (</w:t>
      </w:r>
      <w:r>
        <w:rPr>
          <w:rFonts w:ascii="Arial" w:cs="Arial" w:eastAsia="Arial" w:hAnsi="Arial"/>
          <w:sz w:val="15"/>
          <w:szCs w:val="15"/>
          <w:i w:val="1"/>
          <w:iCs w:val="1"/>
          <w:color w:val="auto"/>
        </w:rPr>
        <w:t>gevestigd</w:t>
      </w:r>
      <w:r>
        <w:rPr>
          <w:rFonts w:ascii="Arial" w:cs="Arial" w:eastAsia="Arial" w:hAnsi="Arial"/>
          <w:sz w:val="15"/>
          <w:szCs w:val="15"/>
          <w:color w:val="auto"/>
        </w:rPr>
        <w:t>) in a jurisdiction that is listed in the yearly updated Dutch Regulation on low-taxing states and non-cooperative jurisdictions for tax purposes (</w:t>
      </w:r>
      <w:r>
        <w:rPr>
          <w:rFonts w:ascii="Arial" w:cs="Arial" w:eastAsia="Arial" w:hAnsi="Arial"/>
          <w:sz w:val="15"/>
          <w:szCs w:val="15"/>
          <w:i w:val="1"/>
          <w:iCs w:val="1"/>
          <w:color w:val="auto"/>
        </w:rPr>
        <w:t>Regeling laagbelastende staten en niet-coöperatieve rechtsgebieden voor belastingdoeleinden</w:t>
      </w:r>
      <w:r>
        <w:rPr>
          <w:rFonts w:ascii="Arial" w:cs="Arial" w:eastAsia="Arial" w:hAnsi="Arial"/>
          <w:sz w:val="15"/>
          <w:szCs w:val="15"/>
          <w:color w:val="auto"/>
        </w:rPr>
        <w:t>) (a “Listed Jurisdiction”); or</w:t>
      </w:r>
    </w:p>
    <w:p>
      <w:pPr>
        <w:spacing w:after="0" w:line="118"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30"/>
        </w:numPr>
        <w:rPr>
          <w:rFonts w:ascii="Times New Roman" w:cs="Times New Roman" w:eastAsia="Times New Roman" w:hAnsi="Times New Roman"/>
          <w:sz w:val="15"/>
          <w:szCs w:val="15"/>
          <w:color w:val="auto"/>
        </w:rPr>
      </w:pPr>
      <w:r>
        <w:rPr>
          <w:rFonts w:ascii="Arial" w:cs="Arial" w:eastAsia="Arial" w:hAnsi="Arial"/>
          <w:sz w:val="15"/>
          <w:szCs w:val="15"/>
          <w:color w:val="auto"/>
        </w:rPr>
        <w:t>has a permanent establishment located in a Listed Jurisdiction to which the ordinary shares are attributable; or</w:t>
      </w:r>
    </w:p>
    <w:p>
      <w:pPr>
        <w:spacing w:after="0" w:line="181" w:lineRule="exact"/>
        <w:rPr>
          <w:rFonts w:ascii="Times New Roman" w:cs="Times New Roman" w:eastAsia="Times New Roman" w:hAnsi="Times New Roman"/>
          <w:sz w:val="15"/>
          <w:szCs w:val="15"/>
          <w:color w:val="auto"/>
        </w:rPr>
      </w:pPr>
    </w:p>
    <w:p>
      <w:pPr>
        <w:ind w:left="540" w:right="680" w:hanging="274"/>
        <w:spacing w:after="0" w:line="275" w:lineRule="auto"/>
        <w:tabs>
          <w:tab w:leader="none" w:pos="540" w:val="left"/>
        </w:tabs>
        <w:numPr>
          <w:ilvl w:val="0"/>
          <w:numId w:val="30"/>
        </w:numPr>
        <w:rPr>
          <w:rFonts w:ascii="Times New Roman" w:cs="Times New Roman" w:eastAsia="Times New Roman" w:hAnsi="Times New Roman"/>
          <w:sz w:val="15"/>
          <w:szCs w:val="15"/>
          <w:color w:val="auto"/>
        </w:rPr>
      </w:pPr>
      <w:r>
        <w:rPr>
          <w:rFonts w:ascii="Arial" w:cs="Arial" w:eastAsia="Arial" w:hAnsi="Arial"/>
          <w:sz w:val="15"/>
          <w:szCs w:val="15"/>
          <w:color w:val="auto"/>
        </w:rPr>
        <w:t>holds the ordinary shares with the main purpose or one of the main purposes of avoiding taxation for another person or entity and there is an artificial arrangement or transaction or a series of artificial arrangements or transactions; or</w:t>
      </w:r>
    </w:p>
    <w:p>
      <w:pPr>
        <w:spacing w:after="0" w:line="118" w:lineRule="exact"/>
        <w:rPr>
          <w:rFonts w:ascii="Times New Roman" w:cs="Times New Roman" w:eastAsia="Times New Roman" w:hAnsi="Times New Roman"/>
          <w:sz w:val="15"/>
          <w:szCs w:val="15"/>
          <w:color w:val="auto"/>
        </w:rPr>
      </w:pPr>
    </w:p>
    <w:p>
      <w:pPr>
        <w:ind w:left="540" w:hanging="274"/>
        <w:spacing w:after="0" w:line="275" w:lineRule="auto"/>
        <w:tabs>
          <w:tab w:leader="none" w:pos="540" w:val="left"/>
        </w:tabs>
        <w:numPr>
          <w:ilvl w:val="0"/>
          <w:numId w:val="30"/>
        </w:numPr>
        <w:rPr>
          <w:rFonts w:ascii="Times New Roman" w:cs="Times New Roman" w:eastAsia="Times New Roman" w:hAnsi="Times New Roman"/>
          <w:sz w:val="15"/>
          <w:szCs w:val="15"/>
          <w:color w:val="auto"/>
        </w:rPr>
      </w:pPr>
      <w:r>
        <w:rPr>
          <w:rFonts w:ascii="Arial" w:cs="Arial" w:eastAsia="Arial" w:hAnsi="Arial"/>
          <w:sz w:val="15"/>
          <w:szCs w:val="15"/>
          <w:color w:val="auto"/>
        </w:rPr>
        <w:t>is not considered to be the beneficial owner of the ordinary shares in its jurisdiction of residence because such jurisdiction treats another entity as the beneficial owner of the ordinary shares (a hybrid mismatch); or</w:t>
      </w:r>
    </w:p>
    <w:p>
      <w:pPr>
        <w:spacing w:after="0" w:line="118"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30"/>
        </w:numPr>
        <w:rPr>
          <w:rFonts w:ascii="Times New Roman" w:cs="Times New Roman" w:eastAsia="Times New Roman" w:hAnsi="Times New Roman"/>
          <w:sz w:val="15"/>
          <w:szCs w:val="15"/>
          <w:color w:val="auto"/>
        </w:rPr>
      </w:pPr>
      <w:r>
        <w:rPr>
          <w:rFonts w:ascii="Arial" w:cs="Arial" w:eastAsia="Arial" w:hAnsi="Arial"/>
          <w:sz w:val="15"/>
          <w:szCs w:val="15"/>
          <w:color w:val="auto"/>
        </w:rPr>
        <w:t>is not resident in any jurisdiction (also a hybrid mismatch); or</w:t>
      </w:r>
    </w:p>
    <w:p>
      <w:pPr>
        <w:spacing w:after="0" w:line="181" w:lineRule="exact"/>
        <w:rPr>
          <w:rFonts w:ascii="Times New Roman" w:cs="Times New Roman" w:eastAsia="Times New Roman" w:hAnsi="Times New Roman"/>
          <w:sz w:val="15"/>
          <w:szCs w:val="15"/>
          <w:color w:val="auto"/>
        </w:rPr>
      </w:pPr>
    </w:p>
    <w:p>
      <w:pPr>
        <w:ind w:left="540" w:right="20" w:hanging="274"/>
        <w:spacing w:after="0" w:line="250" w:lineRule="auto"/>
        <w:tabs>
          <w:tab w:leader="none" w:pos="540" w:val="left"/>
        </w:tabs>
        <w:numPr>
          <w:ilvl w:val="0"/>
          <w:numId w:val="30"/>
        </w:numPr>
        <w:rPr>
          <w:rFonts w:ascii="Times New Roman" w:cs="Times New Roman" w:eastAsia="Times New Roman" w:hAnsi="Times New Roman"/>
          <w:sz w:val="15"/>
          <w:szCs w:val="15"/>
          <w:color w:val="auto"/>
        </w:rPr>
      </w:pPr>
      <w:r>
        <w:rPr>
          <w:rFonts w:ascii="Arial" w:cs="Arial" w:eastAsia="Arial" w:hAnsi="Arial"/>
          <w:sz w:val="15"/>
          <w:szCs w:val="15"/>
          <w:color w:val="auto"/>
        </w:rPr>
        <w:t>is a reverse hybrid (within the meaning of Article 2(12) of the Dutch Corporate Income Tax Act 1969), if and to the extent (x) there is a participant in the reverse hybrid holding a Qualifying Interest in the reverse hybrid, (y) the jurisdiction of residence of such participant treats the reverse hybrid as transparent for tax purposes and (z) such participant would have been subject to the Dutch conditional withholding tax in respect of dividends distributed by us without the interposition of the reverse hybrid,</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all within the meaning of the Dutch Withholding Tax Act 2021(Wet bronbelasting 2021).</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55" w:name="page56"/>
    <w:bookmarkEnd w:id="55"/>
    <w:p>
      <w:pPr>
        <w:ind w:left="20"/>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For purposes of this section:</w:t>
      </w:r>
    </w:p>
    <w:p>
      <w:pPr>
        <w:spacing w:after="0" w:line="170" w:lineRule="exact"/>
        <w:rPr>
          <w:sz w:val="20"/>
          <w:szCs w:val="20"/>
          <w:color w:val="auto"/>
        </w:rPr>
      </w:pPr>
    </w:p>
    <w:p>
      <w:pPr>
        <w:ind w:right="380"/>
        <w:spacing w:after="0" w:line="276" w:lineRule="auto"/>
        <w:rPr>
          <w:sz w:val="20"/>
          <w:szCs w:val="20"/>
          <w:color w:val="auto"/>
        </w:rPr>
      </w:pPr>
      <w:r>
        <w:rPr>
          <w:rFonts w:ascii="Arial" w:cs="Arial" w:eastAsia="Arial" w:hAnsi="Arial"/>
          <w:sz w:val="15"/>
          <w:szCs w:val="15"/>
          <w:color w:val="auto"/>
        </w:rPr>
        <w:t>“Related Entity” means an entity (i) that has a Qualifying Interest in the Company or (ii) in which a third party has a Qualifying Interest if such third party also has a Qualifying Interest in the Company.</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5"/>
          <w:szCs w:val="15"/>
          <w:color w:val="auto"/>
        </w:rPr>
        <w:t>“Qualifying Interest” means a direct or indirectly held interest – either by an entity individually or, if an entity is part of a Qualifying Unity, jointly – that enables such entity or such Qualifying Unity to exercise a definitive influence over another entity’s decisions and allows it to determine that other entity’s activities (as interpreted by the European Court of Justice in case law on the right of freedom of establishment (vrijheid van vestiging)).</w:t>
      </w:r>
    </w:p>
    <w:p>
      <w:pPr>
        <w:spacing w:after="0" w:line="131" w:lineRule="exact"/>
        <w:rPr>
          <w:sz w:val="20"/>
          <w:szCs w:val="20"/>
          <w:color w:val="auto"/>
        </w:rPr>
      </w:pPr>
    </w:p>
    <w:p>
      <w:pPr>
        <w:ind w:right="120"/>
        <w:spacing w:after="0" w:line="276" w:lineRule="auto"/>
        <w:rPr>
          <w:sz w:val="20"/>
          <w:szCs w:val="20"/>
          <w:color w:val="auto"/>
        </w:rPr>
      </w:pPr>
      <w:r>
        <w:rPr>
          <w:rFonts w:ascii="Arial" w:cs="Arial" w:eastAsia="Arial" w:hAnsi="Arial"/>
          <w:sz w:val="15"/>
          <w:szCs w:val="15"/>
          <w:color w:val="auto"/>
        </w:rPr>
        <w:t>“Qualifying Unity” means entities acting together with the main purpose or one of the main purposes of avoiding Dutch conditional withholding tax at the level of any of those entities (kwalificerende eenheid).</w:t>
      </w:r>
    </w:p>
    <w:p>
      <w:pPr>
        <w:spacing w:after="0" w:line="117" w:lineRule="exact"/>
        <w:rPr>
          <w:sz w:val="20"/>
          <w:szCs w:val="20"/>
          <w:color w:val="auto"/>
        </w:rPr>
      </w:pPr>
    </w:p>
    <w:p>
      <w:pPr>
        <w:ind w:right="40"/>
        <w:spacing w:after="0" w:line="247" w:lineRule="auto"/>
        <w:rPr>
          <w:sz w:val="20"/>
          <w:szCs w:val="20"/>
          <w:color w:val="auto"/>
        </w:rPr>
      </w:pPr>
      <w:r>
        <w:rPr>
          <w:rFonts w:ascii="Arial" w:cs="Arial" w:eastAsia="Arial" w:hAnsi="Arial"/>
          <w:sz w:val="15"/>
          <w:szCs w:val="15"/>
          <w:color w:val="auto"/>
        </w:rPr>
        <w:t>The Dutch conditional withholding tax on dividends will be imposed at the highest Dutch corporate income tax rate in effect at the time of the distribution (2025: 25.8%). The Dutch conditional withholding tax on dividends will be reduced, but not below zero, by any regular Dutch dividend withholding tax withheld in respect of the same dividend distribution. As such, based on the currently applicable rates, the overall effective tax rate of withholding the regular Dutch dividend withholding tax (as described above) and the Dutch conditional withholding tax on dividends will not exceed the highest corporate income tax rate in effect at the time of the distribution (2025: 25.8%).</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Taxes on Income and Capital Gains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Dutch Resident Entities</w:t>
      </w:r>
    </w:p>
    <w:p>
      <w:pPr>
        <w:spacing w:after="0" w:line="170" w:lineRule="exact"/>
        <w:rPr>
          <w:sz w:val="20"/>
          <w:szCs w:val="20"/>
          <w:color w:val="auto"/>
        </w:rPr>
      </w:pPr>
    </w:p>
    <w:p>
      <w:pPr>
        <w:jc w:val="both"/>
        <w:ind w:right="520"/>
        <w:spacing w:after="0" w:line="257" w:lineRule="auto"/>
        <w:rPr>
          <w:sz w:val="20"/>
          <w:szCs w:val="20"/>
          <w:color w:val="auto"/>
        </w:rPr>
      </w:pPr>
      <w:r>
        <w:rPr>
          <w:rFonts w:ascii="Arial" w:cs="Arial" w:eastAsia="Arial" w:hAnsi="Arial"/>
          <w:sz w:val="15"/>
          <w:szCs w:val="15"/>
          <w:color w:val="auto"/>
        </w:rPr>
        <w:t>Generally, if the holder of ordinary shares is a Dutch Resident Entity, any income derived or deemed to be derived from the ordinary shares or any capital gains realized on the disposal or deemed disposal of the ordinary shares is subject to Dutch corporate income tax at a rate of 19% with respect to taxable profits up to €200,000 and 25.8% with respect to taxable profits in excess of that amount (rates and brackets for 2025).</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Dutch Resident Individuals</w:t>
      </w:r>
    </w:p>
    <w:p>
      <w:pPr>
        <w:spacing w:after="0" w:line="170" w:lineRule="exact"/>
        <w:rPr>
          <w:sz w:val="20"/>
          <w:szCs w:val="20"/>
          <w:color w:val="auto"/>
        </w:rPr>
      </w:pPr>
    </w:p>
    <w:p>
      <w:pPr>
        <w:ind w:right="220"/>
        <w:spacing w:after="0" w:line="276" w:lineRule="auto"/>
        <w:rPr>
          <w:sz w:val="20"/>
          <w:szCs w:val="20"/>
          <w:color w:val="auto"/>
        </w:rPr>
      </w:pPr>
      <w:r>
        <w:rPr>
          <w:rFonts w:ascii="Arial" w:cs="Arial" w:eastAsia="Arial" w:hAnsi="Arial"/>
          <w:sz w:val="15"/>
          <w:szCs w:val="15"/>
          <w:color w:val="auto"/>
        </w:rPr>
        <w:t>If the holder of ordinary shares is a Dutch Resident Individual, any income derived or deemed to be derived from the ordinary shares or any capital gains realized on the disposal or deemed disposal of the ordinary shares is subject to Dutch personal income tax at the progressive rates (with a maximum of 49.5% in 2025), if:</w:t>
      </w:r>
    </w:p>
    <w:p>
      <w:pPr>
        <w:spacing w:after="0" w:line="117" w:lineRule="exact"/>
        <w:rPr>
          <w:sz w:val="20"/>
          <w:szCs w:val="20"/>
          <w:color w:val="auto"/>
        </w:rPr>
      </w:pPr>
    </w:p>
    <w:p>
      <w:pPr>
        <w:ind w:left="540" w:hanging="274"/>
        <w:spacing w:after="0"/>
        <w:tabs>
          <w:tab w:leader="none" w:pos="540" w:val="left"/>
        </w:tabs>
        <w:numPr>
          <w:ilvl w:val="0"/>
          <w:numId w:val="31"/>
        </w:numPr>
        <w:rPr>
          <w:rFonts w:ascii="Times New Roman" w:cs="Times New Roman" w:eastAsia="Times New Roman" w:hAnsi="Times New Roman"/>
          <w:sz w:val="15"/>
          <w:szCs w:val="15"/>
          <w:color w:val="auto"/>
        </w:rPr>
      </w:pPr>
      <w:r>
        <w:rPr>
          <w:rFonts w:ascii="Arial" w:cs="Arial" w:eastAsia="Arial" w:hAnsi="Arial"/>
          <w:sz w:val="15"/>
          <w:szCs w:val="15"/>
          <w:color w:val="auto"/>
        </w:rPr>
        <w:t>the ordinary shares are attributable to an enterprise from which the holder of ordinary shares derives a share of the profit, whether as an entrepreneur</w:t>
      </w:r>
    </w:p>
    <w:p>
      <w:pPr>
        <w:spacing w:after="0" w:line="12" w:lineRule="exact"/>
        <w:rPr>
          <w:rFonts w:ascii="Times New Roman" w:cs="Times New Roman" w:eastAsia="Times New Roman" w:hAnsi="Times New Roman"/>
          <w:sz w:val="15"/>
          <w:szCs w:val="15"/>
          <w:color w:val="auto"/>
        </w:rPr>
      </w:pPr>
    </w:p>
    <w:p>
      <w:pPr>
        <w:ind w:left="540" w:right="120"/>
        <w:spacing w:after="0" w:line="257" w:lineRule="auto"/>
        <w:rPr>
          <w:rFonts w:ascii="Times New Roman" w:cs="Times New Roman" w:eastAsia="Times New Roman" w:hAnsi="Times New Roman"/>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ondernemer</w:t>
      </w:r>
      <w:r>
        <w:rPr>
          <w:rFonts w:ascii="Arial" w:cs="Arial" w:eastAsia="Arial" w:hAnsi="Arial"/>
          <w:sz w:val="15"/>
          <w:szCs w:val="15"/>
          <w:color w:val="auto"/>
        </w:rPr>
        <w:t>) or as a person who has a co-entitlement to the net worth (</w:t>
      </w:r>
      <w:r>
        <w:rPr>
          <w:rFonts w:ascii="Arial" w:cs="Arial" w:eastAsia="Arial" w:hAnsi="Arial"/>
          <w:sz w:val="15"/>
          <w:szCs w:val="15"/>
          <w:i w:val="1"/>
          <w:iCs w:val="1"/>
          <w:color w:val="auto"/>
        </w:rPr>
        <w:t>medegerechtigd tot het vermogen</w:t>
      </w:r>
      <w:r>
        <w:rPr>
          <w:rFonts w:ascii="Arial" w:cs="Arial" w:eastAsia="Arial" w:hAnsi="Arial"/>
          <w:sz w:val="15"/>
          <w:szCs w:val="15"/>
          <w:color w:val="auto"/>
        </w:rPr>
        <w:t>) of such enterprise without being a shareholder (as defined in the Dutch Income Tax Act 2001); or</w:t>
      </w:r>
    </w:p>
    <w:p>
      <w:pPr>
        <w:spacing w:after="0" w:line="130" w:lineRule="exact"/>
        <w:rPr>
          <w:rFonts w:ascii="Times New Roman" w:cs="Times New Roman" w:eastAsia="Times New Roman" w:hAnsi="Times New Roman"/>
          <w:sz w:val="15"/>
          <w:szCs w:val="15"/>
          <w:color w:val="auto"/>
        </w:rPr>
      </w:pPr>
    </w:p>
    <w:p>
      <w:pPr>
        <w:ind w:left="540" w:right="40" w:hanging="274"/>
        <w:spacing w:after="0" w:line="256" w:lineRule="auto"/>
        <w:tabs>
          <w:tab w:leader="none" w:pos="540" w:val="left"/>
        </w:tabs>
        <w:numPr>
          <w:ilvl w:val="0"/>
          <w:numId w:val="31"/>
        </w:numPr>
        <w:rPr>
          <w:rFonts w:ascii="Times New Roman" w:cs="Times New Roman" w:eastAsia="Times New Roman" w:hAnsi="Times New Roman"/>
          <w:sz w:val="15"/>
          <w:szCs w:val="15"/>
          <w:color w:val="auto"/>
        </w:rPr>
      </w:pPr>
      <w:r>
        <w:rPr>
          <w:rFonts w:ascii="Arial" w:cs="Arial" w:eastAsia="Arial" w:hAnsi="Arial"/>
          <w:sz w:val="15"/>
          <w:szCs w:val="15"/>
          <w:color w:val="auto"/>
        </w:rPr>
        <w:t>the holder of ordinary shares is considered to perform activities with respect to the ordinary shares that go beyond ordinary asset management (</w:t>
      </w:r>
      <w:r>
        <w:rPr>
          <w:rFonts w:ascii="Arial" w:cs="Arial" w:eastAsia="Arial" w:hAnsi="Arial"/>
          <w:sz w:val="15"/>
          <w:szCs w:val="15"/>
          <w:i w:val="1"/>
          <w:iCs w:val="1"/>
          <w:color w:val="auto"/>
        </w:rPr>
        <w:t>normaal, actief</w:t>
      </w:r>
      <w:r>
        <w:rPr>
          <w:rFonts w:ascii="Arial" w:cs="Arial" w:eastAsia="Arial" w:hAnsi="Arial"/>
          <w:sz w:val="15"/>
          <w:szCs w:val="15"/>
          <w:color w:val="auto"/>
        </w:rPr>
        <w:t xml:space="preserve"> </w:t>
      </w:r>
      <w:r>
        <w:rPr>
          <w:rFonts w:ascii="Arial" w:cs="Arial" w:eastAsia="Arial" w:hAnsi="Arial"/>
          <w:sz w:val="15"/>
          <w:szCs w:val="15"/>
          <w:i w:val="1"/>
          <w:iCs w:val="1"/>
          <w:color w:val="auto"/>
        </w:rPr>
        <w:t>vermogensbeheer</w:t>
      </w:r>
      <w:r>
        <w:rPr>
          <w:rFonts w:ascii="Arial" w:cs="Arial" w:eastAsia="Arial" w:hAnsi="Arial"/>
          <w:sz w:val="15"/>
          <w:szCs w:val="15"/>
          <w:color w:val="auto"/>
        </w:rPr>
        <w:t>) or otherwise derives benefits from the ordinary shares that are taxable as benefits from miscellaneous activities (</w:t>
      </w:r>
      <w:r>
        <w:rPr>
          <w:rFonts w:ascii="Arial" w:cs="Arial" w:eastAsia="Arial" w:hAnsi="Arial"/>
          <w:sz w:val="15"/>
          <w:szCs w:val="15"/>
          <w:i w:val="1"/>
          <w:iCs w:val="1"/>
          <w:color w:val="auto"/>
        </w:rPr>
        <w:t>resultaat uit overige werkzaamheden</w:t>
      </w:r>
      <w:r>
        <w:rPr>
          <w:rFonts w:ascii="Arial" w:cs="Arial" w:eastAsia="Arial" w:hAnsi="Arial"/>
          <w:sz w:val="15"/>
          <w:szCs w:val="15"/>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Taxation of Savings and Investments</w:t>
      </w:r>
    </w:p>
    <w:p>
      <w:pPr>
        <w:spacing w:after="0" w:line="170" w:lineRule="exact"/>
        <w:rPr>
          <w:sz w:val="20"/>
          <w:szCs w:val="20"/>
          <w:color w:val="auto"/>
        </w:rPr>
      </w:pPr>
    </w:p>
    <w:p>
      <w:pPr>
        <w:jc w:val="both"/>
        <w:ind w:right="60"/>
        <w:spacing w:after="0" w:line="251" w:lineRule="auto"/>
        <w:rPr>
          <w:sz w:val="20"/>
          <w:szCs w:val="20"/>
          <w:color w:val="auto"/>
        </w:rPr>
      </w:pPr>
      <w:r>
        <w:rPr>
          <w:rFonts w:ascii="Arial" w:cs="Arial" w:eastAsia="Arial" w:hAnsi="Arial"/>
          <w:sz w:val="15"/>
          <w:szCs w:val="15"/>
          <w:color w:val="auto"/>
        </w:rPr>
        <w:t>If the above-mentioned conditions (i) and (ii) do not apply to the Dutch Resident Individual, the ordinary shares will be subject to an annual Dutch income tax under the regime for savings and investments (</w:t>
      </w:r>
      <w:r>
        <w:rPr>
          <w:rFonts w:ascii="Arial" w:cs="Arial" w:eastAsia="Arial" w:hAnsi="Arial"/>
          <w:sz w:val="15"/>
          <w:szCs w:val="15"/>
          <w:i w:val="1"/>
          <w:iCs w:val="1"/>
          <w:color w:val="auto"/>
        </w:rPr>
        <w:t>inkomen uit sparen en beleggen</w:t>
      </w:r>
      <w:r>
        <w:rPr>
          <w:rFonts w:ascii="Arial" w:cs="Arial" w:eastAsia="Arial" w:hAnsi="Arial"/>
          <w:sz w:val="15"/>
          <w:szCs w:val="15"/>
          <w:color w:val="auto"/>
        </w:rPr>
        <w:t>). Taxation only occurs insofar the Dutch Resident Individual’s net investment assets for the year exceed a statutory threshold (</w:t>
      </w:r>
      <w:r>
        <w:rPr>
          <w:rFonts w:ascii="Arial" w:cs="Arial" w:eastAsia="Arial" w:hAnsi="Arial"/>
          <w:sz w:val="15"/>
          <w:szCs w:val="15"/>
          <w:i w:val="1"/>
          <w:iCs w:val="1"/>
          <w:color w:val="auto"/>
        </w:rPr>
        <w:t>heffingvrij vermogen</w:t>
      </w:r>
      <w:r>
        <w:rPr>
          <w:rFonts w:ascii="Arial" w:cs="Arial" w:eastAsia="Arial" w:hAnsi="Arial"/>
          <w:sz w:val="15"/>
          <w:szCs w:val="15"/>
          <w:color w:val="auto"/>
        </w:rPr>
        <w:t>). The net investment assets for the year are the fair market value of the investment assets less the fair market value of the</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60"/>
          </w:cols>
          <w:pgMar w:left="320" w:top="223" w:right="319" w:bottom="1440" w:gutter="0" w:footer="0" w:header="0"/>
        </w:sectPr>
      </w:pPr>
    </w:p>
    <w:bookmarkStart w:id="56" w:name="page57"/>
    <w:bookmarkEnd w:id="56"/>
    <w:p>
      <w:pPr>
        <w:ind w:left="20"/>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ind w:right="100"/>
        <w:spacing w:after="0" w:line="276" w:lineRule="auto"/>
        <w:rPr>
          <w:sz w:val="20"/>
          <w:szCs w:val="20"/>
          <w:color w:val="auto"/>
        </w:rPr>
      </w:pPr>
      <w:r>
        <w:rPr>
          <w:rFonts w:ascii="Arial" w:cs="Arial" w:eastAsia="Arial" w:hAnsi="Arial"/>
          <w:sz w:val="15"/>
          <w:szCs w:val="15"/>
          <w:color w:val="auto"/>
        </w:rPr>
        <w:t xml:space="preserve">liabilities on January 1 of the relevant calendar year (reference date; </w:t>
      </w:r>
      <w:r>
        <w:rPr>
          <w:rFonts w:ascii="Arial" w:cs="Arial" w:eastAsia="Arial" w:hAnsi="Arial"/>
          <w:sz w:val="15"/>
          <w:szCs w:val="15"/>
          <w:i w:val="1"/>
          <w:iCs w:val="1"/>
          <w:color w:val="auto"/>
        </w:rPr>
        <w:t>peildatum</w:t>
      </w:r>
      <w:r>
        <w:rPr>
          <w:rFonts w:ascii="Arial" w:cs="Arial" w:eastAsia="Arial" w:hAnsi="Arial"/>
          <w:sz w:val="15"/>
          <w:szCs w:val="15"/>
          <w:color w:val="auto"/>
        </w:rPr>
        <w:t>). Actual income or capital gains realized in respect of the ordinary shares are as such not subject to Dutch income tax.</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The Dutch Resident Individual’s assets and liabilities taxed under this regime, including the ordinary shares, are allocated over the following three categories: (a) bank</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savings (</w:t>
      </w:r>
      <w:r>
        <w:rPr>
          <w:rFonts w:ascii="Arial" w:cs="Arial" w:eastAsia="Arial" w:hAnsi="Arial"/>
          <w:sz w:val="15"/>
          <w:szCs w:val="15"/>
          <w:i w:val="1"/>
          <w:iCs w:val="1"/>
          <w:color w:val="auto"/>
        </w:rPr>
        <w:t>banktegoeden</w:t>
      </w:r>
      <w:r>
        <w:rPr>
          <w:rFonts w:ascii="Arial" w:cs="Arial" w:eastAsia="Arial" w:hAnsi="Arial"/>
          <w:sz w:val="15"/>
          <w:szCs w:val="15"/>
          <w:color w:val="auto"/>
        </w:rPr>
        <w:t>), (b) other investments (</w:t>
      </w:r>
      <w:r>
        <w:rPr>
          <w:rFonts w:ascii="Arial" w:cs="Arial" w:eastAsia="Arial" w:hAnsi="Arial"/>
          <w:sz w:val="15"/>
          <w:szCs w:val="15"/>
          <w:i w:val="1"/>
          <w:iCs w:val="1"/>
          <w:color w:val="auto"/>
        </w:rPr>
        <w:t>overige bezittingen</w:t>
      </w:r>
      <w:r>
        <w:rPr>
          <w:rFonts w:ascii="Arial" w:cs="Arial" w:eastAsia="Arial" w:hAnsi="Arial"/>
          <w:sz w:val="15"/>
          <w:szCs w:val="15"/>
          <w:color w:val="auto"/>
        </w:rPr>
        <w:t>), including the ordinary shares, and (c) liabilities (</w:t>
      </w:r>
      <w:r>
        <w:rPr>
          <w:rFonts w:ascii="Arial" w:cs="Arial" w:eastAsia="Arial" w:hAnsi="Arial"/>
          <w:sz w:val="15"/>
          <w:szCs w:val="15"/>
          <w:i w:val="1"/>
          <w:iCs w:val="1"/>
          <w:color w:val="auto"/>
        </w:rPr>
        <w:t>schulden</w:t>
      </w:r>
      <w:r>
        <w:rPr>
          <w:rFonts w:ascii="Arial" w:cs="Arial" w:eastAsia="Arial" w:hAnsi="Arial"/>
          <w:sz w:val="15"/>
          <w:szCs w:val="15"/>
          <w:color w:val="auto"/>
        </w:rPr>
        <w:t>). The taxable benefit for the year</w:t>
      </w:r>
    </w:p>
    <w:p>
      <w:pPr>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voordeel uit sparen en beleggen</w:t>
      </w:r>
      <w:r>
        <w:rPr>
          <w:rFonts w:ascii="Arial" w:cs="Arial" w:eastAsia="Arial" w:hAnsi="Arial"/>
          <w:sz w:val="15"/>
          <w:szCs w:val="15"/>
          <w:color w:val="auto"/>
        </w:rPr>
        <w:t>) is equal to the product of (i) the total deemed return divided by the sum of bank savings, other investments and liabilities and (ii) the</w:t>
      </w:r>
    </w:p>
    <w:p>
      <w:pPr>
        <w:spacing w:after="0"/>
        <w:rPr>
          <w:sz w:val="20"/>
          <w:szCs w:val="20"/>
          <w:color w:val="auto"/>
        </w:rPr>
      </w:pPr>
      <w:r>
        <w:rPr>
          <w:rFonts w:ascii="Arial" w:cs="Arial" w:eastAsia="Arial" w:hAnsi="Arial"/>
          <w:sz w:val="15"/>
          <w:szCs w:val="15"/>
          <w:color w:val="auto"/>
        </w:rPr>
        <w:t>sum of bank savings, other investments and liabilities minus the statutory threshold, and is taxed at a flat rate of 36% (rate for 2025).</w:t>
      </w:r>
    </w:p>
    <w:p>
      <w:pPr>
        <w:spacing w:after="0" w:line="156" w:lineRule="exact"/>
        <w:rPr>
          <w:sz w:val="20"/>
          <w:szCs w:val="20"/>
          <w:color w:val="auto"/>
        </w:rPr>
      </w:pPr>
    </w:p>
    <w:p>
      <w:pPr>
        <w:ind w:right="100"/>
        <w:spacing w:after="0" w:line="251" w:lineRule="auto"/>
        <w:rPr>
          <w:sz w:val="20"/>
          <w:szCs w:val="20"/>
          <w:color w:val="auto"/>
        </w:rPr>
      </w:pPr>
      <w:r>
        <w:rPr>
          <w:rFonts w:ascii="Arial" w:cs="Arial" w:eastAsia="Arial" w:hAnsi="Arial"/>
          <w:sz w:val="15"/>
          <w:szCs w:val="15"/>
          <w:color w:val="auto"/>
        </w:rPr>
        <w:t>The deemed return applicable to other investments, including the ordinary shares, is set at 5.88% for the calendar year 2025. Transactions in the three-month period before and after January 1 of the relevant calendar year implemented to arbitrate between the deemed return percentages applicable to bank savings, other investments and liabilities will for this purpose be ignored if the holder of ordinary shares cannot sufficiently demonstrate that such transactions are implemented for other than tax reasons.</w:t>
      </w:r>
    </w:p>
    <w:p>
      <w:pPr>
        <w:spacing w:after="0" w:line="135" w:lineRule="exact"/>
        <w:rPr>
          <w:sz w:val="20"/>
          <w:szCs w:val="20"/>
          <w:color w:val="auto"/>
        </w:rPr>
      </w:pPr>
    </w:p>
    <w:p>
      <w:pPr>
        <w:ind w:right="80"/>
        <w:spacing w:after="0" w:line="247" w:lineRule="auto"/>
        <w:rPr>
          <w:sz w:val="20"/>
          <w:szCs w:val="20"/>
          <w:color w:val="auto"/>
        </w:rPr>
      </w:pPr>
      <w:r>
        <w:rPr>
          <w:rFonts w:ascii="Arial" w:cs="Arial" w:eastAsia="Arial" w:hAnsi="Arial"/>
          <w:sz w:val="15"/>
          <w:szCs w:val="15"/>
          <w:color w:val="auto"/>
        </w:rPr>
        <w:t>On June 6 and 14, 2024, the Dutch Supreme Court (</w:t>
      </w:r>
      <w:r>
        <w:rPr>
          <w:rFonts w:ascii="Arial" w:cs="Arial" w:eastAsia="Arial" w:hAnsi="Arial"/>
          <w:sz w:val="15"/>
          <w:szCs w:val="15"/>
          <w:i w:val="1"/>
          <w:iCs w:val="1"/>
          <w:color w:val="auto"/>
        </w:rPr>
        <w:t>Hoge Raad</w:t>
      </w:r>
      <w:r>
        <w:rPr>
          <w:rFonts w:ascii="Arial" w:cs="Arial" w:eastAsia="Arial" w:hAnsi="Arial"/>
          <w:sz w:val="15"/>
          <w:szCs w:val="15"/>
          <w:color w:val="auto"/>
        </w:rPr>
        <w:t>) ruled that the current Dutch income tax regime for savings and investments in certain specific circumstances contravenes with Section 1 of the First Protocol to the European Convention on Human Rights in combination with Section 14 of the European Convention on Human Rights (the “Rulings”). This is, in short, the case in the event the deemed return on the investment assets exceeds the actual return realized in respect thereof (calculated in line with the rules set out in the Rulings and successfully demonstrated by the taxpayer). Holders of ordinary shares are advised to consult their own tax advisor to ensure that the tax in respect of the ordinary shares is levied in accordance with the applicable Dutch tax rules at the relevant time.</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Non-Residents of the Netherlands</w:t>
      </w:r>
    </w:p>
    <w:p>
      <w:pPr>
        <w:spacing w:after="0" w:line="170"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color w:val="auto"/>
        </w:rPr>
        <w:t>A holder of ordinary shares that is neither a Dutch Resident Entity nor a Dutch Resident Individual will not be subject to Dutch income tax in respect of income derived or deemed to be derived from the ordinary shares or in respect of capital gains realized on the disposal or deemed disposal of the ordinary shares provided that:</w:t>
      </w:r>
    </w:p>
    <w:p>
      <w:pPr>
        <w:spacing w:after="0" w:line="117" w:lineRule="exact"/>
        <w:rPr>
          <w:sz w:val="20"/>
          <w:szCs w:val="20"/>
          <w:color w:val="auto"/>
        </w:rPr>
      </w:pPr>
    </w:p>
    <w:p>
      <w:pPr>
        <w:ind w:left="540" w:right="140" w:hanging="274"/>
        <w:spacing w:after="0" w:line="250" w:lineRule="auto"/>
        <w:tabs>
          <w:tab w:leader="none" w:pos="540" w:val="left"/>
        </w:tabs>
        <w:numPr>
          <w:ilvl w:val="0"/>
          <w:numId w:val="32"/>
        </w:numPr>
        <w:rPr>
          <w:rFonts w:ascii="Times New Roman" w:cs="Times New Roman" w:eastAsia="Times New Roman" w:hAnsi="Times New Roman"/>
          <w:sz w:val="15"/>
          <w:szCs w:val="15"/>
          <w:color w:val="auto"/>
        </w:rPr>
      </w:pPr>
      <w:r>
        <w:rPr>
          <w:rFonts w:ascii="Arial" w:cs="Arial" w:eastAsia="Arial" w:hAnsi="Arial"/>
          <w:sz w:val="15"/>
          <w:szCs w:val="15"/>
          <w:color w:val="auto"/>
        </w:rPr>
        <w:t>such holder does not have an interest in an enterprise or deemed enterprise (as defined in the Dutch Income Tax Act 2001 and the Dutch Corporate Income Tax Act 1969, as applicable) which, in whole or in part, is either effectively managed in the Netherlands or carried on through a permanent establishment, a deemed permanent establishment or a permanent representative in the Netherlands and to which enterprise or part of an enterprise the ordinary shares are attributable; and</w:t>
      </w:r>
    </w:p>
    <w:p>
      <w:pPr>
        <w:spacing w:after="0" w:line="137" w:lineRule="exact"/>
        <w:rPr>
          <w:rFonts w:ascii="Times New Roman" w:cs="Times New Roman" w:eastAsia="Times New Roman" w:hAnsi="Times New Roman"/>
          <w:sz w:val="15"/>
          <w:szCs w:val="15"/>
          <w:color w:val="auto"/>
        </w:rPr>
      </w:pPr>
    </w:p>
    <w:p>
      <w:pPr>
        <w:ind w:left="540" w:right="120" w:hanging="274"/>
        <w:spacing w:after="0" w:line="256" w:lineRule="auto"/>
        <w:tabs>
          <w:tab w:leader="none" w:pos="540" w:val="left"/>
        </w:tabs>
        <w:numPr>
          <w:ilvl w:val="0"/>
          <w:numId w:val="32"/>
        </w:numPr>
        <w:rPr>
          <w:rFonts w:ascii="Times New Roman" w:cs="Times New Roman" w:eastAsia="Times New Roman" w:hAnsi="Times New Roman"/>
          <w:sz w:val="15"/>
          <w:szCs w:val="15"/>
          <w:color w:val="auto"/>
        </w:rPr>
      </w:pPr>
      <w:r>
        <w:rPr>
          <w:rFonts w:ascii="Arial" w:cs="Arial" w:eastAsia="Arial" w:hAnsi="Arial"/>
          <w:sz w:val="15"/>
          <w:szCs w:val="15"/>
          <w:color w:val="auto"/>
        </w:rPr>
        <w:t>in the event the holder is an individual, such holder does not carry out any activities in the Netherlands with respect to the ordinary shares that go beyond ordinary asset management and does not otherwise derive benefits from the ordinary shares that are taxable as benefits from miscellaneous activities in the Netherlands.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Gift and Inheritance Taxes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Residents of the Netherlands</w:t>
      </w:r>
    </w:p>
    <w:p>
      <w:pPr>
        <w:spacing w:after="0" w:line="170" w:lineRule="exact"/>
        <w:rPr>
          <w:sz w:val="20"/>
          <w:szCs w:val="20"/>
          <w:color w:val="auto"/>
        </w:rPr>
      </w:pPr>
    </w:p>
    <w:p>
      <w:pPr>
        <w:ind w:right="400"/>
        <w:spacing w:after="0" w:line="276" w:lineRule="auto"/>
        <w:rPr>
          <w:sz w:val="20"/>
          <w:szCs w:val="20"/>
          <w:color w:val="auto"/>
        </w:rPr>
      </w:pPr>
      <w:r>
        <w:rPr>
          <w:rFonts w:ascii="Arial" w:cs="Arial" w:eastAsia="Arial" w:hAnsi="Arial"/>
          <w:sz w:val="15"/>
          <w:szCs w:val="15"/>
          <w:color w:val="auto"/>
        </w:rPr>
        <w:t>Gift or inheritance taxes will arise in the Netherlands with respect to a transfer of ordinary shares by way of a gift by, or on the death of, a holder of such ordinary shares who is resident or deemed resident of the Netherlands at the time of the gift or such holder’s death.</w:t>
      </w: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160"/>
          </w:cols>
          <w:pgMar w:left="320" w:top="223" w:right="419" w:bottom="1440" w:gutter="0" w:footer="0" w:header="0"/>
        </w:sectPr>
      </w:pPr>
    </w:p>
    <w:bookmarkStart w:id="57" w:name="page58"/>
    <w:bookmarkEnd w:id="57"/>
    <w:p>
      <w:pPr>
        <w:ind w:left="20"/>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Non-Residents of the Netherlands</w:t>
      </w:r>
    </w:p>
    <w:p>
      <w:pPr>
        <w:spacing w:after="0" w:line="170" w:lineRule="exact"/>
        <w:rPr>
          <w:sz w:val="20"/>
          <w:szCs w:val="20"/>
          <w:color w:val="auto"/>
        </w:rPr>
      </w:pPr>
    </w:p>
    <w:p>
      <w:pPr>
        <w:ind w:right="280"/>
        <w:spacing w:after="0" w:line="276" w:lineRule="auto"/>
        <w:rPr>
          <w:sz w:val="20"/>
          <w:szCs w:val="20"/>
          <w:color w:val="auto"/>
        </w:rPr>
      </w:pPr>
      <w:r>
        <w:rPr>
          <w:rFonts w:ascii="Arial" w:cs="Arial" w:eastAsia="Arial" w:hAnsi="Arial"/>
          <w:sz w:val="15"/>
          <w:szCs w:val="15"/>
          <w:color w:val="auto"/>
        </w:rPr>
        <w:t>No gift or inheritance taxes will arise in the Netherlands with respect to a transfer of ordinary shares by way of a gift by, or on the death of, a holder of such ordinary shares who is neither resident nor deemed to be resident of the Netherlands, unless:</w:t>
      </w:r>
    </w:p>
    <w:p>
      <w:pPr>
        <w:spacing w:after="0" w:line="117" w:lineRule="exact"/>
        <w:rPr>
          <w:sz w:val="20"/>
          <w:szCs w:val="20"/>
          <w:color w:val="auto"/>
        </w:rPr>
      </w:pPr>
    </w:p>
    <w:p>
      <w:pPr>
        <w:ind w:left="540" w:right="400" w:hanging="274"/>
        <w:spacing w:after="0" w:line="275" w:lineRule="auto"/>
        <w:tabs>
          <w:tab w:leader="none" w:pos="540" w:val="left"/>
        </w:tabs>
        <w:numPr>
          <w:ilvl w:val="0"/>
          <w:numId w:val="33"/>
        </w:numPr>
        <w:rPr>
          <w:rFonts w:ascii="Times New Roman" w:cs="Times New Roman" w:eastAsia="Times New Roman" w:hAnsi="Times New Roman"/>
          <w:sz w:val="15"/>
          <w:szCs w:val="15"/>
          <w:color w:val="auto"/>
        </w:rPr>
      </w:pPr>
      <w:r>
        <w:rPr>
          <w:rFonts w:ascii="Arial" w:cs="Arial" w:eastAsia="Arial" w:hAnsi="Arial"/>
          <w:sz w:val="15"/>
          <w:szCs w:val="15"/>
          <w:color w:val="auto"/>
        </w:rPr>
        <w:t>in the case of a gift of ordinary shares by an individual who at the date of the gift was neither resident nor deemed to be resident of the Netherlands, such individual dies within 180 days after the date of the gift, while being resident or deemed to be resident of the Netherlands;</w:t>
      </w:r>
    </w:p>
    <w:p>
      <w:pPr>
        <w:spacing w:after="0" w:line="118" w:lineRule="exact"/>
        <w:rPr>
          <w:rFonts w:ascii="Times New Roman" w:cs="Times New Roman" w:eastAsia="Times New Roman" w:hAnsi="Times New Roman"/>
          <w:sz w:val="15"/>
          <w:szCs w:val="15"/>
          <w:color w:val="auto"/>
        </w:rPr>
      </w:pPr>
    </w:p>
    <w:p>
      <w:pPr>
        <w:ind w:left="540" w:right="220" w:hanging="274"/>
        <w:spacing w:after="0" w:line="275" w:lineRule="auto"/>
        <w:tabs>
          <w:tab w:leader="none" w:pos="540" w:val="left"/>
        </w:tabs>
        <w:numPr>
          <w:ilvl w:val="0"/>
          <w:numId w:val="33"/>
        </w:numPr>
        <w:rPr>
          <w:rFonts w:ascii="Times New Roman" w:cs="Times New Roman" w:eastAsia="Times New Roman" w:hAnsi="Times New Roman"/>
          <w:sz w:val="15"/>
          <w:szCs w:val="15"/>
          <w:color w:val="auto"/>
        </w:rPr>
      </w:pPr>
      <w:r>
        <w:rPr>
          <w:rFonts w:ascii="Arial" w:cs="Arial" w:eastAsia="Arial" w:hAnsi="Arial"/>
          <w:sz w:val="15"/>
          <w:szCs w:val="15"/>
          <w:color w:val="auto"/>
        </w:rPr>
        <w:t>in the case of a gift of ordinary shares is made under a condition precedent, the holder of such ordinary shares is resident or is deemed to be resident of the Netherlands at the time the condition is fulfilled; or</w:t>
      </w:r>
    </w:p>
    <w:p>
      <w:pPr>
        <w:spacing w:after="0" w:line="118" w:lineRule="exact"/>
        <w:rPr>
          <w:rFonts w:ascii="Times New Roman" w:cs="Times New Roman" w:eastAsia="Times New Roman" w:hAnsi="Times New Roman"/>
          <w:sz w:val="15"/>
          <w:szCs w:val="15"/>
          <w:color w:val="auto"/>
        </w:rPr>
      </w:pPr>
    </w:p>
    <w:p>
      <w:pPr>
        <w:ind w:left="540" w:right="20" w:hanging="274"/>
        <w:spacing w:after="0" w:line="275" w:lineRule="auto"/>
        <w:tabs>
          <w:tab w:leader="none" w:pos="540" w:val="left"/>
        </w:tabs>
        <w:numPr>
          <w:ilvl w:val="0"/>
          <w:numId w:val="33"/>
        </w:numPr>
        <w:rPr>
          <w:rFonts w:ascii="Times New Roman" w:cs="Times New Roman" w:eastAsia="Times New Roman" w:hAnsi="Times New Roman"/>
          <w:sz w:val="15"/>
          <w:szCs w:val="15"/>
          <w:color w:val="auto"/>
        </w:rPr>
      </w:pPr>
      <w:r>
        <w:rPr>
          <w:rFonts w:ascii="Arial" w:cs="Arial" w:eastAsia="Arial" w:hAnsi="Arial"/>
          <w:sz w:val="15"/>
          <w:szCs w:val="15"/>
          <w:color w:val="auto"/>
        </w:rPr>
        <w:t>the transfer is otherwise construed as a gift or inheritance made by, or on behalf of, a person who, at the time of the gift or death, is or is deemed to be resident of the Netherlands.</w:t>
      </w:r>
    </w:p>
    <w:p>
      <w:pPr>
        <w:spacing w:after="0" w:line="118" w:lineRule="exact"/>
        <w:rPr>
          <w:sz w:val="20"/>
          <w:szCs w:val="20"/>
          <w:color w:val="auto"/>
        </w:rPr>
      </w:pPr>
    </w:p>
    <w:p>
      <w:pPr>
        <w:spacing w:after="0" w:line="251" w:lineRule="auto"/>
        <w:rPr>
          <w:sz w:val="20"/>
          <w:szCs w:val="20"/>
          <w:color w:val="auto"/>
        </w:rPr>
      </w:pPr>
      <w:r>
        <w:rPr>
          <w:rFonts w:ascii="Arial" w:cs="Arial" w:eastAsia="Arial" w:hAnsi="Arial"/>
          <w:sz w:val="15"/>
          <w:szCs w:val="15"/>
          <w:color w:val="auto"/>
        </w:rPr>
        <w:t>For purposes of Dutch gift and inheritance taxes, amongst others, a person that holds the Dutch nationality will be deemed to be resident of the Netherlands if such person has been a resident of the Netherlands at any time during the ten years preceding the date of the gift or such person’s death. Additionally, for purposes of Dutch gift tax, amongst others, a person not holding the Dutch nationality will be deemed to be resident of the Netherlands if such person has been a resident of the Netherlands at any time during the twelve months preceding the date of the gift. Applicable tax treaties may override deemed residency.</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Value Added Tax (“VAT”)</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No Dutch VAT will be payable by a holder of ordinary shares in respect of any payment in consideration for the holding or disposal of the ordinary shares.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Real Property Transfer Tax</w:t>
      </w:r>
    </w:p>
    <w:p>
      <w:pPr>
        <w:spacing w:after="0" w:line="170" w:lineRule="exact"/>
        <w:rPr>
          <w:sz w:val="20"/>
          <w:szCs w:val="20"/>
          <w:color w:val="auto"/>
        </w:rPr>
      </w:pPr>
    </w:p>
    <w:p>
      <w:pPr>
        <w:ind w:right="540"/>
        <w:spacing w:after="0" w:line="276" w:lineRule="auto"/>
        <w:rPr>
          <w:sz w:val="20"/>
          <w:szCs w:val="20"/>
          <w:color w:val="auto"/>
        </w:rPr>
      </w:pPr>
      <w:r>
        <w:rPr>
          <w:rFonts w:ascii="Arial" w:cs="Arial" w:eastAsia="Arial" w:hAnsi="Arial"/>
          <w:sz w:val="15"/>
          <w:szCs w:val="15"/>
          <w:color w:val="auto"/>
        </w:rPr>
        <w:t>Under circumstances, the ordinary shares could, for the purposes of Dutch real property transfer tax (</w:t>
      </w:r>
      <w:r>
        <w:rPr>
          <w:rFonts w:ascii="Arial" w:cs="Arial" w:eastAsia="Arial" w:hAnsi="Arial"/>
          <w:sz w:val="15"/>
          <w:szCs w:val="15"/>
          <w:i w:val="1"/>
          <w:iCs w:val="1"/>
          <w:color w:val="auto"/>
        </w:rPr>
        <w:t>overdrachtsbelasting</w:t>
      </w:r>
      <w:r>
        <w:rPr>
          <w:rFonts w:ascii="Arial" w:cs="Arial" w:eastAsia="Arial" w:hAnsi="Arial"/>
          <w:sz w:val="15"/>
          <w:szCs w:val="15"/>
          <w:color w:val="auto"/>
        </w:rPr>
        <w:t>), be treated as real property (</w:t>
      </w:r>
      <w:r>
        <w:rPr>
          <w:rFonts w:ascii="Arial" w:cs="Arial" w:eastAsia="Arial" w:hAnsi="Arial"/>
          <w:sz w:val="15"/>
          <w:szCs w:val="15"/>
          <w:i w:val="1"/>
          <w:iCs w:val="1"/>
          <w:color w:val="auto"/>
        </w:rPr>
        <w:t>fictieve</w:t>
      </w:r>
      <w:r>
        <w:rPr>
          <w:rFonts w:ascii="Arial" w:cs="Arial" w:eastAsia="Arial" w:hAnsi="Arial"/>
          <w:sz w:val="15"/>
          <w:szCs w:val="15"/>
          <w:color w:val="auto"/>
        </w:rPr>
        <w:t xml:space="preserve"> </w:t>
      </w:r>
      <w:r>
        <w:rPr>
          <w:rFonts w:ascii="Arial" w:cs="Arial" w:eastAsia="Arial" w:hAnsi="Arial"/>
          <w:sz w:val="15"/>
          <w:szCs w:val="15"/>
          <w:i w:val="1"/>
          <w:iCs w:val="1"/>
          <w:color w:val="auto"/>
        </w:rPr>
        <w:t>onroerende zaken</w:t>
      </w:r>
      <w:r>
        <w:rPr>
          <w:rFonts w:ascii="Arial" w:cs="Arial" w:eastAsia="Arial" w:hAnsi="Arial"/>
          <w:sz w:val="15"/>
          <w:szCs w:val="15"/>
          <w:color w:val="auto"/>
        </w:rPr>
        <w:t>) located in the Netherlands, in which case this tax could be payable upon acquisition of the ordinary shares.</w:t>
      </w:r>
    </w:p>
    <w:p>
      <w:pPr>
        <w:spacing w:after="0" w:line="117" w:lineRule="exact"/>
        <w:rPr>
          <w:sz w:val="20"/>
          <w:szCs w:val="20"/>
          <w:color w:val="auto"/>
        </w:rPr>
      </w:pPr>
    </w:p>
    <w:p>
      <w:pPr>
        <w:ind w:right="140"/>
        <w:spacing w:after="0" w:line="276" w:lineRule="auto"/>
        <w:rPr>
          <w:sz w:val="20"/>
          <w:szCs w:val="20"/>
          <w:color w:val="auto"/>
        </w:rPr>
      </w:pPr>
      <w:r>
        <w:rPr>
          <w:rFonts w:ascii="Arial" w:cs="Arial" w:eastAsia="Arial" w:hAnsi="Arial"/>
          <w:sz w:val="15"/>
          <w:szCs w:val="15"/>
          <w:color w:val="auto"/>
        </w:rPr>
        <w:t>The ordinary shares will generally not be treated as real property (</w:t>
      </w:r>
      <w:r>
        <w:rPr>
          <w:rFonts w:ascii="Arial" w:cs="Arial" w:eastAsia="Arial" w:hAnsi="Arial"/>
          <w:sz w:val="15"/>
          <w:szCs w:val="15"/>
          <w:i w:val="1"/>
          <w:iCs w:val="1"/>
          <w:color w:val="auto"/>
        </w:rPr>
        <w:t>fictieve onroerende zaken</w:t>
      </w:r>
      <w:r>
        <w:rPr>
          <w:rFonts w:ascii="Arial" w:cs="Arial" w:eastAsia="Arial" w:hAnsi="Arial"/>
          <w:sz w:val="15"/>
          <w:szCs w:val="15"/>
          <w:color w:val="auto"/>
        </w:rPr>
        <w:t>) if at the time of, or at any time during the year preceding, the acquisition of the ordinary shares:</w:t>
      </w:r>
    </w:p>
    <w:p>
      <w:pPr>
        <w:spacing w:after="0" w:line="117" w:lineRule="exact"/>
        <w:rPr>
          <w:sz w:val="20"/>
          <w:szCs w:val="20"/>
          <w:color w:val="auto"/>
        </w:rPr>
      </w:pPr>
    </w:p>
    <w:p>
      <w:pPr>
        <w:ind w:left="540" w:hanging="274"/>
        <w:spacing w:after="0"/>
        <w:tabs>
          <w:tab w:leader="none" w:pos="5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our assets do not and did not include real property situated in the Netherlands; or</w:t>
      </w:r>
    </w:p>
    <w:p>
      <w:pPr>
        <w:spacing w:after="0" w:line="170" w:lineRule="exact"/>
        <w:rPr>
          <w:rFonts w:ascii="Arial" w:cs="Arial" w:eastAsia="Arial" w:hAnsi="Arial"/>
          <w:sz w:val="15"/>
          <w:szCs w:val="15"/>
          <w:color w:val="auto"/>
        </w:rPr>
      </w:pPr>
    </w:p>
    <w:p>
      <w:pPr>
        <w:ind w:left="540" w:right="100" w:hanging="274"/>
        <w:spacing w:after="0" w:line="276" w:lineRule="auto"/>
        <w:tabs>
          <w:tab w:leader="none" w:pos="5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our assets only include and included real property, situated either in or outside the Netherlands, that we do not and did not hold, and currently do not intend to hold, predominantly as a financial investment.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5"/>
          <w:szCs w:val="15"/>
          <w:color w:val="auto"/>
        </w:rPr>
        <w:t xml:space="preserve">Real property as referred to under (i) and (ii) above includes legal ownership and more limited legal rights over the property (rights </w:t>
      </w:r>
      <w:r>
        <w:rPr>
          <w:rFonts w:ascii="Arial" w:cs="Arial" w:eastAsia="Arial" w:hAnsi="Arial"/>
          <w:sz w:val="15"/>
          <w:szCs w:val="15"/>
          <w:i w:val="1"/>
          <w:iCs w:val="1"/>
          <w:color w:val="auto"/>
        </w:rPr>
        <w:t>in rem</w:t>
      </w:r>
      <w:r>
        <w:rPr>
          <w:rFonts w:ascii="Arial" w:cs="Arial" w:eastAsia="Arial" w:hAnsi="Arial"/>
          <w:sz w:val="15"/>
          <w:szCs w:val="15"/>
          <w:color w:val="auto"/>
        </w:rPr>
        <w:t>) (</w:t>
      </w:r>
      <w:r>
        <w:rPr>
          <w:rFonts w:ascii="Arial" w:cs="Arial" w:eastAsia="Arial" w:hAnsi="Arial"/>
          <w:sz w:val="15"/>
          <w:szCs w:val="15"/>
          <w:i w:val="1"/>
          <w:iCs w:val="1"/>
          <w:color w:val="auto"/>
        </w:rPr>
        <w:t>zakelijke rechten</w:t>
      </w:r>
      <w:r>
        <w:rPr>
          <w:rFonts w:ascii="Arial" w:cs="Arial" w:eastAsia="Arial" w:hAnsi="Arial"/>
          <w:sz w:val="15"/>
          <w:szCs w:val="15"/>
          <w:color w:val="auto"/>
        </w:rPr>
        <w:t>) as well as contractual rights that give us economic exposure to the value of such real property, and certain participations or interests in entities that are treated as real property (</w:t>
      </w:r>
      <w:r>
        <w:rPr>
          <w:rFonts w:ascii="Arial" w:cs="Arial" w:eastAsia="Arial" w:hAnsi="Arial"/>
          <w:sz w:val="15"/>
          <w:szCs w:val="15"/>
          <w:i w:val="1"/>
          <w:iCs w:val="1"/>
          <w:color w:val="auto"/>
        </w:rPr>
        <w:t>fictieve onroerende zaken</w:t>
      </w:r>
      <w:r>
        <w:rPr>
          <w:rFonts w:ascii="Arial" w:cs="Arial" w:eastAsia="Arial" w:hAnsi="Arial"/>
          <w:sz w:val="15"/>
          <w:szCs w:val="15"/>
          <w:color w:val="auto"/>
        </w:rPr>
        <w:t>).</w:t>
      </w:r>
    </w:p>
    <w:p>
      <w:pPr>
        <w:spacing w:after="0" w:line="131" w:lineRule="exact"/>
        <w:rPr>
          <w:sz w:val="20"/>
          <w:szCs w:val="20"/>
          <w:color w:val="auto"/>
        </w:rPr>
      </w:pPr>
    </w:p>
    <w:p>
      <w:pPr>
        <w:ind w:right="480"/>
        <w:spacing w:after="0" w:line="276" w:lineRule="auto"/>
        <w:rPr>
          <w:sz w:val="20"/>
          <w:szCs w:val="20"/>
          <w:color w:val="auto"/>
        </w:rPr>
      </w:pPr>
      <w:r>
        <w:rPr>
          <w:rFonts w:ascii="Arial" w:cs="Arial" w:eastAsia="Arial" w:hAnsi="Arial"/>
          <w:sz w:val="15"/>
          <w:szCs w:val="15"/>
          <w:color w:val="auto"/>
        </w:rPr>
        <w:t>Our assets do not include and have not included real property situated in the Netherlands as described above. Consequently, no Dutch real property transfer tax becomes payable upon an acquisition of the ordinary shares.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Stamp Duties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58" w:name="page59"/>
    <w:bookmarkEnd w:id="58"/>
    <w:p>
      <w:pPr>
        <w:ind w:left="20"/>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No Dutch documentation taxes (commonly referred to as stamp duties) will be payable by a holder of ordinary shares in respect of any payment in consideration for the holding or disposal of the ordinary shares.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Material German Tax Considerations</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5"/>
          <w:szCs w:val="15"/>
          <w:color w:val="auto"/>
        </w:rPr>
        <w:t>The following section is a description of the material German tax considerations that become relevant when acquiring, owning and transferring Immatics’ ordinary shares. It is based on the German tax law applicable as of the date of this prospectus supplement without prejudice to any amendments introduced at a later date and implemented with or without retroactive effect.</w:t>
      </w:r>
    </w:p>
    <w:p>
      <w:pPr>
        <w:spacing w:after="0" w:line="131" w:lineRule="exact"/>
        <w:rPr>
          <w:sz w:val="20"/>
          <w:szCs w:val="20"/>
          <w:color w:val="auto"/>
        </w:rPr>
      </w:pPr>
    </w:p>
    <w:p>
      <w:pPr>
        <w:ind w:right="40"/>
        <w:spacing w:after="0" w:line="243" w:lineRule="auto"/>
        <w:rPr>
          <w:sz w:val="20"/>
          <w:szCs w:val="20"/>
          <w:color w:val="auto"/>
        </w:rPr>
      </w:pPr>
      <w:r>
        <w:rPr>
          <w:rFonts w:ascii="Arial" w:cs="Arial" w:eastAsia="Arial" w:hAnsi="Arial"/>
          <w:sz w:val="15"/>
          <w:szCs w:val="15"/>
          <w:color w:val="auto"/>
        </w:rPr>
        <w:t>This section is intended as general information only and does not purport to be a comprehensive or complete description of all potential German tax effects of the acquisition, ownership or transfer of ordinary shares and does not set forth all German tax considerations that may be relevant to a particular person’s decision to acquire ordinary shares. It does not constitute particular German tax advice and potential purchasers of Immatics’ ordinary shares are urged to consult their own tax advisors regarding the tax consequences of the acquisition, ownership and transfer of ordinary shares in light of their particular circumstances with regard to the application of German tax law to their particular situations (including full or partial tax exemptions of certain pension or investment funds or non-profit organizations), in particular with respect to the procedure to be complied with to obtain a relief of withholding tax on dividends and on capital gains (</w:t>
      </w:r>
      <w:r>
        <w:rPr>
          <w:rFonts w:ascii="Arial" w:cs="Arial" w:eastAsia="Arial" w:hAnsi="Arial"/>
          <w:sz w:val="15"/>
          <w:szCs w:val="15"/>
          <w:i w:val="1"/>
          <w:iCs w:val="1"/>
          <w:color w:val="auto"/>
        </w:rPr>
        <w:t>Kapitalertragsteuer</w:t>
      </w:r>
      <w:r>
        <w:rPr>
          <w:rFonts w:ascii="Arial" w:cs="Arial" w:eastAsia="Arial" w:hAnsi="Arial"/>
          <w:sz w:val="15"/>
          <w:szCs w:val="15"/>
          <w:color w:val="auto"/>
        </w:rPr>
        <w:t>) and with respect to the influence of double tax treaty provisions, as well as any tax consequences arising under the laws of any state, local or other non-German jurisdiction. For German tax purposes, a shareholder may include an individual who or an entity that does not have the legal title to the ordinary shares, but to whom nevertheless the ordinary shares are attributed, based either on such individual or entity owning a beneficial interest in the ordinary shares or based on specific statutory provisions.</w:t>
      </w:r>
    </w:p>
    <w:p>
      <w:pPr>
        <w:spacing w:after="0" w:line="142" w:lineRule="exact"/>
        <w:rPr>
          <w:sz w:val="20"/>
          <w:szCs w:val="20"/>
          <w:color w:val="auto"/>
        </w:rPr>
      </w:pPr>
    </w:p>
    <w:p>
      <w:pPr>
        <w:ind w:right="160"/>
        <w:spacing w:after="0" w:line="276" w:lineRule="auto"/>
        <w:rPr>
          <w:sz w:val="20"/>
          <w:szCs w:val="20"/>
          <w:color w:val="auto"/>
        </w:rPr>
      </w:pPr>
      <w:r>
        <w:rPr>
          <w:rFonts w:ascii="Arial" w:cs="Arial" w:eastAsia="Arial" w:hAnsi="Arial"/>
          <w:sz w:val="15"/>
          <w:szCs w:val="15"/>
          <w:color w:val="auto"/>
        </w:rPr>
        <w:t>All of the following is subject to change. Such changes could apply retroactively and could affect the consequences set forth below. This section does not refer to any foreign account tax compliance act (FATCA) aspects.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Immatics’ Tax Residency Status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5"/>
          <w:szCs w:val="15"/>
          <w:color w:val="auto"/>
        </w:rPr>
        <w:t>Immatics has its statutory seat in the Netherlands and its sole place of management in Germany and is therefore tax resident in Germany (for purposes of the German-Dutch tax treaty). Thus, Immatics qualifies as a corporation subject to German unlimited liability for corporate income tax purposes. However, because Immatics’ tax residency depends on future facts regarding its place of management, the German unlimited liability for corporate income tax purposes may change in the future.</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Taxation of Dividends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Withholding Tax on Dividend Payments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Dividends distributed from Immatics to its shareholders are generally subject to German withholding tax, conditionally upon certain exemptions (for example,</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repayments of capital from the tax contribution account (</w:t>
      </w:r>
      <w:r>
        <w:rPr>
          <w:rFonts w:ascii="Arial" w:cs="Arial" w:eastAsia="Arial" w:hAnsi="Arial"/>
          <w:sz w:val="15"/>
          <w:szCs w:val="15"/>
          <w:i w:val="1"/>
          <w:iCs w:val="1"/>
          <w:color w:val="auto"/>
        </w:rPr>
        <w:t>steuerliches Einlagekonto</w:t>
      </w:r>
      <w:r>
        <w:rPr>
          <w:rFonts w:ascii="Arial" w:cs="Arial" w:eastAsia="Arial" w:hAnsi="Arial"/>
          <w:sz w:val="15"/>
          <w:szCs w:val="15"/>
          <w:color w:val="auto"/>
        </w:rPr>
        <w:t>)), as further described herein. The withholding tax rate is 25% plus a 5.5% solidarity</w:t>
      </w:r>
    </w:p>
    <w:p>
      <w:pPr>
        <w:spacing w:after="0" w:line="238" w:lineRule="auto"/>
        <w:rPr>
          <w:sz w:val="20"/>
          <w:szCs w:val="20"/>
          <w:color w:val="auto"/>
        </w:rPr>
      </w:pPr>
      <w:r>
        <w:rPr>
          <w:rFonts w:ascii="Arial" w:cs="Arial" w:eastAsia="Arial" w:hAnsi="Arial"/>
          <w:sz w:val="15"/>
          <w:szCs w:val="15"/>
          <w:color w:val="auto"/>
        </w:rPr>
        <w:t>surcharge (</w:t>
      </w:r>
      <w:r>
        <w:rPr>
          <w:rFonts w:ascii="Arial" w:cs="Arial" w:eastAsia="Arial" w:hAnsi="Arial"/>
          <w:sz w:val="15"/>
          <w:szCs w:val="15"/>
          <w:i w:val="1"/>
          <w:iCs w:val="1"/>
          <w:color w:val="auto"/>
        </w:rPr>
        <w:t>Solidaritätszuschlag</w:t>
      </w:r>
      <w:r>
        <w:rPr>
          <w:rFonts w:ascii="Arial" w:cs="Arial" w:eastAsia="Arial" w:hAnsi="Arial"/>
          <w:sz w:val="15"/>
          <w:szCs w:val="15"/>
          <w:color w:val="auto"/>
        </w:rPr>
        <w:t>) thereon totaling 26.375% of the gross dividend amount. Withholding tax is to be withheld and passed on for the account of the</w:t>
      </w:r>
    </w:p>
    <w:p>
      <w:pPr>
        <w:spacing w:after="0"/>
        <w:rPr>
          <w:sz w:val="20"/>
          <w:szCs w:val="20"/>
          <w:color w:val="auto"/>
        </w:rPr>
      </w:pPr>
      <w:r>
        <w:rPr>
          <w:rFonts w:ascii="Arial" w:cs="Arial" w:eastAsia="Arial" w:hAnsi="Arial"/>
          <w:sz w:val="15"/>
          <w:szCs w:val="15"/>
          <w:color w:val="auto"/>
        </w:rPr>
        <w:t>shareholders by a domestic branch of a domestic or foreign credit or financial services institution (</w:t>
      </w:r>
      <w:r>
        <w:rPr>
          <w:rFonts w:ascii="Arial" w:cs="Arial" w:eastAsia="Arial" w:hAnsi="Arial"/>
          <w:sz w:val="15"/>
          <w:szCs w:val="15"/>
          <w:i w:val="1"/>
          <w:iCs w:val="1"/>
          <w:color w:val="auto"/>
        </w:rPr>
        <w:t>Kredit</w:t>
      </w:r>
      <w:r>
        <w:rPr>
          <w:rFonts w:ascii="Arial" w:cs="Arial" w:eastAsia="Arial" w:hAnsi="Arial"/>
          <w:sz w:val="15"/>
          <w:szCs w:val="15"/>
          <w:color w:val="auto"/>
        </w:rPr>
        <w:t xml:space="preserve">- </w:t>
      </w:r>
      <w:r>
        <w:rPr>
          <w:rFonts w:ascii="Arial" w:cs="Arial" w:eastAsia="Arial" w:hAnsi="Arial"/>
          <w:sz w:val="15"/>
          <w:szCs w:val="15"/>
          <w:i w:val="1"/>
          <w:iCs w:val="1"/>
          <w:color w:val="auto"/>
        </w:rPr>
        <w:t>und Finanzdienstleistungsinstitut</w:t>
      </w:r>
      <w:r>
        <w:rPr>
          <w:rFonts w:ascii="Arial" w:cs="Arial" w:eastAsia="Arial" w:hAnsi="Arial"/>
          <w:sz w:val="15"/>
          <w:szCs w:val="15"/>
          <w:color w:val="auto"/>
        </w:rPr>
        <w:t>), by the domestic securities</w:t>
      </w:r>
    </w:p>
    <w:p>
      <w:pPr>
        <w:spacing w:after="0" w:line="238" w:lineRule="auto"/>
        <w:rPr>
          <w:sz w:val="20"/>
          <w:szCs w:val="20"/>
          <w:color w:val="auto"/>
        </w:rPr>
      </w:pPr>
      <w:r>
        <w:rPr>
          <w:rFonts w:ascii="Arial" w:cs="Arial" w:eastAsia="Arial" w:hAnsi="Arial"/>
          <w:sz w:val="15"/>
          <w:szCs w:val="15"/>
          <w:color w:val="auto"/>
        </w:rPr>
        <w:t>trading company (</w:t>
      </w:r>
      <w:r>
        <w:rPr>
          <w:rFonts w:ascii="Arial" w:cs="Arial" w:eastAsia="Arial" w:hAnsi="Arial"/>
          <w:sz w:val="15"/>
          <w:szCs w:val="15"/>
          <w:i w:val="1"/>
          <w:iCs w:val="1"/>
          <w:color w:val="auto"/>
        </w:rPr>
        <w:t>inländisches Wertpapierhandelsunternehmen</w:t>
      </w:r>
      <w:r>
        <w:rPr>
          <w:rFonts w:ascii="Arial" w:cs="Arial" w:eastAsia="Arial" w:hAnsi="Arial"/>
          <w:sz w:val="15"/>
          <w:szCs w:val="15"/>
          <w:color w:val="auto"/>
        </w:rPr>
        <w:t>) or a domestic securities trading bank (</w:t>
      </w:r>
      <w:r>
        <w:rPr>
          <w:rFonts w:ascii="Arial" w:cs="Arial" w:eastAsia="Arial" w:hAnsi="Arial"/>
          <w:sz w:val="15"/>
          <w:szCs w:val="15"/>
          <w:i w:val="1"/>
          <w:iCs w:val="1"/>
          <w:color w:val="auto"/>
        </w:rPr>
        <w:t>inländische Wertpapierhandelsbank</w:t>
      </w:r>
      <w:r>
        <w:rPr>
          <w:rFonts w:ascii="Arial" w:cs="Arial" w:eastAsia="Arial" w:hAnsi="Arial"/>
          <w:sz w:val="15"/>
          <w:szCs w:val="15"/>
          <w:color w:val="auto"/>
        </w:rPr>
        <w:t>) which keeps and</w:t>
      </w:r>
    </w:p>
    <w:p>
      <w:pPr>
        <w:spacing w:after="0"/>
        <w:rPr>
          <w:sz w:val="20"/>
          <w:szCs w:val="20"/>
          <w:color w:val="auto"/>
        </w:rPr>
      </w:pPr>
      <w:r>
        <w:rPr>
          <w:rFonts w:ascii="Arial" w:cs="Arial" w:eastAsia="Arial" w:hAnsi="Arial"/>
          <w:sz w:val="15"/>
          <w:szCs w:val="15"/>
          <w:color w:val="auto"/>
        </w:rPr>
        <w:t>administers the ordinary shares and disburses or credits the dividends or disburses the dividends to a foreign agent, or by the securities custodian bank</w:t>
      </w:r>
    </w:p>
    <w:p>
      <w:pPr>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Wertpapiersammelbank</w:t>
      </w:r>
      <w:r>
        <w:rPr>
          <w:rFonts w:ascii="Arial" w:cs="Arial" w:eastAsia="Arial" w:hAnsi="Arial"/>
          <w:sz w:val="15"/>
          <w:szCs w:val="15"/>
          <w:color w:val="auto"/>
        </w:rPr>
        <w:t>) to which the ordinary shares were entrusted for collective custody if the dividends are distributed to a foreign agent by such securities</w:t>
      </w:r>
    </w:p>
    <w:p>
      <w:pPr>
        <w:spacing w:after="0"/>
        <w:rPr>
          <w:sz w:val="20"/>
          <w:szCs w:val="20"/>
          <w:color w:val="auto"/>
        </w:rPr>
      </w:pPr>
      <w:r>
        <w:rPr>
          <w:rFonts w:ascii="Arial" w:cs="Arial" w:eastAsia="Arial" w:hAnsi="Arial"/>
          <w:sz w:val="15"/>
          <w:szCs w:val="15"/>
          <w:color w:val="auto"/>
        </w:rPr>
        <w:t>custodian bank (which is referred to as the “Dividend Paying Agent”). In case the ordinary shares are not held in collective deposit with a Dividend Paying Agent,</w:t>
      </w:r>
    </w:p>
    <w:p>
      <w:pPr>
        <w:spacing w:after="0"/>
        <w:rPr>
          <w:sz w:val="20"/>
          <w:szCs w:val="20"/>
          <w:color w:val="auto"/>
        </w:rPr>
      </w:pPr>
      <w:r>
        <w:rPr>
          <w:rFonts w:ascii="Arial" w:cs="Arial" w:eastAsia="Arial" w:hAnsi="Arial"/>
          <w:sz w:val="15"/>
          <w:szCs w:val="15"/>
          <w:color w:val="auto"/>
        </w:rPr>
        <w:t>Immatics is responsible for withholding and remitting the tax to the competent tax office. Such withholding tax is levied and withheld irrespective of whether and to</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59" w:name="page60"/>
    <w:bookmarkEnd w:id="59"/>
    <w:p>
      <w:pPr>
        <w:ind w:left="20"/>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what extent the dividend distribution is taxable at the level of the shareholder and whether the shareholder is a person residing in Germany or in a foreign country.</w:t>
      </w:r>
    </w:p>
    <w:p>
      <w:pPr>
        <w:spacing w:after="0" w:line="170" w:lineRule="exact"/>
        <w:rPr>
          <w:sz w:val="20"/>
          <w:szCs w:val="20"/>
          <w:color w:val="auto"/>
        </w:rPr>
      </w:pPr>
    </w:p>
    <w:p>
      <w:pPr>
        <w:spacing w:after="0" w:line="247" w:lineRule="auto"/>
        <w:rPr>
          <w:sz w:val="20"/>
          <w:szCs w:val="20"/>
          <w:color w:val="auto"/>
        </w:rPr>
      </w:pPr>
      <w:r>
        <w:rPr>
          <w:rFonts w:ascii="Arial" w:cs="Arial" w:eastAsia="Arial" w:hAnsi="Arial"/>
          <w:sz w:val="15"/>
          <w:szCs w:val="15"/>
          <w:color w:val="auto"/>
        </w:rPr>
        <w:t>In the case of dividends distributed to a company within the meaning of Art. 2 of the amended EU Directive 2011/96/EU of the Council of November 30, 2011 (the “EU Parent Subsidiary Directive”) domiciled in another Member State of the European Union, withholding tax is effectively reduced to zero. This also applies to dividends distributed to a permanent establishment located in another Member State of the European Union of such a parent company or of a parent company tax resident in Germany if the participation in Immatics is effectively connected with this permanent establishment. The key prerequisite for the application of the EU Parent Subsidiary Directive is that the shareholder has held a direct participation in the share capital of Immatics of at least 10% for an uninterrupted period of at least one year.</w:t>
      </w:r>
    </w:p>
    <w:p>
      <w:pPr>
        <w:spacing w:after="0" w:line="141" w:lineRule="exact"/>
        <w:rPr>
          <w:sz w:val="20"/>
          <w:szCs w:val="20"/>
          <w:color w:val="auto"/>
        </w:rPr>
      </w:pPr>
    </w:p>
    <w:p>
      <w:pPr>
        <w:ind w:right="140"/>
        <w:spacing w:after="0" w:line="246" w:lineRule="auto"/>
        <w:rPr>
          <w:sz w:val="20"/>
          <w:szCs w:val="20"/>
          <w:color w:val="auto"/>
        </w:rPr>
      </w:pPr>
      <w:r>
        <w:rPr>
          <w:rFonts w:ascii="Arial" w:cs="Arial" w:eastAsia="Arial" w:hAnsi="Arial"/>
          <w:sz w:val="15"/>
          <w:szCs w:val="15"/>
          <w:color w:val="auto"/>
        </w:rPr>
        <w:t>The withholding tax on dividends distributed to other foreign resident shareholders is reduced in accordance with an applicable double tax treaty (to 15%, 5% or 0%, depending on certain prerequisites) if Germany has concluded such double tax treaty with the country of residence of the shareholder and if the shareholder does not hold his or her ordinary shares either as part of the assets of a permanent establishment or a fixed place of business in Germany or as business assets for which a permanent representative has been appointed in Germany. Further, the foreign resident shareholder must be eligible for treaty purposes and no limitation of benefits provision in a double tax treaty and—both in relation to a reduction pursuant to the EU Parent Subsidiary Directive and an applicable tax treaty—no German anti-directive/treaty shopping provision of Section 50d paragraph 3 of the German Income Tax Act (</w:t>
      </w:r>
      <w:r>
        <w:rPr>
          <w:rFonts w:ascii="Arial" w:cs="Arial" w:eastAsia="Arial" w:hAnsi="Arial"/>
          <w:sz w:val="15"/>
          <w:szCs w:val="15"/>
          <w:i w:val="1"/>
          <w:iCs w:val="1"/>
          <w:color w:val="auto"/>
        </w:rPr>
        <w:t>Einkommensteuergesetz</w:t>
      </w:r>
      <w:r>
        <w:rPr>
          <w:rFonts w:ascii="Arial" w:cs="Arial" w:eastAsia="Arial" w:hAnsi="Arial"/>
          <w:sz w:val="15"/>
          <w:szCs w:val="15"/>
          <w:color w:val="auto"/>
        </w:rPr>
        <w:t>) must be applicable.</w:t>
      </w:r>
    </w:p>
    <w:p>
      <w:pPr>
        <w:spacing w:after="0" w:line="139" w:lineRule="exact"/>
        <w:rPr>
          <w:sz w:val="20"/>
          <w:szCs w:val="20"/>
          <w:color w:val="auto"/>
        </w:rPr>
      </w:pPr>
    </w:p>
    <w:p>
      <w:pPr>
        <w:ind w:right="20"/>
        <w:spacing w:after="0" w:line="244" w:lineRule="auto"/>
        <w:rPr>
          <w:sz w:val="20"/>
          <w:szCs w:val="20"/>
          <w:color w:val="auto"/>
        </w:rPr>
      </w:pPr>
      <w:r>
        <w:rPr>
          <w:rFonts w:ascii="Arial" w:cs="Arial" w:eastAsia="Arial" w:hAnsi="Arial"/>
          <w:sz w:val="15"/>
          <w:szCs w:val="15"/>
          <w:color w:val="auto"/>
        </w:rPr>
        <w:t>However, the deduction of withholding taxes will generally apply irrespective of a possible reduction pursuant to the EU Parent Subsidiary Directive or an applicable double tax treaty except for the case that the recipient of the dividends has been granted an exemption from the German Federal Central Tax Office (</w:t>
      </w:r>
      <w:r>
        <w:rPr>
          <w:rFonts w:ascii="Arial" w:cs="Arial" w:eastAsia="Arial" w:hAnsi="Arial"/>
          <w:sz w:val="15"/>
          <w:szCs w:val="15"/>
          <w:i w:val="1"/>
          <w:iCs w:val="1"/>
          <w:color w:val="auto"/>
        </w:rPr>
        <w:t>Bundeszentralamt</w:t>
      </w:r>
      <w:r>
        <w:rPr>
          <w:rFonts w:ascii="Arial" w:cs="Arial" w:eastAsia="Arial" w:hAnsi="Arial"/>
          <w:sz w:val="15"/>
          <w:szCs w:val="15"/>
          <w:color w:val="auto"/>
        </w:rPr>
        <w:t xml:space="preserve"> </w:t>
      </w:r>
      <w:r>
        <w:rPr>
          <w:rFonts w:ascii="Arial" w:cs="Arial" w:eastAsia="Arial" w:hAnsi="Arial"/>
          <w:sz w:val="15"/>
          <w:szCs w:val="15"/>
          <w:i w:val="1"/>
          <w:iCs w:val="1"/>
          <w:color w:val="auto"/>
        </w:rPr>
        <w:t>für Steuern</w:t>
      </w:r>
      <w:r>
        <w:rPr>
          <w:rFonts w:ascii="Arial" w:cs="Arial" w:eastAsia="Arial" w:hAnsi="Arial"/>
          <w:sz w:val="15"/>
          <w:szCs w:val="15"/>
          <w:color w:val="auto"/>
        </w:rPr>
        <w:t>) upon formal application by the recipient of the dividends (</w:t>
      </w:r>
      <w:r>
        <w:rPr>
          <w:rFonts w:ascii="Arial" w:cs="Arial" w:eastAsia="Arial" w:hAnsi="Arial"/>
          <w:sz w:val="15"/>
          <w:szCs w:val="15"/>
          <w:i w:val="1"/>
          <w:iCs w:val="1"/>
          <w:color w:val="auto"/>
        </w:rPr>
        <w:t>Freistellung im Steuerabzugsverfahren</w:t>
      </w:r>
      <w:r>
        <w:rPr>
          <w:rFonts w:ascii="Arial" w:cs="Arial" w:eastAsia="Arial" w:hAnsi="Arial"/>
          <w:sz w:val="15"/>
          <w:szCs w:val="15"/>
          <w:color w:val="auto"/>
        </w:rPr>
        <w:t>). In case of deducted withholding taxes, the reduction of</w:t>
      </w:r>
      <w:r>
        <w:rPr>
          <w:rFonts w:ascii="Arial" w:cs="Arial" w:eastAsia="Arial" w:hAnsi="Arial"/>
          <w:sz w:val="15"/>
          <w:szCs w:val="15"/>
          <w:i w:val="1"/>
          <w:iCs w:val="1"/>
          <w:color w:val="auto"/>
        </w:rPr>
        <w:t xml:space="preserve"> </w:t>
      </w:r>
      <w:r>
        <w:rPr>
          <w:rFonts w:ascii="Arial" w:cs="Arial" w:eastAsia="Arial" w:hAnsi="Arial"/>
          <w:sz w:val="15"/>
          <w:szCs w:val="15"/>
          <w:color w:val="auto"/>
        </w:rPr>
        <w:t>the withholding tax pursuant to both the EU Parent Subsidiary Directive and an applicable double tax treaty is procedurally granted in such a manner that the difference between the total amount withheld, including the solidarity surcharge, and the tax liability determined on the basis of the EU Parent Subsidiary Directive (0%) or on the basis of the tax rate set forth in the applicable double tax treaty (15% unless further qualifications are met) is upon request refunded by the German Federal Central Tax Office (</w:t>
      </w:r>
      <w:r>
        <w:rPr>
          <w:rFonts w:ascii="Arial" w:cs="Arial" w:eastAsia="Arial" w:hAnsi="Arial"/>
          <w:sz w:val="15"/>
          <w:szCs w:val="15"/>
          <w:i w:val="1"/>
          <w:iCs w:val="1"/>
          <w:color w:val="auto"/>
        </w:rPr>
        <w:t>Bundeszentralamt für Steuern</w:t>
      </w:r>
      <w:r>
        <w:rPr>
          <w:rFonts w:ascii="Arial" w:cs="Arial" w:eastAsia="Arial" w:hAnsi="Arial"/>
          <w:sz w:val="15"/>
          <w:szCs w:val="15"/>
          <w:color w:val="auto"/>
        </w:rPr>
        <w:t>).</w:t>
      </w:r>
    </w:p>
    <w:p>
      <w:pPr>
        <w:spacing w:after="0" w:line="144" w:lineRule="exact"/>
        <w:rPr>
          <w:sz w:val="20"/>
          <w:szCs w:val="20"/>
          <w:color w:val="auto"/>
        </w:rPr>
      </w:pPr>
    </w:p>
    <w:p>
      <w:pPr>
        <w:ind w:right="80"/>
        <w:spacing w:after="0" w:line="257" w:lineRule="auto"/>
        <w:rPr>
          <w:sz w:val="20"/>
          <w:szCs w:val="20"/>
          <w:color w:val="auto"/>
        </w:rPr>
      </w:pPr>
      <w:r>
        <w:rPr>
          <w:rFonts w:ascii="Arial" w:cs="Arial" w:eastAsia="Arial" w:hAnsi="Arial"/>
          <w:sz w:val="15"/>
          <w:szCs w:val="15"/>
          <w:color w:val="auto"/>
        </w:rPr>
        <w:t>In the case of dividends received by corporations who are not tax resident in Germany, two-fifths of the withholding tax deducted and remitted are refunded without the need to fulfill all prerequisites required for such refund under the EU Parent Subsidiary Directive or under a double tax treaty or if no double tax treaty has been concluded between the state of residence of the shareholder, however, likewise subject to the conditions of the German anti-directive/treaty shopping provision.</w:t>
      </w:r>
    </w:p>
    <w:p>
      <w:pPr>
        <w:spacing w:after="0" w:line="131" w:lineRule="exact"/>
        <w:rPr>
          <w:sz w:val="20"/>
          <w:szCs w:val="20"/>
          <w:color w:val="auto"/>
        </w:rPr>
      </w:pPr>
    </w:p>
    <w:p>
      <w:pPr>
        <w:ind w:right="100"/>
        <w:spacing w:after="0" w:line="257" w:lineRule="auto"/>
        <w:rPr>
          <w:sz w:val="20"/>
          <w:szCs w:val="20"/>
          <w:color w:val="auto"/>
        </w:rPr>
      </w:pPr>
      <w:r>
        <w:rPr>
          <w:rFonts w:ascii="Arial" w:cs="Arial" w:eastAsia="Arial" w:hAnsi="Arial"/>
          <w:sz w:val="15"/>
          <w:szCs w:val="15"/>
          <w:color w:val="auto"/>
        </w:rPr>
        <w:t>In order to receive a refund pursuant to a double tax treaty or the aforementioned option for foreign corporations, the shareholder has to submit a completed form for refund (available at the website of the Federal Central Tax Office (http://www.bzst.de) as well as at the German embassies and consulates) together with a withholding tax certificate (</w:t>
      </w:r>
      <w:r>
        <w:rPr>
          <w:rFonts w:ascii="Arial" w:cs="Arial" w:eastAsia="Arial" w:hAnsi="Arial"/>
          <w:sz w:val="15"/>
          <w:szCs w:val="15"/>
          <w:i w:val="1"/>
          <w:iCs w:val="1"/>
          <w:color w:val="auto"/>
        </w:rPr>
        <w:t>Kapitalertragsteuerbescheinigung</w:t>
      </w:r>
      <w:r>
        <w:rPr>
          <w:rFonts w:ascii="Arial" w:cs="Arial" w:eastAsia="Arial" w:hAnsi="Arial"/>
          <w:sz w:val="15"/>
          <w:szCs w:val="15"/>
          <w:color w:val="auto"/>
        </w:rPr>
        <w:t>) issued by the institution that deducted the respective withholding tax.</w:t>
      </w:r>
    </w:p>
    <w:p>
      <w:pPr>
        <w:spacing w:after="0" w:line="131" w:lineRule="exact"/>
        <w:rPr>
          <w:sz w:val="20"/>
          <w:szCs w:val="20"/>
          <w:color w:val="auto"/>
        </w:rPr>
      </w:pPr>
    </w:p>
    <w:p>
      <w:pPr>
        <w:ind w:right="120"/>
        <w:spacing w:after="0" w:line="246" w:lineRule="auto"/>
        <w:rPr>
          <w:sz w:val="20"/>
          <w:szCs w:val="20"/>
          <w:color w:val="auto"/>
        </w:rPr>
      </w:pPr>
      <w:r>
        <w:rPr>
          <w:rFonts w:ascii="Arial" w:cs="Arial" w:eastAsia="Arial" w:hAnsi="Arial"/>
          <w:sz w:val="15"/>
          <w:szCs w:val="15"/>
          <w:color w:val="auto"/>
        </w:rPr>
        <w:t>The aforementioned reductions of (or exemptions from) withholding tax are further restricted if (i) the applicable double tax treaty provides for a tax reduction resulting in an applicable tax rate of less than 15% and (ii) the shareholder is not a corporation that directly holds at least 10% in the equity capital of Immatics and is subject to tax on its income and profits in its state of residence without being exempt. In this case, the reduction of (or exemption from) withholding tax is subject to the following three cumulative prerequisites: (i) the shareholder must qualify as beneficial owner of the shares in a company for a minimum holding period of 45 consecutive days occurring within a period of 45 days prior and 45 days after the due date of the dividends, (ii) the shareholder has to bear at least 70% of the change in value risk related to the shares in a company during the minimum holding period without being directly or</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60"/>
          </w:cols>
          <w:pgMar w:left="320" w:top="223" w:right="319" w:bottom="1440" w:gutter="0" w:footer="0" w:header="0"/>
        </w:sectPr>
      </w:pPr>
    </w:p>
    <w:bookmarkStart w:id="60" w:name="page61"/>
    <w:bookmarkEnd w:id="60"/>
    <w:p>
      <w:pPr>
        <w:ind w:left="20"/>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indirectly hedged, and (iii) the shareholder must not be required to fully or largely compensate directly or indirectly the dividends to third parties.</w:t>
      </w:r>
    </w:p>
    <w:p>
      <w:pPr>
        <w:spacing w:after="0" w:line="170" w:lineRule="exact"/>
        <w:rPr>
          <w:sz w:val="20"/>
          <w:szCs w:val="20"/>
          <w:color w:val="auto"/>
        </w:rPr>
      </w:pPr>
    </w:p>
    <w:p>
      <w:pPr>
        <w:spacing w:after="0" w:line="247" w:lineRule="auto"/>
        <w:rPr>
          <w:sz w:val="20"/>
          <w:szCs w:val="20"/>
          <w:color w:val="auto"/>
        </w:rPr>
      </w:pPr>
      <w:r>
        <w:rPr>
          <w:rFonts w:ascii="Arial" w:cs="Arial" w:eastAsia="Arial" w:hAnsi="Arial"/>
          <w:sz w:val="15"/>
          <w:szCs w:val="15"/>
          <w:color w:val="auto"/>
        </w:rPr>
        <w:t>In the absence of the fulfillment of all of the three prerequisites, three-fifths of the withholding tax imposed on the dividends must not be credited against the shareholder’s (corporate) income tax liability, but may, upon application, be deducted from the shareholder’s tax base for the relevant assessment period. Furthermore, a shareholder that has received gross dividends without any deduction of withholding tax due to a tax exemption without qualifying for such a full tax credit has (i) to notify the competent local tax office accordingly, (ii) to declare according to the officially prescribed form and (iii) has to make a payment in the amount of the omitted withholding tax deduction.</w:t>
      </w:r>
    </w:p>
    <w:p>
      <w:pPr>
        <w:spacing w:after="0" w:line="141" w:lineRule="exact"/>
        <w:rPr>
          <w:sz w:val="20"/>
          <w:szCs w:val="20"/>
          <w:color w:val="auto"/>
        </w:rPr>
      </w:pPr>
    </w:p>
    <w:p>
      <w:pPr>
        <w:ind w:right="80"/>
        <w:spacing w:after="0" w:line="276" w:lineRule="auto"/>
        <w:rPr>
          <w:sz w:val="20"/>
          <w:szCs w:val="20"/>
          <w:color w:val="auto"/>
        </w:rPr>
      </w:pPr>
      <w:r>
        <w:rPr>
          <w:rFonts w:ascii="Arial" w:cs="Arial" w:eastAsia="Arial" w:hAnsi="Arial"/>
          <w:sz w:val="15"/>
          <w:szCs w:val="15"/>
          <w:color w:val="auto"/>
        </w:rPr>
        <w:t>However, these special rules on the restriction of withholding tax credit do not apply to a shareholder whose overall dividend earnings within an assessment period do not exceed €20,000 or that has been the beneficial owner of the shares in a company for at least one uninterrupted year upon receipt of the dividends.</w:t>
      </w:r>
    </w:p>
    <w:p>
      <w:pPr>
        <w:spacing w:after="0" w:line="117" w:lineRule="exact"/>
        <w:rPr>
          <w:sz w:val="20"/>
          <w:szCs w:val="20"/>
          <w:color w:val="auto"/>
        </w:rPr>
      </w:pPr>
    </w:p>
    <w:p>
      <w:pPr>
        <w:spacing w:after="0" w:line="243" w:lineRule="auto"/>
        <w:rPr>
          <w:sz w:val="20"/>
          <w:szCs w:val="20"/>
          <w:color w:val="auto"/>
        </w:rPr>
      </w:pPr>
      <w:r>
        <w:rPr>
          <w:rFonts w:ascii="Arial" w:cs="Arial" w:eastAsia="Arial" w:hAnsi="Arial"/>
          <w:sz w:val="15"/>
          <w:szCs w:val="15"/>
          <w:color w:val="auto"/>
        </w:rPr>
        <w:t>For individual or corporate shareholders tax resident outside Germany not holding the ordinary shares through a permanent establishment (</w:t>
      </w:r>
      <w:r>
        <w:rPr>
          <w:rFonts w:ascii="Arial" w:cs="Arial" w:eastAsia="Arial" w:hAnsi="Arial"/>
          <w:sz w:val="15"/>
          <w:szCs w:val="15"/>
          <w:i w:val="1"/>
          <w:iCs w:val="1"/>
          <w:color w:val="auto"/>
        </w:rPr>
        <w:t>Betriebsstätte</w:t>
      </w:r>
      <w:r>
        <w:rPr>
          <w:rFonts w:ascii="Arial" w:cs="Arial" w:eastAsia="Arial" w:hAnsi="Arial"/>
          <w:sz w:val="15"/>
          <w:szCs w:val="15"/>
          <w:color w:val="auto"/>
        </w:rPr>
        <w:t>) in Germany or as business assets (</w:t>
      </w:r>
      <w:r>
        <w:rPr>
          <w:rFonts w:ascii="Arial" w:cs="Arial" w:eastAsia="Arial" w:hAnsi="Arial"/>
          <w:sz w:val="15"/>
          <w:szCs w:val="15"/>
          <w:i w:val="1"/>
          <w:iCs w:val="1"/>
          <w:color w:val="auto"/>
        </w:rPr>
        <w:t>Betriebsvermögen</w:t>
      </w:r>
      <w:r>
        <w:rPr>
          <w:rFonts w:ascii="Arial" w:cs="Arial" w:eastAsia="Arial" w:hAnsi="Arial"/>
          <w:sz w:val="15"/>
          <w:szCs w:val="15"/>
          <w:color w:val="auto"/>
        </w:rPr>
        <w:t>) for which a permanent representative (</w:t>
      </w:r>
      <w:r>
        <w:rPr>
          <w:rFonts w:ascii="Arial" w:cs="Arial" w:eastAsia="Arial" w:hAnsi="Arial"/>
          <w:sz w:val="15"/>
          <w:szCs w:val="15"/>
          <w:i w:val="1"/>
          <w:iCs w:val="1"/>
          <w:color w:val="auto"/>
        </w:rPr>
        <w:t>ständiger Vertreter</w:t>
      </w:r>
      <w:r>
        <w:rPr>
          <w:rFonts w:ascii="Arial" w:cs="Arial" w:eastAsia="Arial" w:hAnsi="Arial"/>
          <w:sz w:val="15"/>
          <w:szCs w:val="15"/>
          <w:color w:val="auto"/>
        </w:rPr>
        <w:t>) has been appointed in Germany, the remaining and paid withholding tax (if any) is then final (i.e., not refundable) and settles the shareholder’s limited tax liability in Germany. For individual or corporate shareholders tax resident in Germany (for example, those shareholders whose residence, domicile, registered office or place of management is located in Germany) holding their ordinary shares as business assets, as well as for shareholders tax resident outside of Germany holding their ordinary shares through a permanent establishment in Germany or as business assets for which a permanent representative has been appointed in Germany, the withholding tax withheld (including solidarity surcharge) can be credited against the shareholder’s personal income tax or corporate income tax liability in Germany. Any withholding tax (including solidarity surcharge) in excess of such tax liability is refunded. For individual shareholders tax resident in Germany holding Immatics’ ordinary shares as private assets, the withholding tax is a final tax (</w:t>
      </w:r>
      <w:r>
        <w:rPr>
          <w:rFonts w:ascii="Arial" w:cs="Arial" w:eastAsia="Arial" w:hAnsi="Arial"/>
          <w:sz w:val="15"/>
          <w:szCs w:val="15"/>
          <w:i w:val="1"/>
          <w:iCs w:val="1"/>
          <w:color w:val="auto"/>
        </w:rPr>
        <w:t>Abgeltungsteuer</w:t>
      </w:r>
      <w:r>
        <w:rPr>
          <w:rFonts w:ascii="Arial" w:cs="Arial" w:eastAsia="Arial" w:hAnsi="Arial"/>
          <w:sz w:val="15"/>
          <w:szCs w:val="15"/>
          <w:color w:val="auto"/>
        </w:rPr>
        <w:t>), subject to the exceptions described in the following section.</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Taxation of Dividend Income of Shareholders Tax Resident in Germany Holding Immatics’ Ordinary Shares as Private Assets (Private Individuals)</w:t>
      </w:r>
    </w:p>
    <w:p>
      <w:pPr>
        <w:spacing w:after="0" w:line="170" w:lineRule="exact"/>
        <w:rPr>
          <w:sz w:val="20"/>
          <w:szCs w:val="20"/>
          <w:color w:val="auto"/>
        </w:rPr>
      </w:pPr>
    </w:p>
    <w:p>
      <w:pPr>
        <w:ind w:right="20"/>
        <w:spacing w:after="0" w:line="243" w:lineRule="auto"/>
        <w:rPr>
          <w:sz w:val="20"/>
          <w:szCs w:val="20"/>
          <w:color w:val="auto"/>
        </w:rPr>
      </w:pPr>
      <w:r>
        <w:rPr>
          <w:rFonts w:ascii="Arial" w:cs="Arial" w:eastAsia="Arial" w:hAnsi="Arial"/>
          <w:sz w:val="15"/>
          <w:szCs w:val="15"/>
          <w:color w:val="auto"/>
        </w:rPr>
        <w:t>For individual shareholders (individuals) resident in Germany holding Immatics’ ordinary shares as private assets, dividends are subject to a flat rate tax which is satisfied by the withholding tax actually withheld (</w:t>
      </w:r>
      <w:r>
        <w:rPr>
          <w:rFonts w:ascii="Arial" w:cs="Arial" w:eastAsia="Arial" w:hAnsi="Arial"/>
          <w:sz w:val="15"/>
          <w:szCs w:val="15"/>
          <w:i w:val="1"/>
          <w:iCs w:val="1"/>
          <w:color w:val="auto"/>
        </w:rPr>
        <w:t>Abgeltungsteuer</w:t>
      </w:r>
      <w:r>
        <w:rPr>
          <w:rFonts w:ascii="Arial" w:cs="Arial" w:eastAsia="Arial" w:hAnsi="Arial"/>
          <w:sz w:val="15"/>
          <w:szCs w:val="15"/>
          <w:color w:val="auto"/>
        </w:rPr>
        <w:t>). Accordingly, dividend income will be taxed at a flat tax rate of 25% plus a 5.5% solidarity surcharge thereon totaling 26.375% and church tax (</w:t>
      </w:r>
      <w:r>
        <w:rPr>
          <w:rFonts w:ascii="Arial" w:cs="Arial" w:eastAsia="Arial" w:hAnsi="Arial"/>
          <w:sz w:val="15"/>
          <w:szCs w:val="15"/>
          <w:i w:val="1"/>
          <w:iCs w:val="1"/>
          <w:color w:val="auto"/>
        </w:rPr>
        <w:t>Kirchensteuer</w:t>
      </w:r>
      <w:r>
        <w:rPr>
          <w:rFonts w:ascii="Arial" w:cs="Arial" w:eastAsia="Arial" w:hAnsi="Arial"/>
          <w:sz w:val="15"/>
          <w:szCs w:val="15"/>
          <w:color w:val="auto"/>
        </w:rPr>
        <w:t>) in case the shareholder is subject to church tax because of his or her personal circumstances. An automatic procedure for deduction of church tax by way of withholding will apply to shareholders being subject to church tax unless the shareholder has filed a blocking notice (</w:t>
      </w:r>
      <w:r>
        <w:rPr>
          <w:rFonts w:ascii="Arial" w:cs="Arial" w:eastAsia="Arial" w:hAnsi="Arial"/>
          <w:sz w:val="15"/>
          <w:szCs w:val="15"/>
          <w:i w:val="1"/>
          <w:iCs w:val="1"/>
          <w:color w:val="auto"/>
        </w:rPr>
        <w:t>Sperrvermerk</w:t>
      </w:r>
      <w:r>
        <w:rPr>
          <w:rFonts w:ascii="Arial" w:cs="Arial" w:eastAsia="Arial" w:hAnsi="Arial"/>
          <w:sz w:val="15"/>
          <w:szCs w:val="15"/>
          <w:color w:val="auto"/>
        </w:rPr>
        <w:t>) with the German Federal Tax Office (details related to the computation of the specific tax rate including church tax are to be discussed with the individual tax advisor of the relevant shareholder). Except for an annual lump sum savings allowance (</w:t>
      </w:r>
      <w:r>
        <w:rPr>
          <w:rFonts w:ascii="Arial" w:cs="Arial" w:eastAsia="Arial" w:hAnsi="Arial"/>
          <w:sz w:val="15"/>
          <w:szCs w:val="15"/>
          <w:i w:val="1"/>
          <w:iCs w:val="1"/>
          <w:color w:val="auto"/>
        </w:rPr>
        <w:t>Sparer-Pauschbetrag</w:t>
      </w:r>
      <w:r>
        <w:rPr>
          <w:rFonts w:ascii="Arial" w:cs="Arial" w:eastAsia="Arial" w:hAnsi="Arial"/>
          <w:sz w:val="15"/>
          <w:szCs w:val="15"/>
          <w:color w:val="auto"/>
        </w:rPr>
        <w:t>) of up to €1,000 (for individual filers) or up to €2,000 (for married couples and for partners in accordance with the registered partnership law (</w:t>
      </w:r>
      <w:r>
        <w:rPr>
          <w:rFonts w:ascii="Arial" w:cs="Arial" w:eastAsia="Arial" w:hAnsi="Arial"/>
          <w:sz w:val="15"/>
          <w:szCs w:val="15"/>
          <w:i w:val="1"/>
          <w:iCs w:val="1"/>
          <w:color w:val="auto"/>
        </w:rPr>
        <w:t>Gesetz über die Eingetragene Lebenspartnerschaft</w:t>
      </w:r>
      <w:r>
        <w:rPr>
          <w:rFonts w:ascii="Arial" w:cs="Arial" w:eastAsia="Arial" w:hAnsi="Arial"/>
          <w:sz w:val="15"/>
          <w:szCs w:val="15"/>
          <w:color w:val="auto"/>
        </w:rPr>
        <w:t>) filing jointly), private individual shareholders will not be entitled to deduct expenses incurred in connection with the capital investment from their dividend income.</w:t>
      </w:r>
    </w:p>
    <w:p>
      <w:pPr>
        <w:spacing w:after="0" w:line="145" w:lineRule="exact"/>
        <w:rPr>
          <w:sz w:val="20"/>
          <w:szCs w:val="20"/>
          <w:color w:val="auto"/>
        </w:rPr>
      </w:pPr>
    </w:p>
    <w:p>
      <w:pPr>
        <w:spacing w:after="0" w:line="247" w:lineRule="auto"/>
        <w:rPr>
          <w:sz w:val="20"/>
          <w:szCs w:val="20"/>
          <w:color w:val="auto"/>
        </w:rPr>
      </w:pPr>
      <w:r>
        <w:rPr>
          <w:rFonts w:ascii="Arial" w:cs="Arial" w:eastAsia="Arial" w:hAnsi="Arial"/>
          <w:sz w:val="15"/>
          <w:szCs w:val="15"/>
          <w:color w:val="auto"/>
        </w:rPr>
        <w:t>The income tax owed for the dividend income is satisfied by the withholding tax withheld by the Dividend Paying Agent. However, if the flat tax results in a higher tax burden as opposed to the private individual shareholder’s personal income tax rate, the private individual shareholder can opt for taxation at his or her personal income tax rate. In that case, the final withholding tax will be credited against the income tax. The option can be exercised only for all capital income from capital investments received in the relevant assessment period uniformly and married couples as well as partners in accordance with the registered partnership law filing jointly may only jointly exercise the option.</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61" w:name="page62"/>
    <w:bookmarkEnd w:id="61"/>
    <w:p>
      <w:pPr>
        <w:ind w:left="20"/>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spacing w:after="0" w:line="247" w:lineRule="auto"/>
        <w:rPr>
          <w:sz w:val="20"/>
          <w:szCs w:val="20"/>
          <w:color w:val="auto"/>
        </w:rPr>
      </w:pPr>
      <w:r>
        <w:rPr>
          <w:rFonts w:ascii="Arial" w:cs="Arial" w:eastAsia="Arial" w:hAnsi="Arial"/>
          <w:sz w:val="15"/>
          <w:szCs w:val="15"/>
          <w:color w:val="auto"/>
        </w:rPr>
        <w:t xml:space="preserve">Exceptions from the flat rate tax (satisfied by withholding the tax at source, </w:t>
      </w:r>
      <w:r>
        <w:rPr>
          <w:rFonts w:ascii="Arial" w:cs="Arial" w:eastAsia="Arial" w:hAnsi="Arial"/>
          <w:sz w:val="15"/>
          <w:szCs w:val="15"/>
          <w:i w:val="1"/>
          <w:iCs w:val="1"/>
          <w:color w:val="auto"/>
        </w:rPr>
        <w:t>Abgeltungswirkung</w:t>
      </w:r>
      <w:r>
        <w:rPr>
          <w:rFonts w:ascii="Arial" w:cs="Arial" w:eastAsia="Arial" w:hAnsi="Arial"/>
          <w:sz w:val="15"/>
          <w:szCs w:val="15"/>
          <w:color w:val="auto"/>
        </w:rPr>
        <w:t>) may apply—that is, only upon application—for shareholders who have a shareholding of at least 25% in Immatics and for shareholders who have a shareholding of at least 1% in Immatics and work for a company in a professional capacity. In such a case, the same rules apply as for sole proprietors holding the ordinary shares as business assets (see below “Taxation of Dividend Income of Shareholders Tax Resident in Germany Holding the Company’s Ordinary Shares as Business Assets—Sole Proprietors”). Further, the flat rate tax does not apply if and to the extent dividends reduced Immatics taxable income.</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Taxation of Dividend Income of Shareholders Tax Resident in Germany Holding Immatics’ Ordinary Shares as Business Assets</w:t>
      </w:r>
    </w:p>
    <w:p>
      <w:pPr>
        <w:spacing w:after="0" w:line="170" w:lineRule="exact"/>
        <w:rPr>
          <w:sz w:val="20"/>
          <w:szCs w:val="20"/>
          <w:color w:val="auto"/>
        </w:rPr>
      </w:pPr>
    </w:p>
    <w:p>
      <w:pPr>
        <w:ind w:right="720"/>
        <w:spacing w:after="0" w:line="276" w:lineRule="auto"/>
        <w:rPr>
          <w:sz w:val="20"/>
          <w:szCs w:val="20"/>
          <w:color w:val="auto"/>
        </w:rPr>
      </w:pPr>
      <w:r>
        <w:rPr>
          <w:rFonts w:ascii="Arial" w:cs="Arial" w:eastAsia="Arial" w:hAnsi="Arial"/>
          <w:sz w:val="15"/>
          <w:szCs w:val="15"/>
          <w:color w:val="auto"/>
        </w:rPr>
        <w:t>If a shareholder holds Immatics’ ordinary shares as business assets, the taxation of the dividend income depends on whether the respective shareholder is a corporation, a sole proprietor or a partnership.</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Corporations</w:t>
      </w:r>
    </w:p>
    <w:p>
      <w:pPr>
        <w:spacing w:after="0" w:line="170" w:lineRule="exact"/>
        <w:rPr>
          <w:sz w:val="20"/>
          <w:szCs w:val="20"/>
          <w:color w:val="auto"/>
        </w:rPr>
      </w:pPr>
    </w:p>
    <w:p>
      <w:pPr>
        <w:ind w:right="40"/>
        <w:spacing w:after="0" w:line="243" w:lineRule="auto"/>
        <w:rPr>
          <w:sz w:val="20"/>
          <w:szCs w:val="20"/>
          <w:color w:val="auto"/>
        </w:rPr>
      </w:pPr>
      <w:r>
        <w:rPr>
          <w:rFonts w:ascii="Arial" w:cs="Arial" w:eastAsia="Arial" w:hAnsi="Arial"/>
          <w:sz w:val="15"/>
          <w:szCs w:val="15"/>
          <w:color w:val="auto"/>
        </w:rPr>
        <w:t>Dividend income of corporate shareholders is exempt from corporate income tax, provided that the corporation holds a direct participation of at least 10% in the share capital of a company at the beginning of the calendar year in which the dividends are paid (participation exemption). The acquisition of a participation of at least 10% in the course of a calendar year is deemed to have occurred at the beginning of such calendar year. Participations in the share capital of the company which a corporate shareholder holds through a partnership, including co-entrepreneurships (</w:t>
      </w:r>
      <w:r>
        <w:rPr>
          <w:rFonts w:ascii="Arial" w:cs="Arial" w:eastAsia="Arial" w:hAnsi="Arial"/>
          <w:sz w:val="15"/>
          <w:szCs w:val="15"/>
          <w:i w:val="1"/>
          <w:iCs w:val="1"/>
          <w:color w:val="auto"/>
        </w:rPr>
        <w:t>Mitunternehmerschaften</w:t>
      </w:r>
      <w:r>
        <w:rPr>
          <w:rFonts w:ascii="Arial" w:cs="Arial" w:eastAsia="Arial" w:hAnsi="Arial"/>
          <w:sz w:val="15"/>
          <w:szCs w:val="15"/>
          <w:color w:val="auto"/>
        </w:rPr>
        <w:t>), are attributable to such corporate shareholder only on a pro rata basis at the ratio of the interest share of the corporate shareholder in the assets of the relevant partnership. However, 5% of the tax-exempt dividends are deemed to be non-deductible business expenses for tax purposes and therefore are effectively subject to corporate income tax (plus solidarity surcharge) and trade tax; i.e., tax exemption of 95%. Business expenses incurred in connection with the dividends received are entirely tax deductible. The participation exemption does not apply if and to the extent dividends reduced Immatics taxable income.</w:t>
      </w:r>
    </w:p>
    <w:p>
      <w:pPr>
        <w:spacing w:after="0" w:line="145" w:lineRule="exact"/>
        <w:rPr>
          <w:sz w:val="20"/>
          <w:szCs w:val="20"/>
          <w:color w:val="auto"/>
        </w:rPr>
      </w:pPr>
    </w:p>
    <w:p>
      <w:pPr>
        <w:jc w:val="both"/>
        <w:ind w:right="500"/>
        <w:spacing w:after="0" w:line="257" w:lineRule="auto"/>
        <w:rPr>
          <w:sz w:val="20"/>
          <w:szCs w:val="20"/>
          <w:color w:val="auto"/>
        </w:rPr>
      </w:pPr>
      <w:r>
        <w:rPr>
          <w:rFonts w:ascii="Arial" w:cs="Arial" w:eastAsia="Arial" w:hAnsi="Arial"/>
          <w:sz w:val="15"/>
          <w:szCs w:val="15"/>
          <w:color w:val="auto"/>
        </w:rPr>
        <w:t>For trade tax purposes the entire dividend income is subject to trade tax (i.e., the tax-exempt dividends must be added back when determining the trade taxable income), unless the corporation shareholder holds at least 15% of the company’s registered share capital at the beginning of the relevant tax assessment period (</w:t>
      </w:r>
      <w:r>
        <w:rPr>
          <w:rFonts w:ascii="Arial" w:cs="Arial" w:eastAsia="Arial" w:hAnsi="Arial"/>
          <w:sz w:val="15"/>
          <w:szCs w:val="15"/>
          <w:i w:val="1"/>
          <w:iCs w:val="1"/>
          <w:color w:val="auto"/>
        </w:rPr>
        <w:t>Erhebungszeitraum</w:t>
      </w:r>
      <w:r>
        <w:rPr>
          <w:rFonts w:ascii="Arial" w:cs="Arial" w:eastAsia="Arial" w:hAnsi="Arial"/>
          <w:sz w:val="15"/>
          <w:szCs w:val="15"/>
          <w:color w:val="auto"/>
        </w:rPr>
        <w:t>). In case of an indirect participation via a partnership please refer to the section “Partnerships” below.</w:t>
      </w:r>
    </w:p>
    <w:p>
      <w:pPr>
        <w:spacing w:after="0" w:line="131" w:lineRule="exact"/>
        <w:rPr>
          <w:sz w:val="20"/>
          <w:szCs w:val="20"/>
          <w:color w:val="auto"/>
        </w:rPr>
      </w:pPr>
    </w:p>
    <w:p>
      <w:pPr>
        <w:ind w:right="400"/>
        <w:spacing w:after="0" w:line="257" w:lineRule="auto"/>
        <w:rPr>
          <w:sz w:val="20"/>
          <w:szCs w:val="20"/>
          <w:color w:val="auto"/>
        </w:rPr>
      </w:pPr>
      <w:r>
        <w:rPr>
          <w:rFonts w:ascii="Arial" w:cs="Arial" w:eastAsia="Arial" w:hAnsi="Arial"/>
          <w:sz w:val="15"/>
          <w:szCs w:val="15"/>
          <w:color w:val="auto"/>
        </w:rPr>
        <w:t>If the shareholding is below 10% in the share capital, dividends are taxable at the applicable corporate income tax rate of 15%, plus a 5.5% solidarity surcharge thereon and trade tax (the rate of which depends on the applicably municipality levy rate determined by the municipality the corporate shareholder has its place of management and permanent establishments respectively).</w:t>
      </w:r>
    </w:p>
    <w:p>
      <w:pPr>
        <w:spacing w:after="0" w:line="131" w:lineRule="exact"/>
        <w:rPr>
          <w:sz w:val="20"/>
          <w:szCs w:val="20"/>
          <w:color w:val="auto"/>
        </w:rPr>
      </w:pPr>
    </w:p>
    <w:p>
      <w:pPr>
        <w:ind w:right="20"/>
        <w:spacing w:after="0" w:line="247" w:lineRule="auto"/>
        <w:rPr>
          <w:sz w:val="20"/>
          <w:szCs w:val="20"/>
          <w:color w:val="auto"/>
        </w:rPr>
      </w:pPr>
      <w:r>
        <w:rPr>
          <w:rFonts w:ascii="Arial" w:cs="Arial" w:eastAsia="Arial" w:hAnsi="Arial"/>
          <w:sz w:val="15"/>
          <w:szCs w:val="15"/>
          <w:color w:val="auto"/>
        </w:rPr>
        <w:t>Special regulations apply which abolish the 95% tax exemption, if the company’s ordinary shares are held as trading portfolio assets in the meaning of Section 340e of the German Commercial Code (</w:t>
      </w:r>
      <w:r>
        <w:rPr>
          <w:rFonts w:ascii="Arial" w:cs="Arial" w:eastAsia="Arial" w:hAnsi="Arial"/>
          <w:sz w:val="15"/>
          <w:szCs w:val="15"/>
          <w:i w:val="1"/>
          <w:iCs w:val="1"/>
          <w:color w:val="auto"/>
        </w:rPr>
        <w:t>Handelsgesetzbuch</w:t>
      </w:r>
      <w:r>
        <w:rPr>
          <w:rFonts w:ascii="Arial" w:cs="Arial" w:eastAsia="Arial" w:hAnsi="Arial"/>
          <w:sz w:val="15"/>
          <w:szCs w:val="15"/>
          <w:color w:val="auto"/>
        </w:rPr>
        <w:t>) by (i) a credit institution (</w:t>
      </w:r>
      <w:r>
        <w:rPr>
          <w:rFonts w:ascii="Arial" w:cs="Arial" w:eastAsia="Arial" w:hAnsi="Arial"/>
          <w:sz w:val="15"/>
          <w:szCs w:val="15"/>
          <w:i w:val="1"/>
          <w:iCs w:val="1"/>
          <w:color w:val="auto"/>
        </w:rPr>
        <w:t>Kreditinstitut</w:t>
      </w:r>
      <w:r>
        <w:rPr>
          <w:rFonts w:ascii="Arial" w:cs="Arial" w:eastAsia="Arial" w:hAnsi="Arial"/>
          <w:sz w:val="15"/>
          <w:szCs w:val="15"/>
          <w:color w:val="auto"/>
        </w:rPr>
        <w:t>), (ii) a financial service institution (</w:t>
      </w:r>
      <w:r>
        <w:rPr>
          <w:rFonts w:ascii="Arial" w:cs="Arial" w:eastAsia="Arial" w:hAnsi="Arial"/>
          <w:sz w:val="15"/>
          <w:szCs w:val="15"/>
          <w:i w:val="1"/>
          <w:iCs w:val="1"/>
          <w:color w:val="auto"/>
        </w:rPr>
        <w:t>Finanzdienstleistungsinstitut</w:t>
      </w:r>
      <w:r>
        <w:rPr>
          <w:rFonts w:ascii="Arial" w:cs="Arial" w:eastAsia="Arial" w:hAnsi="Arial"/>
          <w:sz w:val="15"/>
          <w:szCs w:val="15"/>
          <w:color w:val="auto"/>
        </w:rPr>
        <w:t>) or (iii) a financial enterprise within the meaning of the German Banking Act (</w:t>
      </w:r>
      <w:r>
        <w:rPr>
          <w:rFonts w:ascii="Arial" w:cs="Arial" w:eastAsia="Arial" w:hAnsi="Arial"/>
          <w:sz w:val="15"/>
          <w:szCs w:val="15"/>
          <w:i w:val="1"/>
          <w:iCs w:val="1"/>
          <w:color w:val="auto"/>
        </w:rPr>
        <w:t>Kreditwesengesetz</w:t>
      </w:r>
      <w:r>
        <w:rPr>
          <w:rFonts w:ascii="Arial" w:cs="Arial" w:eastAsia="Arial" w:hAnsi="Arial"/>
          <w:sz w:val="15"/>
          <w:szCs w:val="15"/>
          <w:color w:val="auto"/>
        </w:rPr>
        <w:t>), in case more than 50% of the shares of such financial enterprise are held directly or indirectly by a credit institution or a financial service institution, as well as by a life insurance company, a health insurance company or a pension fund in case the shares are attributable to the capital investments, resulting in fully taxable income.</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Sole Proprietors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For sole proprietors (individuals) resident in Germany holding ordinary shares as business assets dividends are subject to the partial income rule</w:t>
      </w:r>
    </w:p>
    <w:p>
      <w:pPr>
        <w:spacing w:after="0" w:line="13" w:lineRule="exact"/>
        <w:rPr>
          <w:sz w:val="20"/>
          <w:szCs w:val="20"/>
          <w:color w:val="auto"/>
        </w:rPr>
      </w:pPr>
    </w:p>
    <w:p>
      <w:pPr>
        <w:ind w:right="180"/>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Teileinkünfteverfahren</w:t>
      </w:r>
      <w:r>
        <w:rPr>
          <w:rFonts w:ascii="Arial" w:cs="Arial" w:eastAsia="Arial" w:hAnsi="Arial"/>
          <w:sz w:val="15"/>
          <w:szCs w:val="15"/>
          <w:color w:val="auto"/>
        </w:rPr>
        <w:t>). Accordingly, only (i) 60% of the dividend income will be taxed at his/her personal income tax rate plus 5.5% solidarity surcharge thereon and church tax (if applicable) and (ii) 60% of the business expenses related to the dividend income are deductible for tax purposes. In addition, the dividend income is entirely subject to trade tax if the ordinary shares are held as business assets of a permanent establishment in Germany within the meaning of the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60"/>
          </w:cols>
          <w:pgMar w:left="320" w:top="223" w:right="319" w:bottom="1440" w:gutter="0" w:footer="0" w:header="0"/>
        </w:sectPr>
      </w:pPr>
    </w:p>
    <w:bookmarkStart w:id="62" w:name="page63"/>
    <w:bookmarkEnd w:id="62"/>
    <w:p>
      <w:pPr>
        <w:ind w:left="20"/>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ind w:right="20"/>
        <w:spacing w:after="0" w:line="257" w:lineRule="auto"/>
        <w:rPr>
          <w:sz w:val="20"/>
          <w:szCs w:val="20"/>
          <w:color w:val="auto"/>
        </w:rPr>
      </w:pPr>
      <w:r>
        <w:rPr>
          <w:rFonts w:ascii="Arial" w:cs="Arial" w:eastAsia="Arial" w:hAnsi="Arial"/>
          <w:sz w:val="15"/>
          <w:szCs w:val="15"/>
          <w:color w:val="auto"/>
        </w:rPr>
        <w:t>German Trade Tax Act (</w:t>
      </w:r>
      <w:r>
        <w:rPr>
          <w:rFonts w:ascii="Arial" w:cs="Arial" w:eastAsia="Arial" w:hAnsi="Arial"/>
          <w:sz w:val="15"/>
          <w:szCs w:val="15"/>
          <w:i w:val="1"/>
          <w:iCs w:val="1"/>
          <w:color w:val="auto"/>
        </w:rPr>
        <w:t>Gewerbesteuergesetz</w:t>
      </w:r>
      <w:r>
        <w:rPr>
          <w:rFonts w:ascii="Arial" w:cs="Arial" w:eastAsia="Arial" w:hAnsi="Arial"/>
          <w:sz w:val="15"/>
          <w:szCs w:val="15"/>
          <w:color w:val="auto"/>
        </w:rPr>
        <w:t>), unless the shareholder holds at least 15% of the company’s registered share capital at the beginning of the relevant assessment period. The trade tax levied will be eligible for credit against the shareholder’s personal income tax liability based on the applicable municipal trade tax rate and the individual tax situation of the shareholder limited to currently 4.0 times the trade tax measurement amount (</w:t>
      </w:r>
      <w:r>
        <w:rPr>
          <w:rFonts w:ascii="Arial" w:cs="Arial" w:eastAsia="Arial" w:hAnsi="Arial"/>
          <w:sz w:val="15"/>
          <w:szCs w:val="15"/>
          <w:i w:val="1"/>
          <w:iCs w:val="1"/>
          <w:color w:val="auto"/>
        </w:rPr>
        <w:t>Gewerbesteuer-Messbetrag</w:t>
      </w:r>
      <w:r>
        <w:rPr>
          <w:rFonts w:ascii="Arial" w:cs="Arial" w:eastAsia="Arial" w:hAnsi="Arial"/>
          <w:sz w:val="15"/>
          <w:szCs w:val="15"/>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Partnerships</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5"/>
          <w:szCs w:val="15"/>
          <w:color w:val="auto"/>
        </w:rPr>
        <w:t>In case ordinary shares are held by a partnership, the partnership itself is not subject to corporate income tax or personal income tax. In this regard, corporate income tax or personal income tax (and church tax, if applicable) as well as solidarity surcharge are levied only at the level of the partner with respect to their relevant part of the partnership’s taxable income and depending on their individual circumstances:</w:t>
      </w:r>
    </w:p>
    <w:p>
      <w:pPr>
        <w:spacing w:after="0" w:line="131" w:lineRule="exact"/>
        <w:rPr>
          <w:sz w:val="20"/>
          <w:szCs w:val="20"/>
          <w:color w:val="auto"/>
        </w:rPr>
      </w:pPr>
    </w:p>
    <w:p>
      <w:pPr>
        <w:ind w:left="540" w:hanging="274"/>
        <w:spacing w:after="0"/>
        <w:tabs>
          <w:tab w:leader="none" w:pos="540" w:val="left"/>
        </w:tabs>
        <w:numPr>
          <w:ilvl w:val="0"/>
          <w:numId w:val="35"/>
        </w:numPr>
        <w:rPr>
          <w:rFonts w:ascii="Times New Roman" w:cs="Times New Roman" w:eastAsia="Times New Roman" w:hAnsi="Times New Roman"/>
          <w:sz w:val="15"/>
          <w:szCs w:val="15"/>
          <w:color w:val="auto"/>
        </w:rPr>
      </w:pPr>
      <w:r>
        <w:rPr>
          <w:rFonts w:ascii="Arial" w:cs="Arial" w:eastAsia="Arial" w:hAnsi="Arial"/>
          <w:sz w:val="15"/>
          <w:szCs w:val="15"/>
          <w:color w:val="auto"/>
        </w:rPr>
        <w:t>if the partner is a corporation, the dividend income will be subject to corporate income tax plus solidarity surcharge (see “Corporations” above);</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35"/>
        </w:numPr>
        <w:rPr>
          <w:rFonts w:ascii="Times New Roman" w:cs="Times New Roman" w:eastAsia="Times New Roman" w:hAnsi="Times New Roman"/>
          <w:sz w:val="15"/>
          <w:szCs w:val="15"/>
          <w:color w:val="auto"/>
        </w:rPr>
      </w:pPr>
      <w:r>
        <w:rPr>
          <w:rFonts w:ascii="Arial" w:cs="Arial" w:eastAsia="Arial" w:hAnsi="Arial"/>
          <w:sz w:val="15"/>
          <w:szCs w:val="15"/>
          <w:color w:val="auto"/>
        </w:rPr>
        <w:t>if the partner is a sole proprietor, the dividend income will be subject to the partial income rule (see “Sole Proprietors” above); and</w:t>
      </w:r>
    </w:p>
    <w:p>
      <w:pPr>
        <w:spacing w:after="0" w:line="181" w:lineRule="exact"/>
        <w:rPr>
          <w:rFonts w:ascii="Times New Roman" w:cs="Times New Roman" w:eastAsia="Times New Roman" w:hAnsi="Times New Roman"/>
          <w:sz w:val="15"/>
          <w:szCs w:val="15"/>
          <w:color w:val="auto"/>
        </w:rPr>
      </w:pPr>
    </w:p>
    <w:p>
      <w:pPr>
        <w:ind w:left="540" w:right="720" w:hanging="274"/>
        <w:spacing w:after="0" w:line="275" w:lineRule="auto"/>
        <w:tabs>
          <w:tab w:leader="none" w:pos="540" w:val="left"/>
        </w:tabs>
        <w:numPr>
          <w:ilvl w:val="0"/>
          <w:numId w:val="35"/>
        </w:numPr>
        <w:rPr>
          <w:rFonts w:ascii="Times New Roman" w:cs="Times New Roman" w:eastAsia="Times New Roman" w:hAnsi="Times New Roman"/>
          <w:sz w:val="15"/>
          <w:szCs w:val="15"/>
          <w:color w:val="auto"/>
        </w:rPr>
      </w:pPr>
      <w:r>
        <w:rPr>
          <w:rFonts w:ascii="Arial" w:cs="Arial" w:eastAsia="Arial" w:hAnsi="Arial"/>
          <w:sz w:val="15"/>
          <w:szCs w:val="15"/>
          <w:color w:val="auto"/>
        </w:rPr>
        <w:t>if the partner is a private individual, the dividend income will be subject to the flat tax rate (see “Private Individuals” above) unless the partnership is a (operative or deemed) commercial partnership, in which case the partial income rule applies.</w:t>
      </w:r>
    </w:p>
    <w:p>
      <w:pPr>
        <w:spacing w:after="0" w:line="118" w:lineRule="exact"/>
        <w:rPr>
          <w:sz w:val="20"/>
          <w:szCs w:val="20"/>
          <w:color w:val="auto"/>
        </w:rPr>
      </w:pPr>
    </w:p>
    <w:p>
      <w:pPr>
        <w:spacing w:after="0" w:line="257" w:lineRule="auto"/>
        <w:rPr>
          <w:sz w:val="20"/>
          <w:szCs w:val="20"/>
          <w:color w:val="auto"/>
        </w:rPr>
      </w:pPr>
      <w:r>
        <w:rPr>
          <w:rFonts w:ascii="Arial" w:cs="Arial" w:eastAsia="Arial" w:hAnsi="Arial"/>
          <w:sz w:val="15"/>
          <w:szCs w:val="15"/>
          <w:color w:val="auto"/>
        </w:rPr>
        <w:t>In case the partnership is a (operative or deemed) commercial partnership with its place of management in Germany the dividend income is subject to German trade tax at the level of the partnership, unless the partnership holds at least 15% of a company’s registered share capital at the beginning of the relevant assessment period, in which case the dividend income is exempt from trade tax.</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Investment Funds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Investment funds (</w:t>
      </w:r>
      <w:r>
        <w:rPr>
          <w:rFonts w:ascii="Arial" w:cs="Arial" w:eastAsia="Arial" w:hAnsi="Arial"/>
          <w:sz w:val="15"/>
          <w:szCs w:val="15"/>
          <w:i w:val="1"/>
          <w:iCs w:val="1"/>
          <w:color w:val="auto"/>
        </w:rPr>
        <w:t>Investmentfonds</w:t>
      </w:r>
      <w:r>
        <w:rPr>
          <w:rFonts w:ascii="Arial" w:cs="Arial" w:eastAsia="Arial" w:hAnsi="Arial"/>
          <w:sz w:val="15"/>
          <w:szCs w:val="15"/>
          <w:color w:val="auto"/>
        </w:rPr>
        <w:t>) and specialized investment funds (</w:t>
      </w:r>
      <w:r>
        <w:rPr>
          <w:rFonts w:ascii="Arial" w:cs="Arial" w:eastAsia="Arial" w:hAnsi="Arial"/>
          <w:sz w:val="15"/>
          <w:szCs w:val="15"/>
          <w:i w:val="1"/>
          <w:iCs w:val="1"/>
          <w:color w:val="auto"/>
        </w:rPr>
        <w:t>Spezial-Investmentfonds</w:t>
      </w:r>
      <w:r>
        <w:rPr>
          <w:rFonts w:ascii="Arial" w:cs="Arial" w:eastAsia="Arial" w:hAnsi="Arial"/>
          <w:sz w:val="15"/>
          <w:szCs w:val="15"/>
          <w:color w:val="auto"/>
        </w:rPr>
        <w:t>) in the meaning of the German Investment Tax Act</w:t>
      </w:r>
    </w:p>
    <w:p>
      <w:pPr>
        <w:spacing w:after="0" w:line="13" w:lineRule="exact"/>
        <w:rPr>
          <w:sz w:val="20"/>
          <w:szCs w:val="20"/>
          <w:color w:val="auto"/>
        </w:rPr>
      </w:pPr>
    </w:p>
    <w:p>
      <w:pPr>
        <w:ind w:right="160"/>
        <w:spacing w:after="0" w:line="257"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Investmentsteuergesetz</w:t>
      </w:r>
      <w:r>
        <w:rPr>
          <w:rFonts w:ascii="Arial" w:cs="Arial" w:eastAsia="Arial" w:hAnsi="Arial"/>
          <w:sz w:val="15"/>
          <w:szCs w:val="15"/>
          <w:color w:val="auto"/>
        </w:rPr>
        <w:t>) and their investors are subject to special rules concerning the taxation of dividends, in particular in relation to the application of the German participation exemption, withholding tax treatment (applicable rate and exemption/refund procedure) and tax assessment.</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Taxation of Dividend Income of Shareholders Tax Resident Outside of Germany</w:t>
      </w:r>
    </w:p>
    <w:p>
      <w:pPr>
        <w:spacing w:after="0" w:line="170" w:lineRule="exact"/>
        <w:rPr>
          <w:sz w:val="20"/>
          <w:szCs w:val="20"/>
          <w:color w:val="auto"/>
        </w:rPr>
      </w:pPr>
    </w:p>
    <w:p>
      <w:pPr>
        <w:ind w:right="80"/>
        <w:spacing w:after="0" w:line="251" w:lineRule="auto"/>
        <w:rPr>
          <w:sz w:val="20"/>
          <w:szCs w:val="20"/>
          <w:color w:val="auto"/>
        </w:rPr>
      </w:pPr>
      <w:r>
        <w:rPr>
          <w:rFonts w:ascii="Arial" w:cs="Arial" w:eastAsia="Arial" w:hAnsi="Arial"/>
          <w:sz w:val="15"/>
          <w:szCs w:val="15"/>
          <w:color w:val="auto"/>
        </w:rPr>
        <w:t>For foreign individual or corporate shareholders tax resident outside of Germany not holding the ordinary shares through a permanent establishment in Germany or as business assets for which a permanent representative has been appointed in Germany, the deducted withholding tax (possibly reduced by way of a tax relief under a double tax treaty or domestic tax law, such as in connection with the EU Parent Subsidiary Directive) is final (that is, not refundable) and settles the shareholder’s limited tax liability in Germany, unless the shareholder is entitled to apply for a withholding tax refund or exemption.</w:t>
      </w:r>
    </w:p>
    <w:p>
      <w:pPr>
        <w:spacing w:after="0" w:line="135" w:lineRule="exact"/>
        <w:rPr>
          <w:sz w:val="20"/>
          <w:szCs w:val="20"/>
          <w:color w:val="auto"/>
        </w:rPr>
      </w:pPr>
    </w:p>
    <w:p>
      <w:pPr>
        <w:ind w:right="240"/>
        <w:spacing w:after="0" w:line="251" w:lineRule="auto"/>
        <w:rPr>
          <w:sz w:val="20"/>
          <w:szCs w:val="20"/>
          <w:color w:val="auto"/>
        </w:rPr>
      </w:pPr>
      <w:r>
        <w:rPr>
          <w:rFonts w:ascii="Arial" w:cs="Arial" w:eastAsia="Arial" w:hAnsi="Arial"/>
          <w:sz w:val="15"/>
          <w:szCs w:val="15"/>
          <w:color w:val="auto"/>
        </w:rPr>
        <w:t>In contrast, individual or corporate shareholders tax resident outside of Germany holding the company’s ordinary shares through a permanent establishment in Germany or as business assets for which a permanent representative has been appointed in Germany are subject to the same rules as applicable (and described above) to shareholders resident in Germany holding the ordinary shares as business assets. The withholding tax withheld (including solidarity surcharge) is credited against the shareholder’s personal income tax or corporate income tax liability in Germany.</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Taxation of Capital Gains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60"/>
          </w:cols>
          <w:pgMar w:left="320" w:top="223" w:right="319" w:bottom="1440" w:gutter="0" w:footer="0" w:header="0"/>
        </w:sectPr>
      </w:pPr>
    </w:p>
    <w:bookmarkStart w:id="63" w:name="page64"/>
    <w:bookmarkEnd w:id="63"/>
    <w:p>
      <w:pPr>
        <w:ind w:left="20"/>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Withholding Tax on Capital Gains</w:t>
      </w:r>
    </w:p>
    <w:p>
      <w:pPr>
        <w:spacing w:after="0" w:line="170" w:lineRule="exact"/>
        <w:rPr>
          <w:sz w:val="20"/>
          <w:szCs w:val="20"/>
          <w:color w:val="auto"/>
        </w:rPr>
      </w:pPr>
    </w:p>
    <w:p>
      <w:pPr>
        <w:ind w:right="140"/>
        <w:spacing w:after="0" w:line="251" w:lineRule="auto"/>
        <w:rPr>
          <w:sz w:val="20"/>
          <w:szCs w:val="20"/>
          <w:color w:val="auto"/>
        </w:rPr>
      </w:pPr>
      <w:r>
        <w:rPr>
          <w:rFonts w:ascii="Arial" w:cs="Arial" w:eastAsia="Arial" w:hAnsi="Arial"/>
          <w:sz w:val="15"/>
          <w:szCs w:val="15"/>
          <w:color w:val="auto"/>
        </w:rPr>
        <w:t>Capital gains realized on the disposal of ordinary shares are only subject to withholding tax if (i) a permanent establishment in Germany of a German or foreign credit or financial institution, (ii) a German securities trading company or (iii) a German securities trading bank stores or administrates or carries out the disposal of the ordinary shares and pays or credits the capital gains. In those cases, the institution (and not the company) is required to deduct the withholding tax at the time of payment for the account of the shareholder and has to pay the withholding tax to the competent tax authority.</w:t>
      </w:r>
    </w:p>
    <w:p>
      <w:pPr>
        <w:spacing w:after="0" w:line="135" w:lineRule="exact"/>
        <w:rPr>
          <w:sz w:val="20"/>
          <w:szCs w:val="20"/>
          <w:color w:val="auto"/>
        </w:rPr>
      </w:pPr>
    </w:p>
    <w:p>
      <w:pPr>
        <w:ind w:right="20"/>
        <w:spacing w:after="0" w:line="251" w:lineRule="auto"/>
        <w:rPr>
          <w:sz w:val="20"/>
          <w:szCs w:val="20"/>
          <w:color w:val="auto"/>
        </w:rPr>
      </w:pPr>
      <w:r>
        <w:rPr>
          <w:rFonts w:ascii="Arial" w:cs="Arial" w:eastAsia="Arial" w:hAnsi="Arial"/>
          <w:sz w:val="15"/>
          <w:szCs w:val="15"/>
          <w:color w:val="auto"/>
        </w:rPr>
        <w:t>In case the ordinary shares in the company are held (i) as business assets by a sole proprietor, a partnership or a corporation and such shares are attributable to a German business or (ii) in case of a corporation being subject to unlimited corporate income tax liability in Germany, the capital gains are not subject to withholding tax. In case of the aforementioned exemption under (i) above, the withholding tax exemption is subject to the condition that the paying agent has been notified by the beneficiary (</w:t>
      </w:r>
      <w:r>
        <w:rPr>
          <w:rFonts w:ascii="Arial" w:cs="Arial" w:eastAsia="Arial" w:hAnsi="Arial"/>
          <w:sz w:val="15"/>
          <w:szCs w:val="15"/>
          <w:i w:val="1"/>
          <w:iCs w:val="1"/>
          <w:color w:val="auto"/>
        </w:rPr>
        <w:t>Gläubiger</w:t>
      </w:r>
      <w:r>
        <w:rPr>
          <w:rFonts w:ascii="Arial" w:cs="Arial" w:eastAsia="Arial" w:hAnsi="Arial"/>
          <w:sz w:val="15"/>
          <w:szCs w:val="15"/>
          <w:color w:val="auto"/>
        </w:rPr>
        <w:t>) that the capital gains are exempt from withholding tax. The respective notification has to be filed by using the officially prescribed form.</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Taxation of Capital Gains Realized by Shareholders Tax Resident in Germany Holding Immatics’ Ordinary Shares as Private Assets (Private Individuals)</w:t>
      </w:r>
    </w:p>
    <w:p>
      <w:pPr>
        <w:spacing w:after="0" w:line="170" w:lineRule="exact"/>
        <w:rPr>
          <w:sz w:val="20"/>
          <w:szCs w:val="20"/>
          <w:color w:val="auto"/>
        </w:rPr>
      </w:pPr>
    </w:p>
    <w:p>
      <w:pPr>
        <w:ind w:right="20"/>
        <w:spacing w:after="0" w:line="242" w:lineRule="auto"/>
        <w:rPr>
          <w:sz w:val="20"/>
          <w:szCs w:val="20"/>
          <w:color w:val="auto"/>
        </w:rPr>
      </w:pPr>
      <w:r>
        <w:rPr>
          <w:rFonts w:ascii="Arial" w:cs="Arial" w:eastAsia="Arial" w:hAnsi="Arial"/>
          <w:sz w:val="15"/>
          <w:szCs w:val="15"/>
          <w:color w:val="auto"/>
        </w:rPr>
        <w:t>For individual shareholders (individuals) resident in Germany holding ordinary shares as private assets, capital gains realized on the disposal of ordinary shares are subject to final withholding tax (</w:t>
      </w:r>
      <w:r>
        <w:rPr>
          <w:rFonts w:ascii="Arial" w:cs="Arial" w:eastAsia="Arial" w:hAnsi="Arial"/>
          <w:sz w:val="15"/>
          <w:szCs w:val="15"/>
          <w:i w:val="1"/>
          <w:iCs w:val="1"/>
          <w:color w:val="auto"/>
        </w:rPr>
        <w:t>Abgeltungsteuer</w:t>
      </w:r>
      <w:r>
        <w:rPr>
          <w:rFonts w:ascii="Arial" w:cs="Arial" w:eastAsia="Arial" w:hAnsi="Arial"/>
          <w:sz w:val="15"/>
          <w:szCs w:val="15"/>
          <w:color w:val="auto"/>
        </w:rPr>
        <w:t>). Accordingly, capital gains will be taxed at a flat tax rate of 25%, plus a 5.5% solidarity surcharge thereon totaling 26.375% and church tax, in case the shareholder is subject to church tax because of his or her personal circumstances. An automatic procedure for deduction of church tax by way of withholding will apply to shareholders being subject to church tax unless the shareholder has filed a blocking notice (</w:t>
      </w:r>
      <w:r>
        <w:rPr>
          <w:rFonts w:ascii="Arial" w:cs="Arial" w:eastAsia="Arial" w:hAnsi="Arial"/>
          <w:sz w:val="15"/>
          <w:szCs w:val="15"/>
          <w:i w:val="1"/>
          <w:iCs w:val="1"/>
          <w:color w:val="auto"/>
        </w:rPr>
        <w:t>Sperrvermerk</w:t>
      </w:r>
      <w:r>
        <w:rPr>
          <w:rFonts w:ascii="Arial" w:cs="Arial" w:eastAsia="Arial" w:hAnsi="Arial"/>
          <w:sz w:val="15"/>
          <w:szCs w:val="15"/>
          <w:color w:val="auto"/>
        </w:rPr>
        <w:t>) with the German Federal Central Tax Office (details related to the computation of the specific tax rate including church tax are to be discussed with the personal tax advisor of the relevant shareholder). The taxable capital gain is calculated by deducting the acquisition costs of the ordinary shares and the expenses directly and materially related to the disposal from the proceeds of the disposal. Apart from that, except for an annual lump sum savings allowance (</w:t>
      </w:r>
      <w:r>
        <w:rPr>
          <w:rFonts w:ascii="Arial" w:cs="Arial" w:eastAsia="Arial" w:hAnsi="Arial"/>
          <w:sz w:val="15"/>
          <w:szCs w:val="15"/>
          <w:i w:val="1"/>
          <w:iCs w:val="1"/>
          <w:color w:val="auto"/>
        </w:rPr>
        <w:t>Sparer-Pauschbetrag</w:t>
      </w:r>
      <w:r>
        <w:rPr>
          <w:rFonts w:ascii="Arial" w:cs="Arial" w:eastAsia="Arial" w:hAnsi="Arial"/>
          <w:sz w:val="15"/>
          <w:szCs w:val="15"/>
          <w:color w:val="auto"/>
        </w:rPr>
        <w:t>) of up to €1,000 (for individual filers) or up to €2,000 (for married couples and for partners in accordance with the registered partnership law (</w:t>
      </w:r>
      <w:r>
        <w:rPr>
          <w:rFonts w:ascii="Arial" w:cs="Arial" w:eastAsia="Arial" w:hAnsi="Arial"/>
          <w:sz w:val="15"/>
          <w:szCs w:val="15"/>
          <w:i w:val="1"/>
          <w:iCs w:val="1"/>
          <w:color w:val="auto"/>
        </w:rPr>
        <w:t>Gesetz über die Eingetragene</w:t>
      </w:r>
      <w:r>
        <w:rPr>
          <w:rFonts w:ascii="Arial" w:cs="Arial" w:eastAsia="Arial" w:hAnsi="Arial"/>
          <w:sz w:val="15"/>
          <w:szCs w:val="15"/>
          <w:color w:val="auto"/>
        </w:rPr>
        <w:t xml:space="preserve"> </w:t>
      </w:r>
      <w:r>
        <w:rPr>
          <w:rFonts w:ascii="Arial" w:cs="Arial" w:eastAsia="Arial" w:hAnsi="Arial"/>
          <w:sz w:val="15"/>
          <w:szCs w:val="15"/>
          <w:i w:val="1"/>
          <w:iCs w:val="1"/>
          <w:color w:val="auto"/>
        </w:rPr>
        <w:t>Lebenspartnerschaft</w:t>
      </w:r>
      <w:r>
        <w:rPr>
          <w:rFonts w:ascii="Arial" w:cs="Arial" w:eastAsia="Arial" w:hAnsi="Arial"/>
          <w:sz w:val="15"/>
          <w:szCs w:val="15"/>
          <w:color w:val="auto"/>
        </w:rPr>
        <w:t>) filing jointly), private individual shareholders will not be entitled to deduct expenses incurred in connection with the capital investment from their</w:t>
      </w:r>
      <w:r>
        <w:rPr>
          <w:rFonts w:ascii="Arial" w:cs="Arial" w:eastAsia="Arial" w:hAnsi="Arial"/>
          <w:sz w:val="15"/>
          <w:szCs w:val="15"/>
          <w:i w:val="1"/>
          <w:iCs w:val="1"/>
          <w:color w:val="auto"/>
        </w:rPr>
        <w:t xml:space="preserve"> </w:t>
      </w:r>
      <w:r>
        <w:rPr>
          <w:rFonts w:ascii="Arial" w:cs="Arial" w:eastAsia="Arial" w:hAnsi="Arial"/>
          <w:sz w:val="15"/>
          <w:szCs w:val="15"/>
          <w:color w:val="auto"/>
        </w:rPr>
        <w:t>capital gain.</w:t>
      </w:r>
    </w:p>
    <w:p>
      <w:pPr>
        <w:spacing w:after="0" w:line="320" w:lineRule="exact"/>
        <w:rPr>
          <w:sz w:val="20"/>
          <w:szCs w:val="20"/>
          <w:color w:val="auto"/>
        </w:rPr>
      </w:pPr>
    </w:p>
    <w:p>
      <w:pPr>
        <w:ind w:right="40"/>
        <w:spacing w:after="0" w:line="251" w:lineRule="auto"/>
        <w:rPr>
          <w:sz w:val="20"/>
          <w:szCs w:val="20"/>
          <w:color w:val="auto"/>
        </w:rPr>
      </w:pPr>
      <w:r>
        <w:rPr>
          <w:rFonts w:ascii="Arial" w:cs="Arial" w:eastAsia="Arial" w:hAnsi="Arial"/>
          <w:sz w:val="15"/>
          <w:szCs w:val="15"/>
          <w:color w:val="auto"/>
        </w:rPr>
        <w:t>In case the flat tax results in a higher tax burden as opposed to the private individual shareholder’s personal income tax rate, the private individual shareholder can opt for taxation at his or her personal income tax rate. In that case, the withholding tax (including solidarity surcharge) withheld will be credited against the income tax. The option can be exercised only for all capital income from capital investments received in the relevant assessment period uniformly and married couples as well as for partners in accordance with the registered partnership law filing jointly may only jointly exercise the option.</w:t>
      </w:r>
    </w:p>
    <w:p>
      <w:pPr>
        <w:spacing w:after="0" w:line="135" w:lineRule="exact"/>
        <w:rPr>
          <w:sz w:val="20"/>
          <w:szCs w:val="20"/>
          <w:color w:val="auto"/>
        </w:rPr>
      </w:pPr>
    </w:p>
    <w:p>
      <w:pPr>
        <w:ind w:right="160"/>
        <w:spacing w:after="0" w:line="251" w:lineRule="auto"/>
        <w:rPr>
          <w:sz w:val="20"/>
          <w:szCs w:val="20"/>
          <w:color w:val="auto"/>
        </w:rPr>
      </w:pPr>
      <w:r>
        <w:rPr>
          <w:rFonts w:ascii="Arial" w:cs="Arial" w:eastAsia="Arial" w:hAnsi="Arial"/>
          <w:sz w:val="15"/>
          <w:szCs w:val="15"/>
          <w:color w:val="auto"/>
        </w:rPr>
        <w:t>Capital losses arising from the disposal of the ordinary shares can only be offset against other capital gains resulting from the disposition of the ordinary shares or shares in other stock corporations during the same calendar year. Offsetting of overall losses with other income (such as business or rental income) and other capital income is not possible. Such losses are to be carried forward and to be offset against positive capital gains deriving from the disposal of ordinary shares in stock corporations in future years.</w:t>
      </w:r>
    </w:p>
    <w:p>
      <w:pPr>
        <w:spacing w:after="0" w:line="135" w:lineRule="exact"/>
        <w:rPr>
          <w:sz w:val="20"/>
          <w:szCs w:val="20"/>
          <w:color w:val="auto"/>
        </w:rPr>
      </w:pPr>
    </w:p>
    <w:p>
      <w:pPr>
        <w:spacing w:after="0" w:line="247" w:lineRule="auto"/>
        <w:rPr>
          <w:sz w:val="20"/>
          <w:szCs w:val="20"/>
          <w:color w:val="auto"/>
        </w:rPr>
      </w:pPr>
      <w:r>
        <w:rPr>
          <w:rFonts w:ascii="Arial" w:cs="Arial" w:eastAsia="Arial" w:hAnsi="Arial"/>
          <w:sz w:val="15"/>
          <w:szCs w:val="15"/>
          <w:color w:val="auto"/>
        </w:rPr>
        <w:t>The final withholding tax (</w:t>
      </w:r>
      <w:r>
        <w:rPr>
          <w:rFonts w:ascii="Arial" w:cs="Arial" w:eastAsia="Arial" w:hAnsi="Arial"/>
          <w:sz w:val="15"/>
          <w:szCs w:val="15"/>
          <w:i w:val="1"/>
          <w:iCs w:val="1"/>
          <w:color w:val="auto"/>
        </w:rPr>
        <w:t>Abgeltungsteuer</w:t>
      </w:r>
      <w:r>
        <w:rPr>
          <w:rFonts w:ascii="Arial" w:cs="Arial" w:eastAsia="Arial" w:hAnsi="Arial"/>
          <w:sz w:val="15"/>
          <w:szCs w:val="15"/>
          <w:color w:val="auto"/>
        </w:rPr>
        <w:t>) will not apply if the seller of the ordinary shares or in case of gratuitous transfer, its legal predecessor has held, directly or indirectly, at least 1% of the company’s registered share capital at any time during the five years prior to the disposal. In that case capital gains are subject to the partial income rule (</w:t>
      </w:r>
      <w:r>
        <w:rPr>
          <w:rFonts w:ascii="Arial" w:cs="Arial" w:eastAsia="Arial" w:hAnsi="Arial"/>
          <w:sz w:val="15"/>
          <w:szCs w:val="15"/>
          <w:i w:val="1"/>
          <w:iCs w:val="1"/>
          <w:color w:val="auto"/>
        </w:rPr>
        <w:t>Teileinkünfteverfahren</w:t>
      </w:r>
      <w:r>
        <w:rPr>
          <w:rFonts w:ascii="Arial" w:cs="Arial" w:eastAsia="Arial" w:hAnsi="Arial"/>
          <w:sz w:val="15"/>
          <w:szCs w:val="15"/>
          <w:color w:val="auto"/>
        </w:rPr>
        <w:t>). Accordingly, only (i) 60% of the capital gains will be taxed at his/her personal income tax rate, plus a 5.5% solidarity surcharge thereon and church tax (if applicable) and (ii) 60% of the business expenses related to the capital gains are deductible for tax purposes. The withholding tax withheld (including solidarity surcharge) will be credited against the shareholder’s personal income tax liability in Germany.</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64" w:name="page65"/>
    <w:bookmarkEnd w:id="64"/>
    <w:p>
      <w:pPr>
        <w:ind w:left="20"/>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Taxation of Capital Gains Realized by Shareholders Tax Resident in Germany Holding Immatics’ Ordinary Shares as Business Assets</w:t>
      </w:r>
    </w:p>
    <w:p>
      <w:pPr>
        <w:spacing w:after="0" w:line="170" w:lineRule="exact"/>
        <w:rPr>
          <w:sz w:val="20"/>
          <w:szCs w:val="20"/>
          <w:color w:val="auto"/>
        </w:rPr>
      </w:pPr>
    </w:p>
    <w:p>
      <w:pPr>
        <w:ind w:right="340"/>
        <w:spacing w:after="0" w:line="276" w:lineRule="auto"/>
        <w:rPr>
          <w:sz w:val="20"/>
          <w:szCs w:val="20"/>
          <w:color w:val="auto"/>
        </w:rPr>
      </w:pPr>
      <w:r>
        <w:rPr>
          <w:rFonts w:ascii="Arial" w:cs="Arial" w:eastAsia="Arial" w:hAnsi="Arial"/>
          <w:sz w:val="15"/>
          <w:szCs w:val="15"/>
          <w:color w:val="auto"/>
        </w:rPr>
        <w:t>If a shareholder holds ordinary shares as business assets, the taxation of capital gains realized on the disposal of such shares depends on whether the respective shareholder is a corporation, a sole proprietor or a partnership:</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Corporations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5"/>
          <w:szCs w:val="15"/>
          <w:color w:val="auto"/>
        </w:rPr>
        <w:t>Capital gains realized on the disposal of ordinary shares by a corporate shareholder are generally exempt from corporate income tax and trade tax. However, 5% of the tax-exempt capital gains are deemed to be non-deductible business expenses for tax purposes and therefore are effectively subject to corporate income tax (plus solidarity surcharge) and trade tax; i.e., tax exemption of 95%. Business expenses incurred in connection with the capital gains are entirely tax deductible.</w:t>
      </w:r>
    </w:p>
    <w:p>
      <w:pPr>
        <w:spacing w:after="0" w:line="131" w:lineRule="exact"/>
        <w:rPr>
          <w:sz w:val="20"/>
          <w:szCs w:val="20"/>
          <w:color w:val="auto"/>
        </w:rPr>
      </w:pPr>
    </w:p>
    <w:p>
      <w:pPr>
        <w:ind w:right="100"/>
        <w:spacing w:after="0" w:line="251" w:lineRule="auto"/>
        <w:rPr>
          <w:sz w:val="20"/>
          <w:szCs w:val="20"/>
          <w:color w:val="auto"/>
        </w:rPr>
      </w:pPr>
      <w:r>
        <w:rPr>
          <w:rFonts w:ascii="Arial" w:cs="Arial" w:eastAsia="Arial" w:hAnsi="Arial"/>
          <w:sz w:val="15"/>
          <w:szCs w:val="15"/>
          <w:color w:val="auto"/>
        </w:rPr>
        <w:t>Capital losses incurred upon the disposal of ordinary shares or other impairments of the share value are not tax deductible. A reduction of profit is also defined as any losses incurred in connection with a loan or security in the event the loan or the security is granted by a shareholder or by a related party thereto or by a third person with the right of recourse against the before mentioned persons and the shareholder holds directly or indirectly more than 25% of the company’s registered share capital.</w:t>
      </w:r>
    </w:p>
    <w:p>
      <w:pPr>
        <w:spacing w:after="0" w:line="135" w:lineRule="exact"/>
        <w:rPr>
          <w:sz w:val="20"/>
          <w:szCs w:val="20"/>
          <w:color w:val="auto"/>
        </w:rPr>
      </w:pPr>
    </w:p>
    <w:p>
      <w:pPr>
        <w:jc w:val="both"/>
        <w:ind w:right="160"/>
        <w:spacing w:after="0" w:line="257" w:lineRule="auto"/>
        <w:rPr>
          <w:sz w:val="20"/>
          <w:szCs w:val="20"/>
          <w:color w:val="auto"/>
        </w:rPr>
      </w:pPr>
      <w:r>
        <w:rPr>
          <w:rFonts w:ascii="Arial" w:cs="Arial" w:eastAsia="Arial" w:hAnsi="Arial"/>
          <w:sz w:val="15"/>
          <w:szCs w:val="15"/>
          <w:color w:val="auto"/>
        </w:rPr>
        <w:t>Special regulations apply, if the ordinary shares are held as trading portfolio assets by a credit institution, a financial service institution or a financial enterprise within the meaning of the German Banking Act (</w:t>
      </w:r>
      <w:r>
        <w:rPr>
          <w:rFonts w:ascii="Arial" w:cs="Arial" w:eastAsia="Arial" w:hAnsi="Arial"/>
          <w:sz w:val="15"/>
          <w:szCs w:val="15"/>
          <w:i w:val="1"/>
          <w:iCs w:val="1"/>
          <w:color w:val="auto"/>
        </w:rPr>
        <w:t>Kreditwesengesetz</w:t>
      </w:r>
      <w:r>
        <w:rPr>
          <w:rFonts w:ascii="Arial" w:cs="Arial" w:eastAsia="Arial" w:hAnsi="Arial"/>
          <w:sz w:val="15"/>
          <w:szCs w:val="15"/>
          <w:color w:val="auto"/>
        </w:rPr>
        <w:t>) as well as by a life insurance company, a health insurance company or a pension fund (see “—Material German Tax Considerations—Taxation of Dividends—Corporations”).</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Sole Proprietors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If the ordinary shares are held by a sole proprietor, capital gains realized on the disposal of the ordinary shares are subject to the partial income rule</w:t>
      </w:r>
    </w:p>
    <w:p>
      <w:pPr>
        <w:spacing w:after="0" w:line="13" w:lineRule="exact"/>
        <w:rPr>
          <w:sz w:val="20"/>
          <w:szCs w:val="20"/>
          <w:color w:val="auto"/>
        </w:rPr>
      </w:pPr>
    </w:p>
    <w:p>
      <w:pPr>
        <w:ind w:right="20"/>
        <w:spacing w:after="0" w:line="243"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Teileinkünfteverfahren</w:t>
      </w:r>
      <w:r>
        <w:rPr>
          <w:rFonts w:ascii="Arial" w:cs="Arial" w:eastAsia="Arial" w:hAnsi="Arial"/>
          <w:sz w:val="15"/>
          <w:szCs w:val="15"/>
          <w:color w:val="auto"/>
        </w:rPr>
        <w:t>). Accordingly, only (i) 60% of the capital gains will be taxed at his/her personal income tax rate plus 5.5% solidarity surcharge thereon and church tax (if applicable) and (ii) 60% of the business expenses related to the dividend income are deductible for tax purposes. In addition, 60% of the capital gains are subject to trade tax if the ordinary shares are held as business assets of a permanent establishment in Germany within the meaning of the German Trade Tax Act (</w:t>
      </w:r>
      <w:r>
        <w:rPr>
          <w:rFonts w:ascii="Arial" w:cs="Arial" w:eastAsia="Arial" w:hAnsi="Arial"/>
          <w:sz w:val="15"/>
          <w:szCs w:val="15"/>
          <w:i w:val="1"/>
          <w:iCs w:val="1"/>
          <w:color w:val="auto"/>
        </w:rPr>
        <w:t>Gewerbesteuergesetz</w:t>
      </w:r>
      <w:r>
        <w:rPr>
          <w:rFonts w:ascii="Arial" w:cs="Arial" w:eastAsia="Arial" w:hAnsi="Arial"/>
          <w:sz w:val="15"/>
          <w:szCs w:val="15"/>
          <w:color w:val="auto"/>
        </w:rPr>
        <w:t>). The trade tax levied, depending on the applicable municipal trade tax rate and the individual tax situation, is partly or entirely be credited against the shareholder’s personal income tax liability.</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Partnerships</w:t>
      </w:r>
    </w:p>
    <w:p>
      <w:pPr>
        <w:spacing w:after="0" w:line="170" w:lineRule="exact"/>
        <w:rPr>
          <w:sz w:val="20"/>
          <w:szCs w:val="20"/>
          <w:color w:val="auto"/>
        </w:rPr>
      </w:pPr>
    </w:p>
    <w:p>
      <w:pPr>
        <w:spacing w:after="0" w:line="251" w:lineRule="auto"/>
        <w:rPr>
          <w:sz w:val="20"/>
          <w:szCs w:val="20"/>
          <w:color w:val="auto"/>
        </w:rPr>
      </w:pPr>
      <w:r>
        <w:rPr>
          <w:rFonts w:ascii="Arial" w:cs="Arial" w:eastAsia="Arial" w:hAnsi="Arial"/>
          <w:sz w:val="15"/>
          <w:szCs w:val="15"/>
          <w:color w:val="auto"/>
        </w:rPr>
        <w:t>In case the ordinary shares are held by a partnership, the partnership itself is not subject to corporate income tax or personal income tax as well as solidarity surcharge (and church tax) since partnerships qualify as transparent for German income tax purposes. In this regard, corporate income tax or personal income tax as well as solidarity surcharge (and church tax, if applicable) are levied only at the level of the partner with respect to their relevant part of the partnership’s taxable income and depending on their individual circumstances:</w:t>
      </w:r>
    </w:p>
    <w:p>
      <w:pPr>
        <w:spacing w:after="0" w:line="135" w:lineRule="exact"/>
        <w:rPr>
          <w:sz w:val="20"/>
          <w:szCs w:val="20"/>
          <w:color w:val="auto"/>
        </w:rPr>
      </w:pPr>
    </w:p>
    <w:p>
      <w:pPr>
        <w:ind w:left="540" w:right="120" w:hanging="274"/>
        <w:spacing w:after="0" w:line="247" w:lineRule="auto"/>
        <w:tabs>
          <w:tab w:leader="none" w:pos="540" w:val="left"/>
        </w:tabs>
        <w:numPr>
          <w:ilvl w:val="0"/>
          <w:numId w:val="36"/>
        </w:numPr>
        <w:rPr>
          <w:rFonts w:ascii="Times New Roman" w:cs="Times New Roman" w:eastAsia="Times New Roman" w:hAnsi="Times New Roman"/>
          <w:sz w:val="15"/>
          <w:szCs w:val="15"/>
          <w:color w:val="auto"/>
        </w:rPr>
      </w:pPr>
      <w:r>
        <w:rPr>
          <w:rFonts w:ascii="Arial" w:cs="Arial" w:eastAsia="Arial" w:hAnsi="Arial"/>
          <w:sz w:val="15"/>
          <w:szCs w:val="15"/>
          <w:color w:val="auto"/>
        </w:rPr>
        <w:t>If the partner is a corporation, the capital gains will be subject to corporate income tax plus solidarity surcharge (see above “Corporations”). Trade tax will be levied additionally at the level of the partner insofar as the relevant profit of the partnership is not subject to trade tax at the level of the partnership. However, with respect to both corporate income and trade tax, the 95%-exemption rule as described above applies. With regard to corporate partners, special regulations apply if they are held as trading portfolio assets by credit institutions, financial service institutions or financial enterprises within the meaning of the German Banking Act or life insurance companies, health insurance companies or pension funds, as described above.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65" w:name="page66"/>
    <w:bookmarkEnd w:id="65"/>
    <w:p>
      <w:pPr>
        <w:ind w:left="20"/>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ind w:left="540" w:hanging="274"/>
        <w:spacing w:after="0"/>
        <w:tabs>
          <w:tab w:leader="none" w:pos="540" w:val="left"/>
        </w:tabs>
        <w:numPr>
          <w:ilvl w:val="0"/>
          <w:numId w:val="37"/>
        </w:numPr>
        <w:rPr>
          <w:rFonts w:ascii="Times New Roman" w:cs="Times New Roman" w:eastAsia="Times New Roman" w:hAnsi="Times New Roman"/>
          <w:sz w:val="15"/>
          <w:szCs w:val="15"/>
          <w:color w:val="auto"/>
        </w:rPr>
      </w:pPr>
      <w:r>
        <w:rPr>
          <w:rFonts w:ascii="Arial" w:cs="Arial" w:eastAsia="Arial" w:hAnsi="Arial"/>
          <w:sz w:val="15"/>
          <w:szCs w:val="15"/>
          <w:color w:val="auto"/>
        </w:rPr>
        <w:t>If the partner is a sole proprietor (individual), the capital gains are subject to the partial income rule (see above “Sole Proprietors”).</w:t>
      </w:r>
    </w:p>
    <w:p>
      <w:pPr>
        <w:spacing w:after="0" w:line="181" w:lineRule="exact"/>
        <w:rPr>
          <w:sz w:val="20"/>
          <w:szCs w:val="20"/>
          <w:color w:val="auto"/>
        </w:rPr>
      </w:pPr>
    </w:p>
    <w:p>
      <w:pPr>
        <w:ind w:right="20"/>
        <w:spacing w:after="0" w:line="251" w:lineRule="auto"/>
        <w:rPr>
          <w:sz w:val="20"/>
          <w:szCs w:val="20"/>
          <w:color w:val="auto"/>
        </w:rPr>
      </w:pPr>
      <w:r>
        <w:rPr>
          <w:rFonts w:ascii="Arial" w:cs="Arial" w:eastAsia="Arial" w:hAnsi="Arial"/>
          <w:sz w:val="15"/>
          <w:szCs w:val="15"/>
          <w:color w:val="auto"/>
        </w:rPr>
        <w:t>In addition, if the partnership is liable to German trade tax, 60% of the capital gains are subject to trade tax at the level of the partnership, to the extent the partners are individuals, and 5% of the capital gains are subject to trade tax, to the extent the partners are corporations. However, if a partner is a private individual, the trade tax paid at the level of the partnership is credited against the partner’s personal income tax liability at up to 4.0 times of the trade tax measurement amount (</w:t>
      </w:r>
      <w:r>
        <w:rPr>
          <w:rFonts w:ascii="Arial" w:cs="Arial" w:eastAsia="Arial" w:hAnsi="Arial"/>
          <w:sz w:val="15"/>
          <w:szCs w:val="15"/>
          <w:i w:val="1"/>
          <w:iCs w:val="1"/>
          <w:color w:val="auto"/>
        </w:rPr>
        <w:t>Gewerbesteuer-Messbetrag</w:t>
      </w:r>
      <w:r>
        <w:rPr>
          <w:rFonts w:ascii="Arial" w:cs="Arial" w:eastAsia="Arial" w:hAnsi="Arial"/>
          <w:sz w:val="15"/>
          <w:szCs w:val="15"/>
          <w:color w:val="auto"/>
        </w:rPr>
        <w:t>) depending on the applicable municipal trade tax levy rate and the personal tax situation.</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Taxation of Capital Gains Realized by Shareholders Tax Resident Outside of Germany</w:t>
      </w:r>
    </w:p>
    <w:p>
      <w:pPr>
        <w:spacing w:after="0" w:line="170" w:lineRule="exact"/>
        <w:rPr>
          <w:sz w:val="20"/>
          <w:szCs w:val="20"/>
          <w:color w:val="auto"/>
        </w:rPr>
      </w:pPr>
    </w:p>
    <w:p>
      <w:pPr>
        <w:spacing w:after="0" w:line="244" w:lineRule="auto"/>
        <w:rPr>
          <w:sz w:val="20"/>
          <w:szCs w:val="20"/>
          <w:color w:val="auto"/>
        </w:rPr>
      </w:pPr>
      <w:r>
        <w:rPr>
          <w:rFonts w:ascii="Arial" w:cs="Arial" w:eastAsia="Arial" w:hAnsi="Arial"/>
          <w:sz w:val="15"/>
          <w:szCs w:val="15"/>
          <w:color w:val="auto"/>
        </w:rPr>
        <w:t>Capital gains realized on the disposal of the ordinary shares by a shareholder tax resident outside of Germany are subject to German taxation provided that (i) the company’s ordinary shares are held as business assets of a permanent establishment or as business assets for which a permanent representative has been appointed in Germany, or (ii) the shareholder or, in case of a gratuitous transfer, its legal predecessor has held, directly or indirectly at least 1% of the company’s shares capital at any time during a five-year period prior to the disposal. In these cases, capital gains are generally subject to the same rules as described above for shareholders resident in Germany. However, except for the cases referred to in (i) above, most double tax treaties concluded by Germany provide for a full exemption from German taxation except that the company is considered a real estate holding entity for treaty purposes. Further, the participation exemption applies in full resulting in a tax exemption of 100% (i.e., no deemed non-tax-deductible business expenses).</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Inheritance and Gift Tax</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The transfer of Immatics’ ordinary shares to another person by way of succession or donation is subject to German inheritance and gift tax (</w:t>
      </w:r>
      <w:r>
        <w:rPr>
          <w:rFonts w:ascii="Arial" w:cs="Arial" w:eastAsia="Arial" w:hAnsi="Arial"/>
          <w:sz w:val="15"/>
          <w:szCs w:val="15"/>
          <w:i w:val="1"/>
          <w:iCs w:val="1"/>
          <w:color w:val="auto"/>
        </w:rPr>
        <w:t>Erbschaft- und</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Schenkungsteuer</w:t>
      </w:r>
      <w:r>
        <w:rPr>
          <w:rFonts w:ascii="Arial" w:cs="Arial" w:eastAsia="Arial" w:hAnsi="Arial"/>
          <w:sz w:val="15"/>
          <w:szCs w:val="15"/>
          <w:color w:val="auto"/>
        </w:rPr>
        <w:t>) if:</w:t>
      </w:r>
    </w:p>
    <w:p>
      <w:pPr>
        <w:spacing w:after="0" w:line="156" w:lineRule="exact"/>
        <w:rPr>
          <w:sz w:val="20"/>
          <w:szCs w:val="20"/>
          <w:color w:val="auto"/>
        </w:rPr>
      </w:pPr>
    </w:p>
    <w:p>
      <w:pPr>
        <w:ind w:left="580" w:right="40" w:hanging="292"/>
        <w:spacing w:after="0" w:line="276" w:lineRule="auto"/>
        <w:tabs>
          <w:tab w:leader="none" w:pos="5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decedent, the donor, the heir, the donee or any other beneficiary has his/her/its residence, domicile, registered office or place of management in Germany at the time of the transfer, or is a German citizen who has not stayed abroad for more than five consecutive years without having a residence in Germany;</w:t>
      </w:r>
    </w:p>
    <w:p>
      <w:pPr>
        <w:spacing w:after="0" w:line="117" w:lineRule="exact"/>
        <w:rPr>
          <w:rFonts w:ascii="Arial" w:cs="Arial" w:eastAsia="Arial" w:hAnsi="Arial"/>
          <w:sz w:val="15"/>
          <w:szCs w:val="15"/>
          <w:color w:val="auto"/>
        </w:rPr>
      </w:pPr>
    </w:p>
    <w:p>
      <w:pPr>
        <w:ind w:left="580" w:hanging="292"/>
        <w:spacing w:after="0" w:line="276" w:lineRule="auto"/>
        <w:tabs>
          <w:tab w:leader="none" w:pos="5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(irrespective of the personal circumstances) the ordinary shares are held by the decedent or donor as business assets for which a permanent establishment in Germany is maintained or a permanent representative is appointed in Germany; or</w:t>
      </w:r>
    </w:p>
    <w:p>
      <w:pPr>
        <w:spacing w:after="0" w:line="117" w:lineRule="exact"/>
        <w:rPr>
          <w:rFonts w:ascii="Arial" w:cs="Arial" w:eastAsia="Arial" w:hAnsi="Arial"/>
          <w:sz w:val="15"/>
          <w:szCs w:val="15"/>
          <w:color w:val="auto"/>
        </w:rPr>
      </w:pPr>
    </w:p>
    <w:p>
      <w:pPr>
        <w:ind w:left="580" w:right="460" w:hanging="292"/>
        <w:spacing w:after="0" w:line="276" w:lineRule="auto"/>
        <w:tabs>
          <w:tab w:leader="none" w:pos="5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(irrespective of the personal circumstances) at least 10% of the ordinary shares are held directly or indirectly by the decedent or person making the gift, himself or together with a related party in terms of Section 1, paragraph 2, Foreign Tax Act.</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5"/>
          <w:szCs w:val="15"/>
          <w:color w:val="auto"/>
        </w:rPr>
        <w:t>Special regulations apply to qualified German citizens who maintain neither a residence nor their domicile in Germany but in a low tax jurisdiction and to former German citizens, also resulting in inheritance and gift tax. The few double tax treaties on inheritance and gift tax which Germany has entered into provide that German inheritance and gift tax is levied only in case of (i) and, with certain restrictions, in case of (ii).</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Value Added Tax (VAT)</w:t>
      </w:r>
    </w:p>
    <w:p>
      <w:pPr>
        <w:spacing w:after="0" w:line="170" w:lineRule="exact"/>
        <w:rPr>
          <w:sz w:val="20"/>
          <w:szCs w:val="20"/>
          <w:color w:val="auto"/>
        </w:rPr>
      </w:pPr>
    </w:p>
    <w:p>
      <w:pPr>
        <w:ind w:right="160"/>
        <w:spacing w:after="0" w:line="276" w:lineRule="auto"/>
        <w:rPr>
          <w:sz w:val="20"/>
          <w:szCs w:val="20"/>
          <w:color w:val="auto"/>
        </w:rPr>
      </w:pPr>
      <w:r>
        <w:rPr>
          <w:rFonts w:ascii="Arial" w:cs="Arial" w:eastAsia="Arial" w:hAnsi="Arial"/>
          <w:sz w:val="15"/>
          <w:szCs w:val="15"/>
          <w:color w:val="auto"/>
        </w:rPr>
        <w:t>No German value added tax (</w:t>
      </w:r>
      <w:r>
        <w:rPr>
          <w:rFonts w:ascii="Arial" w:cs="Arial" w:eastAsia="Arial" w:hAnsi="Arial"/>
          <w:sz w:val="15"/>
          <w:szCs w:val="15"/>
          <w:i w:val="1"/>
          <w:iCs w:val="1"/>
          <w:color w:val="auto"/>
        </w:rPr>
        <w:t>Umsatzsteuer</w:t>
      </w:r>
      <w:r>
        <w:rPr>
          <w:rFonts w:ascii="Arial" w:cs="Arial" w:eastAsia="Arial" w:hAnsi="Arial"/>
          <w:sz w:val="15"/>
          <w:szCs w:val="15"/>
          <w:color w:val="auto"/>
        </w:rPr>
        <w:t>) will be payable by a shareholder in respect of any purchase, ownership and disposal of the ordinary shares except for a valid option to waive VAT exemption requiring a sale between entrepreneurs for VAT purposes.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Transfer Taxes</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66" w:name="page67"/>
    <w:bookmarkEnd w:id="66"/>
    <w:p>
      <w:pPr>
        <w:ind w:left="20"/>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ind w:right="80"/>
        <w:spacing w:after="0" w:line="276" w:lineRule="auto"/>
        <w:rPr>
          <w:sz w:val="20"/>
          <w:szCs w:val="20"/>
          <w:color w:val="auto"/>
        </w:rPr>
      </w:pPr>
      <w:r>
        <w:rPr>
          <w:rFonts w:ascii="Arial" w:cs="Arial" w:eastAsia="Arial" w:hAnsi="Arial"/>
          <w:sz w:val="15"/>
          <w:szCs w:val="15"/>
          <w:color w:val="auto"/>
        </w:rPr>
        <w:t>No German capital transfer tax (</w:t>
      </w:r>
      <w:r>
        <w:rPr>
          <w:rFonts w:ascii="Arial" w:cs="Arial" w:eastAsia="Arial" w:hAnsi="Arial"/>
          <w:sz w:val="15"/>
          <w:szCs w:val="15"/>
          <w:i w:val="1"/>
          <w:iCs w:val="1"/>
          <w:color w:val="auto"/>
        </w:rPr>
        <w:t>Kapitalverkehrsteuer</w:t>
      </w:r>
      <w:r>
        <w:rPr>
          <w:rFonts w:ascii="Arial" w:cs="Arial" w:eastAsia="Arial" w:hAnsi="Arial"/>
          <w:sz w:val="15"/>
          <w:szCs w:val="15"/>
          <w:color w:val="auto"/>
        </w:rPr>
        <w:t>) or stamp duty (</w:t>
      </w:r>
      <w:r>
        <w:rPr>
          <w:rFonts w:ascii="Arial" w:cs="Arial" w:eastAsia="Arial" w:hAnsi="Arial"/>
          <w:sz w:val="15"/>
          <w:szCs w:val="15"/>
          <w:i w:val="1"/>
          <w:iCs w:val="1"/>
          <w:color w:val="auto"/>
        </w:rPr>
        <w:t>Stempelgebühr</w:t>
      </w:r>
      <w:r>
        <w:rPr>
          <w:rFonts w:ascii="Arial" w:cs="Arial" w:eastAsia="Arial" w:hAnsi="Arial"/>
          <w:sz w:val="15"/>
          <w:szCs w:val="15"/>
          <w:color w:val="auto"/>
        </w:rPr>
        <w:t>) or similar taxes are levied when acquiring, owning or transferring the company’s ordinary shares. Net wealth tax (</w:t>
      </w:r>
      <w:r>
        <w:rPr>
          <w:rFonts w:ascii="Arial" w:cs="Arial" w:eastAsia="Arial" w:hAnsi="Arial"/>
          <w:sz w:val="15"/>
          <w:szCs w:val="15"/>
          <w:i w:val="1"/>
          <w:iCs w:val="1"/>
          <w:color w:val="auto"/>
        </w:rPr>
        <w:t>Vermögensteuer</w:t>
      </w:r>
      <w:r>
        <w:rPr>
          <w:rFonts w:ascii="Arial" w:cs="Arial" w:eastAsia="Arial" w:hAnsi="Arial"/>
          <w:sz w:val="15"/>
          <w:szCs w:val="15"/>
          <w:color w:val="auto"/>
        </w:rPr>
        <w:t>) is currently not levied in Germany.</w:t>
      </w:r>
    </w:p>
    <w:p>
      <w:pPr>
        <w:spacing w:after="0" w:line="117" w:lineRule="exact"/>
        <w:rPr>
          <w:sz w:val="20"/>
          <w:szCs w:val="20"/>
          <w:color w:val="auto"/>
        </w:rPr>
      </w:pPr>
    </w:p>
    <w:p>
      <w:pPr>
        <w:ind w:right="180"/>
        <w:spacing w:after="0" w:line="251" w:lineRule="auto"/>
        <w:rPr>
          <w:sz w:val="20"/>
          <w:szCs w:val="20"/>
          <w:color w:val="auto"/>
        </w:rPr>
      </w:pPr>
      <w:r>
        <w:rPr>
          <w:rFonts w:ascii="Arial" w:cs="Arial" w:eastAsia="Arial" w:hAnsi="Arial"/>
          <w:sz w:val="15"/>
          <w:szCs w:val="15"/>
          <w:color w:val="auto"/>
        </w:rPr>
        <w:t>On January 22, 2013, the Council of the European Union approved the resolution of the ministers of finance from eleven EU member states (including Germany) to introduce a financial transaction tax (“FTT”) within the framework of enhanced cooperation. On February 14, 2013, the European Commission accepted the proposal for a Council Directive implementing enhanced cooperation in the area of FTT. The plan focuses on levying a financial tax of 0.1% (0.01% for derivatives) on the purchase and sale of financial instruments.</w:t>
      </w:r>
    </w:p>
    <w:p>
      <w:pPr>
        <w:spacing w:after="0" w:line="135" w:lineRule="exact"/>
        <w:rPr>
          <w:sz w:val="20"/>
          <w:szCs w:val="20"/>
          <w:color w:val="auto"/>
        </w:rPr>
      </w:pPr>
    </w:p>
    <w:p>
      <w:pPr>
        <w:spacing w:after="0" w:line="243" w:lineRule="auto"/>
        <w:rPr>
          <w:sz w:val="20"/>
          <w:szCs w:val="20"/>
          <w:color w:val="auto"/>
        </w:rPr>
      </w:pPr>
      <w:r>
        <w:rPr>
          <w:rFonts w:ascii="Arial" w:cs="Arial" w:eastAsia="Arial" w:hAnsi="Arial"/>
          <w:sz w:val="15"/>
          <w:szCs w:val="15"/>
          <w:color w:val="auto"/>
        </w:rPr>
        <w:t>A joint statement issued by ten of the eleven participating EU Member States in October 2016 reaffirmed the intention to introduce an FTT. However, at the moment not many details are available. Thus, it is not known to what extent the elements of the European Commission’s proposal outlined in the preceding paragraph will be followed in relation to the taxation of shares. The FTT proposal remains subject to negotiation between the participating EU Member States and is subject to political discussion. It may therefore be altered prior to the implementation, the timing of which remains unclear. With the EU Council’s conclusion of COVID-19 financial support and the agreement on an FTT becomes more realistic as one of the measures to fund the EU’s response to the COVID-19 pandemic. Additional EU Member States may decide to participate. If an EU-wide FTT (see above) fails, representatives of the IfW (Institute for the World Economy) intend to advocate the introduction of a comprehensive version of the tax in Germany after the COVID-19 pandemic. Prospective holders of the ordinary shares are advised to seek their own professional advice in relation to FTT.</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67" w:name="page68"/>
    <w:bookmarkEnd w:id="67"/>
    <w:p>
      <w:pPr>
        <w:ind w:left="29"/>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jc w:val="center"/>
        <w:ind w:right="-8"/>
        <w:spacing w:after="0"/>
        <w:rPr>
          <w:sz w:val="20"/>
          <w:szCs w:val="20"/>
          <w:color w:val="auto"/>
        </w:rPr>
      </w:pPr>
      <w:r>
        <w:rPr>
          <w:rFonts w:ascii="Arial" w:cs="Arial" w:eastAsia="Arial" w:hAnsi="Arial"/>
          <w:sz w:val="15"/>
          <w:szCs w:val="15"/>
          <w:b w:val="1"/>
          <w:bCs w:val="1"/>
          <w:color w:val="auto"/>
        </w:rPr>
        <w:t>PLAN OF DISTRIBUTION</w:t>
      </w:r>
    </w:p>
    <w:p>
      <w:pPr>
        <w:spacing w:after="0" w:line="170" w:lineRule="exact"/>
        <w:rPr>
          <w:sz w:val="20"/>
          <w:szCs w:val="20"/>
          <w:color w:val="auto"/>
        </w:rPr>
      </w:pPr>
    </w:p>
    <w:p>
      <w:pPr>
        <w:ind w:left="9" w:right="40"/>
        <w:spacing w:after="0" w:line="244" w:lineRule="auto"/>
        <w:rPr>
          <w:sz w:val="20"/>
          <w:szCs w:val="20"/>
          <w:color w:val="auto"/>
        </w:rPr>
      </w:pPr>
      <w:r>
        <w:rPr>
          <w:rFonts w:ascii="Arial" w:cs="Arial" w:eastAsia="Arial" w:hAnsi="Arial"/>
          <w:sz w:val="15"/>
          <w:szCs w:val="15"/>
          <w:color w:val="auto"/>
        </w:rPr>
        <w:t>We have entered into a sales agreement with Leerink Partners, under which we may offer and sell our ordinary shares from time to time through Leerink Partners, acting as our agent. Pursuant to this prospectus supplement, we may offer and sell our ordinary shares having an aggregate offering price of up to $150,000,000. Sales of our ordinary shares, if any, under this prospectus supplement will be made by any method that is deemed an “at the market offering” as defined in Rule 415(a)</w:t>
      </w:r>
    </w:p>
    <w:p>
      <w:pPr>
        <w:spacing w:after="0" w:line="2" w:lineRule="exact"/>
        <w:rPr>
          <w:sz w:val="20"/>
          <w:szCs w:val="20"/>
          <w:color w:val="auto"/>
        </w:rPr>
      </w:pPr>
    </w:p>
    <w:p>
      <w:pPr>
        <w:ind w:left="9" w:right="120" w:hanging="9"/>
        <w:spacing w:after="0" w:line="257" w:lineRule="auto"/>
        <w:tabs>
          <w:tab w:leader="none" w:pos="237" w:val="left"/>
        </w:tabs>
        <w:numPr>
          <w:ilvl w:val="0"/>
          <w:numId w:val="39"/>
        </w:numPr>
        <w:rPr>
          <w:rFonts w:ascii="Arial" w:cs="Arial" w:eastAsia="Arial" w:hAnsi="Arial"/>
          <w:sz w:val="15"/>
          <w:szCs w:val="15"/>
          <w:color w:val="auto"/>
        </w:rPr>
      </w:pPr>
      <w:r>
        <w:rPr>
          <w:rFonts w:ascii="Arial" w:cs="Arial" w:eastAsia="Arial" w:hAnsi="Arial"/>
          <w:sz w:val="15"/>
          <w:szCs w:val="15"/>
          <w:color w:val="auto"/>
        </w:rPr>
        <w:t>under the Securities Act, including sales made directly on or through Nasdaq, on or through any other existing trading market for our ordinary shares. If authorized by us in writing, Leerink Partners may purchase our ordinary shares as principal.</w:t>
      </w:r>
    </w:p>
    <w:p>
      <w:pPr>
        <w:spacing w:after="0" w:line="131" w:lineRule="exact"/>
        <w:rPr>
          <w:sz w:val="20"/>
          <w:szCs w:val="20"/>
          <w:color w:val="auto"/>
        </w:rPr>
      </w:pPr>
    </w:p>
    <w:p>
      <w:pPr>
        <w:ind w:left="9" w:right="60"/>
        <w:spacing w:after="0" w:line="244" w:lineRule="auto"/>
        <w:rPr>
          <w:sz w:val="20"/>
          <w:szCs w:val="20"/>
          <w:color w:val="auto"/>
        </w:rPr>
      </w:pPr>
      <w:r>
        <w:rPr>
          <w:rFonts w:ascii="Arial" w:cs="Arial" w:eastAsia="Arial" w:hAnsi="Arial"/>
          <w:sz w:val="15"/>
          <w:szCs w:val="15"/>
          <w:color w:val="auto"/>
        </w:rPr>
        <w:t>Leerink Partners will offer our ordinary shares subject to the terms and conditions of the sales agreement on a daily basis or as otherwise agreed upon by us and Leerink Partners. We will designate the maximum number or amount of ordinary shares to be sold through Leerink Partners on a daily basis or otherwise determine such maximum number or amount together with Leerink Partners. Subject to the terms and conditions of the sales agreement, Leerink Partners will use commercially reasonable efforts to sell on our behalf all of the ordinary shares requested to be sold by us. Leerink Partners or we may suspend the offering of our ordinary shares being made through Leerink Partners under the sales agreement upon proper notice to the other party. Leerink Partners and we each have the right, by giving written notice as specified in the sales agreement, to terminate the sales agreement in each party’s sole discretion at any time. The offering of our ordinary shares pursuant to the sales agreement will otherwise terminate upon the termination of the sales agreement as provided therein.</w:t>
      </w:r>
    </w:p>
    <w:p>
      <w:pPr>
        <w:spacing w:after="0" w:line="144" w:lineRule="exact"/>
        <w:rPr>
          <w:sz w:val="20"/>
          <w:szCs w:val="20"/>
          <w:color w:val="auto"/>
        </w:rPr>
      </w:pPr>
    </w:p>
    <w:p>
      <w:pPr>
        <w:ind w:left="9"/>
        <w:spacing w:after="0" w:line="246" w:lineRule="auto"/>
        <w:rPr>
          <w:sz w:val="20"/>
          <w:szCs w:val="20"/>
          <w:color w:val="auto"/>
        </w:rPr>
      </w:pPr>
      <w:r>
        <w:rPr>
          <w:rFonts w:ascii="Arial" w:cs="Arial" w:eastAsia="Arial" w:hAnsi="Arial"/>
          <w:sz w:val="15"/>
          <w:szCs w:val="15"/>
          <w:color w:val="auto"/>
        </w:rPr>
        <w:t>The compensation payable to Leerink Partners will be an amount up to 3.0% of the gross proceeds from the ordinary shares sold under the sales agreement. We have also agreed to reimburse Leerink Partners for actual outside legal expenses incurred by Leerink Partners in connection with this offering, including Leerink Partners’ counsel fees in an amount up to $75,000 in connection with the execution of the sales agreement and in amounts up to $25,000 and $15,000 in connection with annual and quarterly, respectively, program refreshes. In accordance with FINRA Rule 5510, these reimbursed fees and expenses are deemed sales compensation to Leerink Partners in connection with this offering. We estimate that the total expenses of the offering payable by us, excluding any commissions payable to Leerink Partners under the sales agreement, will be approximately $1.0 million.</w:t>
      </w:r>
    </w:p>
    <w:p>
      <w:pPr>
        <w:spacing w:after="0" w:line="139" w:lineRule="exact"/>
        <w:rPr>
          <w:sz w:val="20"/>
          <w:szCs w:val="20"/>
          <w:color w:val="auto"/>
        </w:rPr>
      </w:pPr>
    </w:p>
    <w:p>
      <w:pPr>
        <w:ind w:left="9" w:right="20"/>
        <w:spacing w:after="0" w:line="276" w:lineRule="auto"/>
        <w:rPr>
          <w:sz w:val="20"/>
          <w:szCs w:val="20"/>
          <w:color w:val="auto"/>
        </w:rPr>
      </w:pPr>
      <w:r>
        <w:rPr>
          <w:rFonts w:ascii="Arial" w:cs="Arial" w:eastAsia="Arial" w:hAnsi="Arial"/>
          <w:sz w:val="15"/>
          <w:szCs w:val="15"/>
          <w:color w:val="auto"/>
        </w:rPr>
        <w:t>The remaining sale proceeds, after deducting any commissions and expense reimbursement payable to Leerink Partners and any other transaction fees and expenses payable by us, will equal our net proceeds from the sale of such ordinary shares.</w:t>
      </w:r>
    </w:p>
    <w:p>
      <w:pPr>
        <w:spacing w:after="0" w:line="117" w:lineRule="exact"/>
        <w:rPr>
          <w:sz w:val="20"/>
          <w:szCs w:val="20"/>
          <w:color w:val="auto"/>
        </w:rPr>
      </w:pPr>
    </w:p>
    <w:p>
      <w:pPr>
        <w:ind w:left="9" w:right="80"/>
        <w:spacing w:after="0" w:line="257" w:lineRule="auto"/>
        <w:rPr>
          <w:sz w:val="20"/>
          <w:szCs w:val="20"/>
          <w:color w:val="auto"/>
        </w:rPr>
      </w:pPr>
      <w:r>
        <w:rPr>
          <w:rFonts w:ascii="Arial" w:cs="Arial" w:eastAsia="Arial" w:hAnsi="Arial"/>
          <w:sz w:val="15"/>
          <w:szCs w:val="15"/>
          <w:color w:val="auto"/>
        </w:rPr>
        <w:t>Leerink Partners will provide written confirmation to us by 5:00 p.m. on each day on which our ordinary shares are sold through it as sales agent under the sales agreement. Each confirmation will include the number of ordinary shares sold through it as sales agent on that day, the volume-weighted average price of the ordinary shares sold, the percentage of the daily trading volume and the net proceeds to us.</w:t>
      </w:r>
    </w:p>
    <w:p>
      <w:pPr>
        <w:spacing w:after="0" w:line="131" w:lineRule="exact"/>
        <w:rPr>
          <w:sz w:val="20"/>
          <w:szCs w:val="20"/>
          <w:color w:val="auto"/>
        </w:rPr>
      </w:pPr>
    </w:p>
    <w:p>
      <w:pPr>
        <w:ind w:left="9"/>
        <w:spacing w:after="0" w:line="276" w:lineRule="auto"/>
        <w:rPr>
          <w:sz w:val="20"/>
          <w:szCs w:val="20"/>
          <w:color w:val="auto"/>
        </w:rPr>
      </w:pPr>
      <w:r>
        <w:rPr>
          <w:rFonts w:ascii="Arial" w:cs="Arial" w:eastAsia="Arial" w:hAnsi="Arial"/>
          <w:sz w:val="15"/>
          <w:szCs w:val="15"/>
          <w:color w:val="auto"/>
        </w:rPr>
        <w:t>Settlement for sales of ordinary shares will occur, unless the parties agree otherwise, on the first business day that is also a trading day following the date on which any sales were made in return for payment of the net proceeds to us. There is no arrangement for funds to be received in an escrow, trust or similar arrangement.</w:t>
      </w:r>
    </w:p>
    <w:p>
      <w:pPr>
        <w:spacing w:after="0" w:line="117" w:lineRule="exact"/>
        <w:rPr>
          <w:sz w:val="20"/>
          <w:szCs w:val="20"/>
          <w:color w:val="auto"/>
        </w:rPr>
      </w:pPr>
    </w:p>
    <w:p>
      <w:pPr>
        <w:ind w:left="9" w:right="60"/>
        <w:spacing w:after="0" w:line="276" w:lineRule="auto"/>
        <w:rPr>
          <w:sz w:val="20"/>
          <w:szCs w:val="20"/>
          <w:color w:val="auto"/>
        </w:rPr>
      </w:pPr>
      <w:r>
        <w:rPr>
          <w:rFonts w:ascii="Arial" w:cs="Arial" w:eastAsia="Arial" w:hAnsi="Arial"/>
          <w:sz w:val="15"/>
          <w:szCs w:val="15"/>
          <w:color w:val="auto"/>
        </w:rPr>
        <w:t>We will report at least quarterly the number of ordinary shares sold through Leerink Partners under the sales agreement, the net proceeds to us and the compensation payable to Leerink Partners in connection with the sales of ordinary shares during the relevant period.</w:t>
      </w:r>
    </w:p>
    <w:p>
      <w:pPr>
        <w:spacing w:after="0" w:line="117" w:lineRule="exact"/>
        <w:rPr>
          <w:sz w:val="20"/>
          <w:szCs w:val="20"/>
          <w:color w:val="auto"/>
        </w:rPr>
      </w:pPr>
    </w:p>
    <w:p>
      <w:pPr>
        <w:ind w:left="9" w:right="80"/>
        <w:spacing w:after="0" w:line="251" w:lineRule="auto"/>
        <w:rPr>
          <w:sz w:val="20"/>
          <w:szCs w:val="20"/>
          <w:color w:val="auto"/>
        </w:rPr>
      </w:pPr>
      <w:r>
        <w:rPr>
          <w:rFonts w:ascii="Arial" w:cs="Arial" w:eastAsia="Arial" w:hAnsi="Arial"/>
          <w:sz w:val="15"/>
          <w:szCs w:val="15"/>
          <w:color w:val="auto"/>
        </w:rPr>
        <w:t>In connection with the sale of our ordinary shares on our behalf, Leerink Partners may be deemed to be an “underwriter” within the meaning of the Securities Act, and the compensation paid Leerink Partners may be deemed to be underwriting commissions or discounts. We have agreed in the sales agreement to provide indemnification and contribution to Leerink Partners against certain civil liabilities, including liabilities under the Securities Act. As sales agent, Leerink Partners will not engage in any transactions that stabilize our ordinary shares.</w:t>
      </w:r>
    </w:p>
    <w:p>
      <w:pPr>
        <w:spacing w:after="0" w:line="227"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715327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49"/>
          </w:cols>
          <w:pgMar w:left="311" w:top="223" w:right="339" w:bottom="1440" w:gutter="0" w:footer="0" w:header="0"/>
        </w:sectPr>
      </w:pPr>
    </w:p>
    <w:bookmarkStart w:id="68" w:name="page69"/>
    <w:bookmarkEnd w:id="68"/>
    <w:p>
      <w:pPr>
        <w:ind w:left="20"/>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Leerink Partners and/or its affiliates have provided, and may in the future provide, various investment banking and other financial services for us for which services they have received, and may in the future receive, customary fees.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60"/>
          </w:cols>
          <w:pgMar w:left="320" w:top="223" w:right="319" w:bottom="1440" w:gutter="0" w:footer="0" w:header="0"/>
        </w:sectPr>
      </w:pPr>
    </w:p>
    <w:bookmarkStart w:id="69" w:name="page70"/>
    <w:bookmarkEnd w:id="69"/>
    <w:p>
      <w:pPr>
        <w:ind w:left="20"/>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LEGAL MATTERS</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5"/>
          <w:szCs w:val="15"/>
          <w:color w:val="auto"/>
        </w:rPr>
        <w:t>The validity of the securities offered and other matters with respect to Dutch law will be passed upon for us by NautaDutilh N.V., Amsterdam, the Netherlands. Certain matters with respect to U.S. federal and New York State law will be passed upon for us by Davis Polk &amp; Wardwell LLP, New York, New York. The sales agent is represented in connection with this offering with respect to matters of U.S. law by Covington &amp; Burling LLP, New York, New York.</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EXPERTS</w:t>
      </w:r>
    </w:p>
    <w:p>
      <w:pPr>
        <w:spacing w:after="0" w:line="170" w:lineRule="exact"/>
        <w:rPr>
          <w:sz w:val="20"/>
          <w:szCs w:val="20"/>
          <w:color w:val="auto"/>
        </w:rPr>
      </w:pPr>
    </w:p>
    <w:p>
      <w:pPr>
        <w:spacing w:after="0" w:line="244" w:lineRule="auto"/>
        <w:rPr>
          <w:sz w:val="20"/>
          <w:szCs w:val="20"/>
          <w:color w:val="auto"/>
        </w:rPr>
      </w:pPr>
      <w:r>
        <w:rPr>
          <w:rFonts w:ascii="Arial" w:cs="Arial" w:eastAsia="Arial" w:hAnsi="Arial"/>
          <w:sz w:val="15"/>
          <w:szCs w:val="15"/>
          <w:color w:val="auto"/>
        </w:rPr>
        <w:t>The financial statements and management’s assessment of the effectiveness of internal control over financial reporting (which is included in Management’s Annual Report on Internal Control over Financial Reporting) incorporated in this prospectus supplement by reference to the Annual Report on Form 20-F for the year ended December 31, 2024 have been so incorporated in reliance on the report (which contains an explanatory paragraph relating to the Company's restatement of its financial statements as described in Note 2.2 to the financial statements and which contains an adverse opinion on the effectiveness of the Company’s internal control over financial reporting) of PricewaterhouseCoopers GmbH Wirtschaftsprüfungsgesellschaft, an independent registered public accounting firm, given on the authority of said firm as experts in auditing and accounting. PricewaterhouseCoopers GmbH Wirtschaftsprüfungsgesellschaft is a member of the Chamber of Public Accountants (</w:t>
      </w:r>
      <w:r>
        <w:rPr>
          <w:rFonts w:ascii="Arial" w:cs="Arial" w:eastAsia="Arial" w:hAnsi="Arial"/>
          <w:sz w:val="15"/>
          <w:szCs w:val="15"/>
          <w:i w:val="1"/>
          <w:iCs w:val="1"/>
          <w:color w:val="auto"/>
        </w:rPr>
        <w:t>Wirtschaftsprüferkammer</w:t>
      </w:r>
      <w:r>
        <w:rPr>
          <w:rFonts w:ascii="Arial" w:cs="Arial" w:eastAsia="Arial" w:hAnsi="Arial"/>
          <w:sz w:val="15"/>
          <w:szCs w:val="15"/>
          <w:color w:val="auto"/>
        </w:rPr>
        <w:t>), Berlin, Germany.</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70" w:name="page71"/>
    <w:bookmarkEnd w:id="70"/>
    <w:p>
      <w:pPr>
        <w:ind w:left="20"/>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WHERE YOU CAN FIND MORE INFORMATION</w:t>
      </w:r>
    </w:p>
    <w:p>
      <w:pPr>
        <w:spacing w:after="0" w:line="170" w:lineRule="exact"/>
        <w:rPr>
          <w:sz w:val="20"/>
          <w:szCs w:val="20"/>
          <w:color w:val="auto"/>
        </w:rPr>
      </w:pPr>
    </w:p>
    <w:p>
      <w:pPr>
        <w:spacing w:after="0" w:line="246" w:lineRule="auto"/>
        <w:rPr>
          <w:sz w:val="20"/>
          <w:szCs w:val="20"/>
          <w:color w:val="auto"/>
        </w:rPr>
      </w:pPr>
      <w:r>
        <w:rPr>
          <w:rFonts w:ascii="Arial" w:cs="Arial" w:eastAsia="Arial" w:hAnsi="Arial"/>
          <w:sz w:val="15"/>
          <w:szCs w:val="15"/>
          <w:color w:val="auto"/>
        </w:rPr>
        <w:t xml:space="preserve">We are subject to the informational requirements of the Exchange Act. Accordingly, we are required to file reports and other information with the SEC, including annual reports on Form 20-F and reports on Form 6-K. The SEC maintains an internet site at </w:t>
      </w:r>
      <w:r>
        <w:rPr>
          <w:rFonts w:ascii="Arial" w:cs="Arial" w:eastAsia="Arial" w:hAnsi="Arial"/>
          <w:sz w:val="15"/>
          <w:szCs w:val="15"/>
          <w:i w:val="1"/>
          <w:iCs w:val="1"/>
          <w:color w:val="auto"/>
        </w:rPr>
        <w:t>www.sec.gov</w:t>
      </w:r>
      <w:r>
        <w:rPr>
          <w:rFonts w:ascii="Arial" w:cs="Arial" w:eastAsia="Arial" w:hAnsi="Arial"/>
          <w:sz w:val="15"/>
          <w:szCs w:val="15"/>
          <w:color w:val="auto"/>
        </w:rPr>
        <w:t xml:space="preserve"> that contains reports, proxy and information statements and other information we have filed electronically with the SEC. 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139" w:lineRule="exact"/>
        <w:rPr>
          <w:sz w:val="20"/>
          <w:szCs w:val="20"/>
          <w:color w:val="auto"/>
        </w:rPr>
      </w:pPr>
    </w:p>
    <w:p>
      <w:pPr>
        <w:ind w:right="100"/>
        <w:spacing w:after="0" w:line="247" w:lineRule="auto"/>
        <w:rPr>
          <w:sz w:val="20"/>
          <w:szCs w:val="20"/>
          <w:color w:val="auto"/>
        </w:rPr>
      </w:pPr>
      <w:r>
        <w:rPr>
          <w:rFonts w:ascii="Arial" w:cs="Arial" w:eastAsia="Arial" w:hAnsi="Arial"/>
          <w:sz w:val="15"/>
          <w:szCs w:val="15"/>
          <w:color w:val="auto"/>
        </w:rPr>
        <w:t>We have filed with the SEC a “shelf” registration statement (including exhibits to the registration statement) on Form F-3 under the Securities Act. This prospectus supplement, which is part of the registration statement, does not contain all of the information set forth in the registration statement and the exhibits and schedules to the registration statement. We have omitted parts of the registration statement in accordance with the rules and regulations of the SEC. For more detail about us and the securities offered by this prospectus supplement, you may examine the registration statement on Form F-3 and the exhibits filed with it at the website provided in the previous paragraph.</w:t>
      </w:r>
    </w:p>
    <w:p>
      <w:pPr>
        <w:spacing w:after="0" w:line="141" w:lineRule="exact"/>
        <w:rPr>
          <w:sz w:val="20"/>
          <w:szCs w:val="20"/>
          <w:color w:val="auto"/>
        </w:rPr>
      </w:pPr>
    </w:p>
    <w:p>
      <w:pPr>
        <w:ind w:right="520"/>
        <w:spacing w:after="0" w:line="276" w:lineRule="auto"/>
        <w:rPr>
          <w:sz w:val="20"/>
          <w:szCs w:val="20"/>
          <w:color w:val="auto"/>
        </w:rPr>
      </w:pPr>
      <w:r>
        <w:rPr>
          <w:rFonts w:ascii="Arial" w:cs="Arial" w:eastAsia="Arial" w:hAnsi="Arial"/>
          <w:sz w:val="15"/>
          <w:szCs w:val="15"/>
          <w:color w:val="auto"/>
        </w:rPr>
        <w:t xml:space="preserve">We maintain a corporate website at </w:t>
      </w:r>
      <w:r>
        <w:rPr>
          <w:rFonts w:ascii="Arial" w:cs="Arial" w:eastAsia="Arial" w:hAnsi="Arial"/>
          <w:sz w:val="15"/>
          <w:szCs w:val="15"/>
          <w:i w:val="1"/>
          <w:iCs w:val="1"/>
          <w:color w:val="auto"/>
        </w:rPr>
        <w:t>www.immatics.com</w:t>
      </w:r>
      <w:r>
        <w:rPr>
          <w:rFonts w:ascii="Arial" w:cs="Arial" w:eastAsia="Arial" w:hAnsi="Arial"/>
          <w:sz w:val="15"/>
          <w:szCs w:val="15"/>
          <w:color w:val="auto"/>
        </w:rPr>
        <w:t>. The reference to our website is an inactive textual reference only, and information contained therein or connected thereto is not incorporated into this prospectus supplement or the registration statement of which it forms a part.</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180"/>
          </w:cols>
          <w:pgMar w:left="320" w:top="223" w:right="399" w:bottom="1440" w:gutter="0" w:footer="0" w:header="0"/>
        </w:sectPr>
      </w:pPr>
    </w:p>
    <w:bookmarkStart w:id="71" w:name="page72"/>
    <w:bookmarkEnd w:id="71"/>
    <w:p>
      <w:pPr>
        <w:ind w:left="20"/>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INFORMATION INCORPORATED BY REFERENCE</w:t>
      </w:r>
    </w:p>
    <w:p>
      <w:pPr>
        <w:spacing w:after="0" w:line="170" w:lineRule="exact"/>
        <w:rPr>
          <w:sz w:val="20"/>
          <w:szCs w:val="20"/>
          <w:color w:val="auto"/>
        </w:rPr>
      </w:pPr>
    </w:p>
    <w:p>
      <w:pPr>
        <w:spacing w:after="0" w:line="244" w:lineRule="auto"/>
        <w:rPr>
          <w:sz w:val="20"/>
          <w:szCs w:val="20"/>
          <w:color w:val="auto"/>
        </w:rPr>
      </w:pPr>
      <w:r>
        <w:rPr>
          <w:rFonts w:ascii="Arial" w:cs="Arial" w:eastAsia="Arial" w:hAnsi="Arial"/>
          <w:sz w:val="15"/>
          <w:szCs w:val="15"/>
          <w:color w:val="auto"/>
        </w:rPr>
        <w:t>The rules of the SEC allow us to incorporate by reference information in this prospectus supplement, which means that we disclose important information to you by referring you to another document filed separately with the SEC. The information incorporated by reference in this prospectus supplement is considered to be a part of this prospectus supplement. Any statement made in this prospectus supplement or in a document incorporated or deemed to be incorporated by reference in this prospectus supplement will be deemed to be modified or superseded for purposes of this prospectus supplement to the extent that a statement contained in this prospectus supplement or in any other subsequently filed document that is also incorporated or deemed to be incorporated by reference in this prospectus supplement modifies or supersedes that statement. Any statement so modified or superseded will not be deemed, except as so modified or superseded, to constitute a part of this prospectus supplement. This prospectus supplement incorporates by reference the documents listed below:</w:t>
      </w:r>
    </w:p>
    <w:p>
      <w:pPr>
        <w:spacing w:after="0" w:line="144" w:lineRule="exact"/>
        <w:rPr>
          <w:sz w:val="20"/>
          <w:szCs w:val="20"/>
          <w:color w:val="auto"/>
        </w:rPr>
      </w:pPr>
    </w:p>
    <w:p>
      <w:pPr>
        <w:ind w:left="540" w:hanging="274"/>
        <w:spacing w:after="0"/>
        <w:tabs>
          <w:tab w:leader="none" w:pos="5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 xml:space="preserve">our </w:t>
      </w:r>
      <w:hyperlink r:id="rId46">
        <w:r>
          <w:rPr>
            <w:rFonts w:ascii="Arial" w:cs="Arial" w:eastAsia="Arial" w:hAnsi="Arial"/>
            <w:sz w:val="15"/>
            <w:szCs w:val="15"/>
            <w:u w:val="single" w:color="auto"/>
            <w:color w:val="0000EE"/>
          </w:rPr>
          <w:t>Annual Report on Form 20-F for the year ended December 31, 2024</w:t>
        </w:r>
      </w:hyperlink>
      <w:r>
        <w:rPr>
          <w:rFonts w:ascii="Arial" w:cs="Arial" w:eastAsia="Arial" w:hAnsi="Arial"/>
          <w:sz w:val="15"/>
          <w:szCs w:val="15"/>
          <w:color w:val="auto"/>
        </w:rPr>
        <w:t>; and</w:t>
      </w:r>
    </w:p>
    <w:p>
      <w:pPr>
        <w:spacing w:after="0" w:line="181" w:lineRule="exact"/>
        <w:rPr>
          <w:rFonts w:ascii="Arial" w:cs="Arial" w:eastAsia="Arial" w:hAnsi="Arial"/>
          <w:sz w:val="15"/>
          <w:szCs w:val="15"/>
          <w:color w:val="auto"/>
        </w:rPr>
      </w:pPr>
    </w:p>
    <w:p>
      <w:pPr>
        <w:ind w:left="540" w:hanging="274"/>
        <w:spacing w:after="0"/>
        <w:tabs>
          <w:tab w:leader="none" w:pos="5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 xml:space="preserve">our </w:t>
      </w:r>
      <w:hyperlink r:id="rId47">
        <w:r>
          <w:rPr>
            <w:rFonts w:ascii="Arial" w:cs="Arial" w:eastAsia="Arial" w:hAnsi="Arial"/>
            <w:sz w:val="15"/>
            <w:szCs w:val="15"/>
            <w:u w:val="single" w:color="auto"/>
            <w:color w:val="0000EE"/>
          </w:rPr>
          <w:t>Registration Statement on Form 8-A filed with the SEC on July 1, 2020</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and any amendment or report filed for the purpose of updating such description.</w:t>
      </w:r>
    </w:p>
    <w:p>
      <w:pPr>
        <w:spacing w:after="0" w:line="181" w:lineRule="exact"/>
        <w:rPr>
          <w:rFonts w:ascii="Times New Roman" w:cs="Times New Roman" w:eastAsia="Times New Roman" w:hAnsi="Times New Roman"/>
          <w:sz w:val="15"/>
          <w:szCs w:val="15"/>
          <w:color w:val="auto"/>
        </w:rPr>
      </w:pPr>
    </w:p>
    <w:p>
      <w:pPr>
        <w:spacing w:after="0" w:line="246" w:lineRule="auto"/>
        <w:rPr>
          <w:sz w:val="20"/>
          <w:szCs w:val="20"/>
          <w:color w:val="auto"/>
        </w:rPr>
      </w:pPr>
      <w:r>
        <w:rPr>
          <w:rFonts w:ascii="Arial" w:cs="Arial" w:eastAsia="Arial" w:hAnsi="Arial"/>
          <w:sz w:val="15"/>
          <w:szCs w:val="15"/>
          <w:color w:val="auto"/>
        </w:rPr>
        <w:t>All subsequent annual reports on Form 20-F, Form 40-F or Form 10-K that we file with the SEC and all subsequent filings on Forms 10-Q and 8-K filed by us with the SEC pursuant to the Exchange Act (excluding, in each case, any information or documents deemed to be furnished and not filed with the SEC), after the date hereof and prior to the completion or termination of this offering, shall be incorporated by reference. We may incorporate by reference any reports on Form 6-K that we furnish to the SEC that we specifically identify in such form as being incorporated by reference into this prospectus supplement (i) on or after the date of the initial filing of the registration statement of which this prospectus supplement forms a part and prior to the effectiveness of such registration statement and (ii) on or after the date hereof and prior to the completion or termination of the offering of securities under this prospectus supplement.</w:t>
      </w:r>
    </w:p>
    <w:p>
      <w:pPr>
        <w:spacing w:after="0" w:line="139" w:lineRule="exact"/>
        <w:rPr>
          <w:rFonts w:ascii="Times New Roman" w:cs="Times New Roman" w:eastAsia="Times New Roman" w:hAnsi="Times New Roman"/>
          <w:sz w:val="15"/>
          <w:szCs w:val="15"/>
          <w:color w:val="auto"/>
        </w:rPr>
      </w:pPr>
    </w:p>
    <w:p>
      <w:pPr>
        <w:spacing w:after="0" w:line="246" w:lineRule="auto"/>
        <w:rPr>
          <w:sz w:val="20"/>
          <w:szCs w:val="20"/>
          <w:color w:val="auto"/>
        </w:rPr>
      </w:pPr>
      <w:r>
        <w:rPr>
          <w:rFonts w:ascii="Arial" w:cs="Arial" w:eastAsia="Arial" w:hAnsi="Arial"/>
          <w:sz w:val="15"/>
          <w:szCs w:val="15"/>
          <w:color w:val="auto"/>
        </w:rPr>
        <w:t xml:space="preserve">You can obtain any of the filings incorporated by reference in this prospectus supplement through us or from the SEC through the SEC’s website at </w:t>
      </w:r>
      <w:r>
        <w:rPr>
          <w:rFonts w:ascii="Arial" w:cs="Arial" w:eastAsia="Arial" w:hAnsi="Arial"/>
          <w:sz w:val="15"/>
          <w:szCs w:val="15"/>
          <w:i w:val="1"/>
          <w:iCs w:val="1"/>
          <w:color w:val="auto"/>
        </w:rPr>
        <w:t>www.sec.gov</w:t>
      </w:r>
      <w:r>
        <w:rPr>
          <w:rFonts w:ascii="Arial" w:cs="Arial" w:eastAsia="Arial" w:hAnsi="Arial"/>
          <w:sz w:val="15"/>
          <w:szCs w:val="15"/>
          <w:color w:val="auto"/>
        </w:rPr>
        <w:t>. Our filings with the SEC, including our Annual Reports on Form 20-F and Reports on Form 6-K and exhibits incorporated in and amendments to those reports, are also available free of charge on our website (</w:t>
      </w:r>
      <w:r>
        <w:rPr>
          <w:rFonts w:ascii="Arial" w:cs="Arial" w:eastAsia="Arial" w:hAnsi="Arial"/>
          <w:sz w:val="15"/>
          <w:szCs w:val="15"/>
          <w:i w:val="1"/>
          <w:iCs w:val="1"/>
          <w:color w:val="auto"/>
        </w:rPr>
        <w:t>www.immatics.com</w:t>
      </w:r>
      <w:r>
        <w:rPr>
          <w:rFonts w:ascii="Arial" w:cs="Arial" w:eastAsia="Arial" w:hAnsi="Arial"/>
          <w:sz w:val="15"/>
          <w:szCs w:val="15"/>
          <w:color w:val="auto"/>
        </w:rPr>
        <w:t>) as soon as reasonably practicable after they are filed with, or furnished to, the SEC. The reference to our website is an inactive textual reference only, and information contained therein or connected thereto is not incorporated into this prospectus supplement or the registration statement of which it forms a part. We will provide to each person, including any beneficial owner, to whom this prospectus supplement is delivered, a copy of any or all the reports or documents incorporated by reference in this prospectus supplement at no cost, upon written or oral request to us at the following address:</w:t>
      </w:r>
    </w:p>
    <w:p>
      <w:pPr>
        <w:spacing w:after="0" w:line="139" w:lineRule="exact"/>
        <w:rPr>
          <w:rFonts w:ascii="Times New Roman" w:cs="Times New Roman" w:eastAsia="Times New Roman" w:hAnsi="Times New Roman"/>
          <w:sz w:val="15"/>
          <w:szCs w:val="15"/>
          <w:color w:val="auto"/>
        </w:rPr>
      </w:pPr>
    </w:p>
    <w:p>
      <w:pPr>
        <w:jc w:val="center"/>
        <w:ind w:right="-39"/>
        <w:spacing w:after="0"/>
        <w:rPr>
          <w:sz w:val="20"/>
          <w:szCs w:val="20"/>
          <w:color w:val="auto"/>
        </w:rPr>
      </w:pPr>
      <w:r>
        <w:rPr>
          <w:rFonts w:ascii="Arial" w:cs="Arial" w:eastAsia="Arial" w:hAnsi="Arial"/>
          <w:sz w:val="15"/>
          <w:szCs w:val="15"/>
          <w:color w:val="auto"/>
        </w:rPr>
        <w:t>Investor Relations</w:t>
      </w:r>
    </w:p>
    <w:p>
      <w:pPr>
        <w:spacing w:after="0" w:line="12" w:lineRule="exact"/>
        <w:rPr>
          <w:rFonts w:ascii="Times New Roman" w:cs="Times New Roman" w:eastAsia="Times New Roman" w:hAnsi="Times New Roman"/>
          <w:sz w:val="15"/>
          <w:szCs w:val="15"/>
          <w:color w:val="auto"/>
        </w:rPr>
      </w:pPr>
    </w:p>
    <w:p>
      <w:pPr>
        <w:jc w:val="center"/>
        <w:ind w:right="-39"/>
        <w:spacing w:after="0"/>
        <w:rPr>
          <w:sz w:val="20"/>
          <w:szCs w:val="20"/>
          <w:color w:val="auto"/>
        </w:rPr>
      </w:pPr>
      <w:r>
        <w:rPr>
          <w:rFonts w:ascii="Arial" w:cs="Arial" w:eastAsia="Arial" w:hAnsi="Arial"/>
          <w:sz w:val="15"/>
          <w:szCs w:val="15"/>
          <w:color w:val="auto"/>
        </w:rPr>
        <w:t>Immatics N.V.</w:t>
      </w:r>
    </w:p>
    <w:p>
      <w:pPr>
        <w:jc w:val="center"/>
        <w:ind w:right="-39"/>
        <w:spacing w:after="0" w:line="238" w:lineRule="auto"/>
        <w:rPr>
          <w:sz w:val="20"/>
          <w:szCs w:val="20"/>
          <w:color w:val="auto"/>
        </w:rPr>
      </w:pPr>
      <w:r>
        <w:rPr>
          <w:rFonts w:ascii="Arial" w:cs="Arial" w:eastAsia="Arial" w:hAnsi="Arial"/>
          <w:sz w:val="15"/>
          <w:szCs w:val="15"/>
          <w:color w:val="auto"/>
        </w:rPr>
        <w:t>c/o Immatics US, Inc.</w:t>
      </w:r>
    </w:p>
    <w:p>
      <w:pPr>
        <w:jc w:val="center"/>
        <w:ind w:right="-39"/>
        <w:spacing w:after="0"/>
        <w:rPr>
          <w:sz w:val="20"/>
          <w:szCs w:val="20"/>
          <w:color w:val="auto"/>
        </w:rPr>
      </w:pPr>
      <w:r>
        <w:rPr>
          <w:rFonts w:ascii="Arial" w:cs="Arial" w:eastAsia="Arial" w:hAnsi="Arial"/>
          <w:sz w:val="15"/>
          <w:szCs w:val="15"/>
          <w:color w:val="auto"/>
        </w:rPr>
        <w:t>13203 Murphy Rd., Suite 100</w:t>
      </w:r>
    </w:p>
    <w:p>
      <w:pPr>
        <w:jc w:val="center"/>
        <w:ind w:right="-39"/>
        <w:spacing w:after="0" w:line="238" w:lineRule="auto"/>
        <w:rPr>
          <w:sz w:val="20"/>
          <w:szCs w:val="20"/>
          <w:color w:val="auto"/>
        </w:rPr>
      </w:pPr>
      <w:r>
        <w:rPr>
          <w:rFonts w:ascii="Arial" w:cs="Arial" w:eastAsia="Arial" w:hAnsi="Arial"/>
          <w:sz w:val="15"/>
          <w:szCs w:val="15"/>
          <w:color w:val="auto"/>
        </w:rPr>
        <w:t>Stafford, Texas 77477</w:t>
      </w:r>
    </w:p>
    <w:p>
      <w:pPr>
        <w:ind w:left="5460" w:right="5060" w:hanging="357"/>
        <w:spacing w:after="0" w:line="622" w:lineRule="auto"/>
        <w:tabs>
          <w:tab w:leader="none" w:pos="5498" w:val="left"/>
        </w:tabs>
        <w:numPr>
          <w:ilvl w:val="0"/>
          <w:numId w:val="41"/>
        </w:numPr>
        <w:rPr>
          <w:rFonts w:ascii="Arial" w:cs="Arial" w:eastAsia="Arial" w:hAnsi="Arial"/>
          <w:sz w:val="15"/>
          <w:szCs w:val="15"/>
          <w:color w:val="auto"/>
        </w:rPr>
      </w:pPr>
      <w:r>
        <w:rPr>
          <w:rFonts w:ascii="Arial" w:cs="Arial" w:eastAsia="Arial" w:hAnsi="Arial"/>
          <w:sz w:val="15"/>
          <w:szCs w:val="15"/>
          <w:color w:val="auto"/>
        </w:rPr>
        <w:t>810-7545 S-34</w:t>
      </w:r>
    </w:p>
    <w:p>
      <w:pPr>
        <w:spacing w:after="0" w:line="2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15327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00"/>
          </w:cols>
          <w:pgMar w:left="320" w:top="223" w:right="379" w:bottom="1440" w:gutter="0" w:footer="0" w:header="0"/>
        </w:sectPr>
      </w:pPr>
    </w:p>
    <w:bookmarkStart w:id="72" w:name="page73"/>
    <w:bookmarkEnd w:id="72"/>
    <w:p>
      <w:pPr>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62230</wp:posOffset>
            </wp:positionV>
            <wp:extent cx="7153275" cy="292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53275" cy="2921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99060</wp:posOffset>
            </wp:positionV>
            <wp:extent cx="715327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53275" cy="698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345440</wp:posOffset>
            </wp:positionV>
            <wp:extent cx="1842770" cy="6819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1842770" cy="681990"/>
                    </a:xfrm>
                    <a:prstGeom prst="rect">
                      <a:avLst/>
                    </a:prstGeom>
                    <a:noFill/>
                  </pic:spPr>
                </pic:pic>
              </a:graphicData>
            </a:graphic>
          </wp:anchor>
        </w:drawing>
      </w:r>
    </w:p>
    <w:p>
      <w:pPr>
        <w:sectPr>
          <w:pgSz w:w="11900" w:h="16838" w:orient="portrait"/>
          <w:cols w:equalWidth="0" w:num="1">
            <w:col w:w="10119"/>
          </w:cols>
          <w:pgMar w:left="340" w:top="2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540"/>
        <w:spacing w:after="0"/>
        <w:rPr>
          <w:sz w:val="20"/>
          <w:szCs w:val="20"/>
          <w:color w:val="auto"/>
        </w:rPr>
      </w:pPr>
      <w:r>
        <w:rPr>
          <w:rFonts w:ascii="Arial" w:cs="Arial" w:eastAsia="Arial" w:hAnsi="Arial"/>
          <w:sz w:val="30"/>
          <w:szCs w:val="30"/>
          <w:b w:val="1"/>
          <w:bCs w:val="1"/>
          <w:color w:val="auto"/>
        </w:rPr>
        <w:t>IMMATICS N.V.</w:t>
      </w:r>
    </w:p>
    <w:p>
      <w:pPr>
        <w:spacing w:after="0" w:line="226" w:lineRule="exact"/>
        <w:rPr>
          <w:sz w:val="20"/>
          <w:szCs w:val="20"/>
          <w:color w:val="auto"/>
        </w:rPr>
      </w:pPr>
    </w:p>
    <w:p>
      <w:pPr>
        <w:jc w:val="center"/>
        <w:ind w:right="-1080"/>
        <w:spacing w:after="0"/>
        <w:rPr>
          <w:sz w:val="20"/>
          <w:szCs w:val="20"/>
          <w:color w:val="auto"/>
        </w:rPr>
      </w:pPr>
      <w:r>
        <w:rPr>
          <w:rFonts w:ascii="Arial" w:cs="Arial" w:eastAsia="Arial" w:hAnsi="Arial"/>
          <w:sz w:val="21"/>
          <w:szCs w:val="21"/>
          <w:b w:val="1"/>
          <w:bCs w:val="1"/>
          <w:color w:val="auto"/>
        </w:rPr>
        <w:t>Up to $150,000,000</w:t>
      </w:r>
    </w:p>
    <w:p>
      <w:pPr>
        <w:spacing w:after="0" w:line="216" w:lineRule="exact"/>
        <w:rPr>
          <w:sz w:val="20"/>
          <w:szCs w:val="20"/>
          <w:color w:val="auto"/>
        </w:rPr>
      </w:pPr>
    </w:p>
    <w:p>
      <w:pPr>
        <w:jc w:val="center"/>
        <w:ind w:right="-1080"/>
        <w:spacing w:after="0"/>
        <w:rPr>
          <w:sz w:val="20"/>
          <w:szCs w:val="20"/>
          <w:color w:val="auto"/>
        </w:rPr>
      </w:pPr>
      <w:r>
        <w:rPr>
          <w:rFonts w:ascii="Arial" w:cs="Arial" w:eastAsia="Arial" w:hAnsi="Arial"/>
          <w:sz w:val="21"/>
          <w:szCs w:val="21"/>
          <w:b w:val="1"/>
          <w:bCs w:val="1"/>
          <w:color w:val="auto"/>
        </w:rPr>
        <w:t>Ordinary Shares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760"/>
        <w:spacing w:after="0"/>
        <w:rPr>
          <w:sz w:val="20"/>
          <w:szCs w:val="20"/>
          <w:color w:val="auto"/>
        </w:rPr>
      </w:pPr>
      <w:r>
        <w:rPr>
          <w:rFonts w:ascii="Arial" w:cs="Arial" w:eastAsia="Arial" w:hAnsi="Arial"/>
          <w:sz w:val="21"/>
          <w:szCs w:val="21"/>
          <w:b w:val="1"/>
          <w:bCs w:val="1"/>
          <w:color w:val="auto"/>
        </w:rPr>
        <w:t>Leerink Partners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880"/>
        <w:spacing w:after="0"/>
        <w:rPr>
          <w:sz w:val="20"/>
          <w:szCs w:val="20"/>
          <w:color w:val="auto"/>
        </w:rPr>
      </w:pPr>
      <w:r>
        <w:rPr>
          <w:rFonts w:ascii="Arial" w:cs="Arial" w:eastAsia="Arial" w:hAnsi="Arial"/>
          <w:sz w:val="15"/>
          <w:szCs w:val="15"/>
          <w:b w:val="1"/>
          <w:bCs w:val="1"/>
          <w:color w:val="auto"/>
        </w:rPr>
        <w: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117475</wp:posOffset>
            </wp:positionV>
            <wp:extent cx="715327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53275" cy="698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139065</wp:posOffset>
            </wp:positionV>
            <wp:extent cx="7153275" cy="292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53275" cy="2921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465455</wp:posOffset>
            </wp:positionV>
            <wp:extent cx="7153275"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0119"/>
          </w:cols>
          <w:pgMar w:left="340" w:top="223" w:right="1440" w:bottom="1440" w:gutter="0" w:footer="0" w:header="0"/>
          <w:type w:val="continuous"/>
        </w:sectPr>
      </w:pPr>
    </w:p>
    <w:bookmarkStart w:id="73" w:name="page74"/>
    <w:bookmarkEnd w:id="73"/>
    <w:p>
      <w:pPr>
        <w:ind w:left="20"/>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PART II</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INFORMATION NOT REQUIRED IN THE PROSPECTUS</w:t>
      </w:r>
    </w:p>
    <w:p>
      <w:pPr>
        <w:spacing w:after="0" w:line="170"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b w:val="1"/>
          <w:bCs w:val="1"/>
          <w:color w:val="auto"/>
        </w:rPr>
        <w:t>Item 8.</w:t>
      </w:r>
      <w:r>
        <w:rPr>
          <w:sz w:val="20"/>
          <w:szCs w:val="20"/>
          <w:color w:val="auto"/>
        </w:rPr>
        <w:tab/>
      </w:r>
      <w:r>
        <w:rPr>
          <w:rFonts w:ascii="Arial" w:cs="Arial" w:eastAsia="Arial" w:hAnsi="Arial"/>
          <w:sz w:val="15"/>
          <w:szCs w:val="15"/>
          <w:b w:val="1"/>
          <w:bCs w:val="1"/>
          <w:color w:val="auto"/>
        </w:rPr>
        <w:t>Indemnification of Directors and Officers</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5"/>
          <w:szCs w:val="15"/>
          <w:color w:val="auto"/>
        </w:rPr>
        <w:t>Under Dutch law, directors of a Dutch public company may be held jointly and severally liable to the company for damages in the event of improper performance of their duties. In addition, directors may be held liable to third parties for any actions that may give rise to a tort. This applies equally to our non-executive directors and executive directors.</w:t>
      </w:r>
    </w:p>
    <w:p>
      <w:pPr>
        <w:spacing w:after="0" w:line="131" w:lineRule="exact"/>
        <w:rPr>
          <w:sz w:val="20"/>
          <w:szCs w:val="20"/>
          <w:color w:val="auto"/>
        </w:rPr>
      </w:pPr>
    </w:p>
    <w:p>
      <w:pPr>
        <w:ind w:right="380"/>
        <w:spacing w:after="0" w:line="276" w:lineRule="auto"/>
        <w:rPr>
          <w:sz w:val="20"/>
          <w:szCs w:val="20"/>
          <w:color w:val="auto"/>
        </w:rPr>
      </w:pPr>
      <w:r>
        <w:rPr>
          <w:rFonts w:ascii="Arial" w:cs="Arial" w:eastAsia="Arial" w:hAnsi="Arial"/>
          <w:sz w:val="15"/>
          <w:szCs w:val="15"/>
          <w:color w:val="auto"/>
        </w:rPr>
        <w:t>Pursuant to our articles of association and unless Dutch law provides otherwise, the following will be reimbursed to actual and former non-executive directors and executive directors and other members of the executive committee:</w:t>
      </w:r>
    </w:p>
    <w:p>
      <w:pPr>
        <w:spacing w:after="0" w:line="117" w:lineRule="exact"/>
        <w:rPr>
          <w:sz w:val="20"/>
          <w:szCs w:val="20"/>
          <w:color w:val="auto"/>
        </w:rPr>
      </w:pPr>
    </w:p>
    <w:p>
      <w:pPr>
        <w:ind w:left="540" w:right="100" w:hanging="274"/>
        <w:spacing w:after="0" w:line="275" w:lineRule="auto"/>
        <w:tabs>
          <w:tab w:leader="none" w:pos="540" w:val="left"/>
        </w:tabs>
        <w:numPr>
          <w:ilvl w:val="0"/>
          <w:numId w:val="42"/>
        </w:numPr>
        <w:rPr>
          <w:rFonts w:ascii="Times New Roman" w:cs="Times New Roman" w:eastAsia="Times New Roman" w:hAnsi="Times New Roman"/>
          <w:sz w:val="15"/>
          <w:szCs w:val="15"/>
          <w:color w:val="auto"/>
        </w:rPr>
      </w:pPr>
      <w:r>
        <w:rPr>
          <w:rFonts w:ascii="Arial" w:cs="Arial" w:eastAsia="Arial" w:hAnsi="Arial"/>
          <w:sz w:val="15"/>
          <w:szCs w:val="15"/>
          <w:color w:val="auto"/>
        </w:rPr>
        <w:t>the costs of conducting a defense against claims, also including claims by the company and its group companies, as a consequence of any acts or omissions in the fulfillment of their duties or any other duties currently or previously performed by them at our request;</w:t>
      </w:r>
    </w:p>
    <w:p>
      <w:pPr>
        <w:spacing w:after="0" w:line="118"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42"/>
        </w:numPr>
        <w:rPr>
          <w:rFonts w:ascii="Times New Roman" w:cs="Times New Roman" w:eastAsia="Times New Roman" w:hAnsi="Times New Roman"/>
          <w:sz w:val="15"/>
          <w:szCs w:val="15"/>
          <w:color w:val="auto"/>
        </w:rPr>
      </w:pPr>
      <w:r>
        <w:rPr>
          <w:rFonts w:ascii="Arial" w:cs="Arial" w:eastAsia="Arial" w:hAnsi="Arial"/>
          <w:sz w:val="15"/>
          <w:szCs w:val="15"/>
          <w:color w:val="auto"/>
        </w:rPr>
        <w:t>any damages or financial penalties payable by them as a result of any such acts or omissions;</w:t>
      </w:r>
    </w:p>
    <w:p>
      <w:pPr>
        <w:spacing w:after="0" w:line="181"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42"/>
        </w:numPr>
        <w:rPr>
          <w:rFonts w:ascii="Times New Roman" w:cs="Times New Roman" w:eastAsia="Times New Roman" w:hAnsi="Times New Roman"/>
          <w:sz w:val="15"/>
          <w:szCs w:val="15"/>
          <w:color w:val="auto"/>
        </w:rPr>
      </w:pPr>
      <w:r>
        <w:rPr>
          <w:rFonts w:ascii="Arial" w:cs="Arial" w:eastAsia="Arial" w:hAnsi="Arial"/>
          <w:sz w:val="15"/>
          <w:szCs w:val="15"/>
          <w:color w:val="auto"/>
        </w:rPr>
        <w:t>any amounts payable by them under settlement agreements entered into by them in connection with any such acts or omissions;</w:t>
      </w:r>
    </w:p>
    <w:p>
      <w:pPr>
        <w:spacing w:after="0" w:line="181" w:lineRule="exact"/>
        <w:rPr>
          <w:rFonts w:ascii="Times New Roman" w:cs="Times New Roman" w:eastAsia="Times New Roman" w:hAnsi="Times New Roman"/>
          <w:sz w:val="15"/>
          <w:szCs w:val="15"/>
          <w:color w:val="auto"/>
        </w:rPr>
      </w:pPr>
    </w:p>
    <w:p>
      <w:pPr>
        <w:ind w:left="540" w:right="160" w:hanging="274"/>
        <w:spacing w:after="0" w:line="275" w:lineRule="auto"/>
        <w:tabs>
          <w:tab w:leader="none" w:pos="540" w:val="left"/>
        </w:tabs>
        <w:numPr>
          <w:ilvl w:val="0"/>
          <w:numId w:val="42"/>
        </w:numPr>
        <w:rPr>
          <w:rFonts w:ascii="Times New Roman" w:cs="Times New Roman" w:eastAsia="Times New Roman" w:hAnsi="Times New Roman"/>
          <w:sz w:val="15"/>
          <w:szCs w:val="15"/>
          <w:color w:val="auto"/>
        </w:rPr>
      </w:pPr>
      <w:r>
        <w:rPr>
          <w:rFonts w:ascii="Arial" w:cs="Arial" w:eastAsia="Arial" w:hAnsi="Arial"/>
          <w:sz w:val="15"/>
          <w:szCs w:val="15"/>
          <w:color w:val="auto"/>
        </w:rPr>
        <w:t>the costs of appearing in other legal proceedings in which they are involved in such capacity, with the exception of proceedings primarily aimed at pursuing a claim on their own behalf; and</w:t>
      </w:r>
    </w:p>
    <w:p>
      <w:pPr>
        <w:spacing w:after="0" w:line="118"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42"/>
        </w:numPr>
        <w:rPr>
          <w:rFonts w:ascii="Times New Roman" w:cs="Times New Roman" w:eastAsia="Times New Roman" w:hAnsi="Times New Roman"/>
          <w:sz w:val="15"/>
          <w:szCs w:val="15"/>
          <w:color w:val="auto"/>
        </w:rPr>
      </w:pPr>
      <w:r>
        <w:rPr>
          <w:rFonts w:ascii="Arial" w:cs="Arial" w:eastAsia="Arial" w:hAnsi="Arial"/>
          <w:sz w:val="15"/>
          <w:szCs w:val="15"/>
          <w:color w:val="auto"/>
        </w:rPr>
        <w:t>any taxes payable by them as a result of any reimbursements.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No indemnification shall be given to an indemnified officer or director under our articles of association where:</w:t>
      </w:r>
    </w:p>
    <w:p>
      <w:pPr>
        <w:spacing w:after="0" w:line="170" w:lineRule="exact"/>
        <w:rPr>
          <w:sz w:val="20"/>
          <w:szCs w:val="20"/>
          <w:color w:val="auto"/>
        </w:rPr>
      </w:pPr>
    </w:p>
    <w:p>
      <w:pPr>
        <w:ind w:left="540" w:hanging="274"/>
        <w:spacing w:after="0" w:line="256" w:lineRule="auto"/>
        <w:tabs>
          <w:tab w:leader="none" w:pos="540" w:val="left"/>
        </w:tabs>
        <w:numPr>
          <w:ilvl w:val="0"/>
          <w:numId w:val="43"/>
        </w:numPr>
        <w:rPr>
          <w:rFonts w:ascii="Times New Roman" w:cs="Times New Roman" w:eastAsia="Times New Roman" w:hAnsi="Times New Roman"/>
          <w:sz w:val="15"/>
          <w:szCs w:val="15"/>
          <w:color w:val="auto"/>
        </w:rPr>
      </w:pPr>
      <w:r>
        <w:rPr>
          <w:rFonts w:ascii="Arial" w:cs="Arial" w:eastAsia="Arial" w:hAnsi="Arial"/>
          <w:sz w:val="15"/>
          <w:szCs w:val="15"/>
          <w:color w:val="auto"/>
        </w:rPr>
        <w:t>it has been adjudicated by a Dutch court or, in the case of arbitration, an arbitrator, in a final and conclusive decision that the act or omission may be characterized as intentional, deliberately reckless or grossly negligent conduct, unless Dutch law provides otherwise or this would, in view of the circumstances of the case, be unacceptable according to standards of reasonableness and fairness; or</w:t>
      </w:r>
    </w:p>
    <w:p>
      <w:pPr>
        <w:spacing w:after="0" w:line="132"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43"/>
        </w:numPr>
        <w:rPr>
          <w:rFonts w:ascii="Times New Roman" w:cs="Times New Roman" w:eastAsia="Times New Roman" w:hAnsi="Times New Roman"/>
          <w:sz w:val="15"/>
          <w:szCs w:val="15"/>
          <w:color w:val="auto"/>
        </w:rPr>
      </w:pPr>
      <w:r>
        <w:rPr>
          <w:rFonts w:ascii="Arial" w:cs="Arial" w:eastAsia="Arial" w:hAnsi="Arial"/>
          <w:sz w:val="15"/>
          <w:szCs w:val="15"/>
          <w:color w:val="auto"/>
        </w:rPr>
        <w:t>the costs or financial loss are covered by insurance and the insurer has paid out the costs or financial loss.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We have entered into an indemnification agreement with each of our directors and executive officers.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5"/>
          <w:szCs w:val="15"/>
          <w:color w:val="auto"/>
        </w:rPr>
        <w:t>Insofar as indemnification for liabilities arising under the Securities Act of 1933, as amended (the “Securities Act”) may be permitted to directors, officers and controlling persons of the Company, the Company has been advised that, in the opinion of the U.S. Securities and Exchange Commission (the “SEC”), such indemnification is against public policy as expressed in the Securities Act and is, therefore, unenforceable.</w:t>
      </w:r>
    </w:p>
    <w:p>
      <w:pPr>
        <w:spacing w:after="0" w:line="131"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b w:val="1"/>
          <w:bCs w:val="1"/>
          <w:color w:val="auto"/>
        </w:rPr>
        <w:t>Item 9.</w:t>
      </w:r>
      <w:r>
        <w:rPr>
          <w:sz w:val="20"/>
          <w:szCs w:val="20"/>
          <w:color w:val="auto"/>
        </w:rPr>
        <w:tab/>
      </w:r>
      <w:r>
        <w:rPr>
          <w:rFonts w:ascii="Arial" w:cs="Arial" w:eastAsia="Arial" w:hAnsi="Arial"/>
          <w:sz w:val="15"/>
          <w:szCs w:val="15"/>
          <w:b w:val="1"/>
          <w:bCs w:val="1"/>
          <w:color w:val="auto"/>
        </w:rPr>
        <w:t>Exhibits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documents are filed as part of this registration statement:</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74" w:name="page75"/>
    <w:bookmarkEnd w:id="74"/>
    <w:tbl>
      <w:tblPr>
        <w:tblLayout w:type="fixed"/>
        <w:tblInd w:w="9"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8320" w:type="dxa"/>
            <w:vAlign w:val="bottom"/>
            <w:gridSpan w:val="13"/>
          </w:tcPr>
          <w:p>
            <w:pPr>
              <w:spacing w:after="0"/>
              <w:rPr>
                <w:sz w:val="20"/>
                <w:szCs w:val="20"/>
                <w:color w:val="auto"/>
              </w:rPr>
            </w:pPr>
            <w:r>
              <w:rPr>
                <w:rFonts w:ascii="Arial" w:cs="Arial" w:eastAsia="Arial" w:hAnsi="Arial"/>
                <w:sz w:val="12"/>
                <w:szCs w:val="12"/>
                <w:b w:val="1"/>
                <w:bCs w:val="1"/>
                <w:color w:val="0000EE"/>
              </w:rPr>
              <w:t>Table of Contents</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20" w:type="dxa"/>
            <w:vAlign w:val="bottom"/>
            <w:gridSpan w:val="3"/>
            <w:vMerge w:val="restart"/>
          </w:tcPr>
          <w:p>
            <w:pPr>
              <w:ind w:left="160"/>
              <w:spacing w:after="0"/>
              <w:rPr>
                <w:sz w:val="20"/>
                <w:szCs w:val="20"/>
                <w:color w:val="auto"/>
              </w:rPr>
            </w:pPr>
            <w:r>
              <w:rPr>
                <w:rFonts w:ascii="Arial" w:cs="Arial" w:eastAsia="Arial" w:hAnsi="Arial"/>
                <w:sz w:val="15"/>
                <w:szCs w:val="15"/>
                <w:b w:val="1"/>
                <w:bCs w:val="1"/>
                <w:color w:val="auto"/>
              </w:rPr>
              <w:t>Incorporation by Reference</w:t>
            </w:r>
          </w:p>
        </w:tc>
        <w:tc>
          <w:tcPr>
            <w:tcW w:w="0" w:type="dxa"/>
            <w:vAlign w:val="bottom"/>
          </w:tcPr>
          <w:p>
            <w:pPr>
              <w:spacing w:after="0" w:line="20" w:lineRule="exact"/>
              <w:rPr>
                <w:sz w:val="1"/>
                <w:szCs w:val="1"/>
                <w:color w:val="auto"/>
              </w:rPr>
            </w:pPr>
          </w:p>
        </w:tc>
      </w:tr>
      <w:tr>
        <w:trPr>
          <w:trHeight w:val="277"/>
        </w:trPr>
        <w:tc>
          <w:tcPr>
            <w:tcW w:w="72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Exhibit</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72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gridSpan w:val="2"/>
          </w:tcPr>
          <w:p>
            <w:pPr>
              <w:spacing w:after="0" w:line="159" w:lineRule="exact"/>
              <w:rPr>
                <w:sz w:val="20"/>
                <w:szCs w:val="20"/>
                <w:color w:val="auto"/>
              </w:rPr>
            </w:pPr>
            <w:r>
              <w:rPr>
                <w:rFonts w:ascii="Arial" w:cs="Arial" w:eastAsia="Arial" w:hAnsi="Arial"/>
                <w:sz w:val="15"/>
                <w:szCs w:val="15"/>
                <w:b w:val="1"/>
                <w:bCs w:val="1"/>
                <w:color w:val="auto"/>
              </w:rPr>
              <w:t>FormFile No.</w:t>
            </w:r>
          </w:p>
        </w:tc>
        <w:tc>
          <w:tcPr>
            <w:tcW w:w="760" w:type="dxa"/>
            <w:vAlign w:val="bottom"/>
          </w:tcPr>
          <w:p>
            <w:pPr>
              <w:jc w:val="right"/>
              <w:spacing w:after="0" w:line="159" w:lineRule="exact"/>
              <w:rPr>
                <w:sz w:val="20"/>
                <w:szCs w:val="20"/>
                <w:color w:val="auto"/>
              </w:rPr>
            </w:pPr>
            <w:r>
              <w:rPr>
                <w:rFonts w:ascii="Arial" w:cs="Arial" w:eastAsia="Arial" w:hAnsi="Arial"/>
                <w:sz w:val="15"/>
                <w:szCs w:val="15"/>
                <w:b w:val="1"/>
                <w:bCs w:val="1"/>
                <w:color w:val="auto"/>
              </w:rPr>
              <w:t>Exhibit</w:t>
            </w:r>
          </w:p>
        </w:tc>
        <w:tc>
          <w:tcPr>
            <w:tcW w:w="1140" w:type="dxa"/>
            <w:vAlign w:val="bottom"/>
            <w:vMerge w:val="restart"/>
          </w:tcPr>
          <w:p>
            <w:pPr>
              <w:ind w:left="220"/>
              <w:spacing w:after="0"/>
              <w:rPr>
                <w:sz w:val="20"/>
                <w:szCs w:val="20"/>
                <w:color w:val="auto"/>
              </w:rPr>
            </w:pPr>
            <w:r>
              <w:rPr>
                <w:rFonts w:ascii="Arial" w:cs="Arial" w:eastAsia="Arial" w:hAnsi="Arial"/>
                <w:sz w:val="15"/>
                <w:szCs w:val="15"/>
                <w:b w:val="1"/>
                <w:bCs w:val="1"/>
                <w:color w:val="auto"/>
              </w:rPr>
              <w:t>Filing Date</w:t>
            </w:r>
          </w:p>
        </w:tc>
        <w:tc>
          <w:tcPr>
            <w:tcW w:w="0" w:type="dxa"/>
            <w:vAlign w:val="bottom"/>
          </w:tcPr>
          <w:p>
            <w:pPr>
              <w:spacing w:after="0"/>
              <w:rPr>
                <w:sz w:val="1"/>
                <w:szCs w:val="1"/>
                <w:color w:val="auto"/>
              </w:rPr>
            </w:pPr>
          </w:p>
        </w:tc>
      </w:tr>
      <w:tr>
        <w:trPr>
          <w:trHeight w:val="116"/>
        </w:trPr>
        <w:tc>
          <w:tcPr>
            <w:tcW w:w="72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No.</w:t>
            </w:r>
          </w:p>
        </w:tc>
        <w:tc>
          <w:tcPr>
            <w:tcW w:w="7620" w:type="dxa"/>
            <w:vAlign w:val="bottom"/>
            <w:gridSpan w:val="12"/>
            <w:vMerge w:val="restart"/>
          </w:tcPr>
          <w:p>
            <w:pPr>
              <w:spacing w:after="0"/>
              <w:rPr>
                <w:sz w:val="20"/>
                <w:szCs w:val="20"/>
                <w:color w:val="auto"/>
              </w:rPr>
            </w:pPr>
            <w:r>
              <w:rPr>
                <w:rFonts w:ascii="Arial" w:cs="Arial" w:eastAsia="Arial" w:hAnsi="Arial"/>
                <w:sz w:val="15"/>
                <w:szCs w:val="15"/>
                <w:b w:val="1"/>
                <w:bCs w:val="1"/>
                <w:color w:val="auto"/>
              </w:rPr>
              <w:t>Description</w:t>
            </w: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vMerge w:val="restart"/>
          </w:tcPr>
          <w:p>
            <w:pPr>
              <w:jc w:val="right"/>
              <w:ind w:right="104"/>
              <w:spacing w:after="0"/>
              <w:rPr>
                <w:sz w:val="20"/>
                <w:szCs w:val="20"/>
                <w:color w:val="auto"/>
              </w:rPr>
            </w:pPr>
            <w:r>
              <w:rPr>
                <w:rFonts w:ascii="Arial" w:cs="Arial" w:eastAsia="Arial" w:hAnsi="Arial"/>
                <w:sz w:val="15"/>
                <w:szCs w:val="15"/>
                <w:b w:val="1"/>
                <w:bCs w:val="1"/>
                <w:color w:val="auto"/>
              </w:rPr>
              <w:t>No.</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20" w:type="dxa"/>
            <w:vAlign w:val="bottom"/>
            <w:tcBorders>
              <w:bottom w:val="single" w:sz="8" w:color="auto"/>
            </w:tcBorders>
            <w:gridSpan w:val="2"/>
            <w:vMerge w:val="continue"/>
          </w:tcPr>
          <w:p>
            <w:pPr>
              <w:spacing w:after="0"/>
              <w:rPr>
                <w:sz w:val="7"/>
                <w:szCs w:val="7"/>
                <w:color w:val="auto"/>
              </w:rPr>
            </w:pPr>
          </w:p>
        </w:tc>
        <w:tc>
          <w:tcPr>
            <w:tcW w:w="7620" w:type="dxa"/>
            <w:vAlign w:val="bottom"/>
            <w:tcBorders>
              <w:bottom w:val="single" w:sz="8" w:color="auto"/>
            </w:tcBorders>
            <w:gridSpan w:val="12"/>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720" w:type="dxa"/>
            <w:vAlign w:val="bottom"/>
            <w:gridSpan w:val="2"/>
          </w:tcPr>
          <w:p>
            <w:pPr>
              <w:spacing w:after="0"/>
              <w:rPr>
                <w:sz w:val="20"/>
                <w:szCs w:val="20"/>
                <w:color w:val="auto"/>
              </w:rPr>
            </w:pPr>
            <w:r>
              <w:rPr>
                <w:rFonts w:ascii="Arial" w:cs="Arial" w:eastAsia="Arial" w:hAnsi="Arial"/>
                <w:sz w:val="15"/>
                <w:szCs w:val="15"/>
                <w:color w:val="auto"/>
              </w:rPr>
              <w:t>1.1*</w:t>
            </w:r>
          </w:p>
        </w:tc>
        <w:tc>
          <w:tcPr>
            <w:tcW w:w="7620" w:type="dxa"/>
            <w:vAlign w:val="bottom"/>
            <w:gridSpan w:val="12"/>
          </w:tcPr>
          <w:p>
            <w:pPr>
              <w:spacing w:after="0"/>
              <w:rPr>
                <w:sz w:val="20"/>
                <w:szCs w:val="20"/>
                <w:color w:val="auto"/>
              </w:rPr>
            </w:pPr>
            <w:r>
              <w:rPr>
                <w:rFonts w:ascii="Arial" w:cs="Arial" w:eastAsia="Arial" w:hAnsi="Arial"/>
                <w:sz w:val="15"/>
                <w:szCs w:val="15"/>
                <w:color w:val="auto"/>
              </w:rPr>
              <w:t>Form of Underwriting Agreement</w:t>
            </w: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720" w:type="dxa"/>
            <w:vAlign w:val="bottom"/>
            <w:gridSpan w:val="2"/>
          </w:tcPr>
          <w:p>
            <w:pPr>
              <w:spacing w:after="0" w:line="164" w:lineRule="exact"/>
              <w:rPr>
                <w:sz w:val="20"/>
                <w:szCs w:val="20"/>
                <w:color w:val="auto"/>
              </w:rPr>
            </w:pPr>
            <w:r>
              <w:rPr>
                <w:rFonts w:ascii="Arial" w:cs="Arial" w:eastAsia="Arial" w:hAnsi="Arial"/>
                <w:sz w:val="15"/>
                <w:szCs w:val="15"/>
                <w:color w:val="auto"/>
              </w:rPr>
              <w:t>1.2</w:t>
            </w:r>
          </w:p>
        </w:tc>
        <w:tc>
          <w:tcPr>
            <w:tcW w:w="7620" w:type="dxa"/>
            <w:vAlign w:val="bottom"/>
            <w:gridSpan w:val="12"/>
          </w:tcPr>
          <w:p>
            <w:pPr>
              <w:spacing w:after="0" w:line="164" w:lineRule="exact"/>
              <w:rPr>
                <w:rFonts w:ascii="Arial" w:cs="Arial" w:eastAsia="Arial" w:hAnsi="Arial"/>
                <w:sz w:val="15"/>
                <w:szCs w:val="15"/>
                <w:color w:val="0000EE"/>
              </w:rPr>
            </w:pPr>
            <w:hyperlink r:id="rId100">
              <w:r>
                <w:rPr>
                  <w:rFonts w:ascii="Arial" w:cs="Arial" w:eastAsia="Arial" w:hAnsi="Arial"/>
                  <w:sz w:val="15"/>
                  <w:szCs w:val="15"/>
                  <w:color w:val="0000EE"/>
                </w:rPr>
                <w:t>Sales Agreement, dated October 10, 2024, between Immatics N.V. and Leerink Partners LLC</w:t>
              </w:r>
            </w:hyperlink>
          </w:p>
        </w:tc>
        <w:tc>
          <w:tcPr>
            <w:tcW w:w="300" w:type="dxa"/>
            <w:vAlign w:val="bottom"/>
          </w:tcPr>
          <w:p>
            <w:pPr>
              <w:spacing w:after="0" w:line="164" w:lineRule="exact"/>
              <w:rPr>
                <w:sz w:val="20"/>
                <w:szCs w:val="20"/>
                <w:color w:val="auto"/>
              </w:rPr>
            </w:pPr>
            <w:r>
              <w:rPr>
                <w:rFonts w:ascii="Arial" w:cs="Arial" w:eastAsia="Arial" w:hAnsi="Arial"/>
                <w:sz w:val="15"/>
                <w:szCs w:val="15"/>
                <w:color w:val="auto"/>
              </w:rPr>
              <w:t>F-3</w:t>
            </w:r>
          </w:p>
        </w:tc>
        <w:tc>
          <w:tcPr>
            <w:tcW w:w="720" w:type="dxa"/>
            <w:vAlign w:val="bottom"/>
          </w:tcPr>
          <w:p>
            <w:pPr>
              <w:ind w:left="80"/>
              <w:spacing w:after="0" w:line="164" w:lineRule="exact"/>
              <w:rPr>
                <w:sz w:val="20"/>
                <w:szCs w:val="20"/>
                <w:color w:val="auto"/>
              </w:rPr>
            </w:pPr>
            <w:r>
              <w:rPr>
                <w:rFonts w:ascii="Arial" w:cs="Arial" w:eastAsia="Arial" w:hAnsi="Arial"/>
                <w:sz w:val="15"/>
                <w:szCs w:val="15"/>
                <w:color w:val="auto"/>
              </w:rPr>
              <w:t>333-</w:t>
            </w:r>
          </w:p>
        </w:tc>
        <w:tc>
          <w:tcPr>
            <w:tcW w:w="760" w:type="dxa"/>
            <w:vAlign w:val="bottom"/>
          </w:tcPr>
          <w:p>
            <w:pPr>
              <w:jc w:val="right"/>
              <w:ind w:right="364"/>
              <w:spacing w:after="0" w:line="164" w:lineRule="exact"/>
              <w:rPr>
                <w:sz w:val="20"/>
                <w:szCs w:val="20"/>
                <w:color w:val="auto"/>
              </w:rPr>
            </w:pPr>
            <w:r>
              <w:rPr>
                <w:rFonts w:ascii="Arial" w:cs="Arial" w:eastAsia="Arial" w:hAnsi="Arial"/>
                <w:sz w:val="15"/>
                <w:szCs w:val="15"/>
                <w:color w:val="auto"/>
              </w:rPr>
              <w:t>1.2</w:t>
            </w:r>
          </w:p>
        </w:tc>
        <w:tc>
          <w:tcPr>
            <w:tcW w:w="1140" w:type="dxa"/>
            <w:vAlign w:val="bottom"/>
          </w:tcPr>
          <w:p>
            <w:pPr>
              <w:ind w:left="60"/>
              <w:spacing w:after="0" w:line="164" w:lineRule="exact"/>
              <w:rPr>
                <w:sz w:val="20"/>
                <w:szCs w:val="20"/>
                <w:color w:val="auto"/>
              </w:rPr>
            </w:pPr>
            <w:r>
              <w:rPr>
                <w:rFonts w:ascii="Arial" w:cs="Arial" w:eastAsia="Arial" w:hAnsi="Arial"/>
                <w:sz w:val="15"/>
                <w:szCs w:val="15"/>
                <w:color w:val="auto"/>
              </w:rPr>
              <w:t>October 10,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72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740" w:type="dxa"/>
            <w:vAlign w:val="bottom"/>
            <w:tcBorders>
              <w:top w:val="single" w:sz="8" w:color="0000EE"/>
            </w:tcBorders>
          </w:tcPr>
          <w:p>
            <w:pPr>
              <w:spacing w:after="0"/>
              <w:rPr>
                <w:sz w:val="15"/>
                <w:szCs w:val="15"/>
                <w:color w:val="auto"/>
              </w:rPr>
            </w:pPr>
          </w:p>
        </w:tc>
        <w:tc>
          <w:tcPr>
            <w:tcW w:w="144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800" w:type="dxa"/>
            <w:vAlign w:val="bottom"/>
            <w:tcBorders>
              <w:top w:val="single" w:sz="8" w:color="0000EE"/>
            </w:tcBorders>
          </w:tcPr>
          <w:p>
            <w:pPr>
              <w:spacing w:after="0"/>
              <w:rPr>
                <w:sz w:val="15"/>
                <w:szCs w:val="15"/>
                <w:color w:val="auto"/>
              </w:rPr>
            </w:pPr>
          </w:p>
        </w:tc>
        <w:tc>
          <w:tcPr>
            <w:tcW w:w="800" w:type="dxa"/>
            <w:vAlign w:val="bottom"/>
            <w:tcBorders>
              <w:top w:val="single" w:sz="8" w:color="0000EE"/>
            </w:tcBorders>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ind w:left="80"/>
              <w:spacing w:after="0"/>
              <w:rPr>
                <w:sz w:val="20"/>
                <w:szCs w:val="20"/>
                <w:color w:val="auto"/>
              </w:rPr>
            </w:pPr>
            <w:r>
              <w:rPr>
                <w:rFonts w:ascii="Arial" w:cs="Arial" w:eastAsia="Arial" w:hAnsi="Arial"/>
                <w:sz w:val="15"/>
                <w:szCs w:val="15"/>
                <w:color w:val="auto"/>
              </w:rPr>
              <w:t>282569</w:t>
            </w:r>
          </w:p>
        </w:tc>
        <w:tc>
          <w:tcPr>
            <w:tcW w:w="760" w:type="dxa"/>
            <w:vAlign w:val="bottom"/>
          </w:tcPr>
          <w:p>
            <w:pPr>
              <w:spacing w:after="0"/>
              <w:rPr>
                <w:sz w:val="15"/>
                <w:szCs w:val="15"/>
                <w:color w:val="auto"/>
              </w:rPr>
            </w:pPr>
          </w:p>
        </w:tc>
        <w:tc>
          <w:tcPr>
            <w:tcW w:w="1140" w:type="dxa"/>
            <w:vAlign w:val="bottom"/>
          </w:tcPr>
          <w:p>
            <w:pPr>
              <w:ind w:left="60"/>
              <w:spacing w:after="0"/>
              <w:rPr>
                <w:sz w:val="20"/>
                <w:szCs w:val="20"/>
                <w:color w:val="auto"/>
              </w:rPr>
            </w:pPr>
            <w:r>
              <w:rPr>
                <w:rFonts w:ascii="Arial" w:cs="Arial" w:eastAsia="Arial" w:hAnsi="Arial"/>
                <w:sz w:val="15"/>
                <w:szCs w:val="15"/>
                <w:color w:val="auto"/>
              </w:rPr>
              <w:t>2024</w:t>
            </w:r>
          </w:p>
        </w:tc>
        <w:tc>
          <w:tcPr>
            <w:tcW w:w="0" w:type="dxa"/>
            <w:vAlign w:val="bottom"/>
          </w:tcPr>
          <w:p>
            <w:pPr>
              <w:spacing w:after="0"/>
              <w:rPr>
                <w:sz w:val="1"/>
                <w:szCs w:val="1"/>
                <w:color w:val="auto"/>
              </w:rPr>
            </w:pPr>
          </w:p>
        </w:tc>
      </w:tr>
      <w:tr>
        <w:trPr>
          <w:trHeight w:val="163"/>
        </w:trPr>
        <w:tc>
          <w:tcPr>
            <w:tcW w:w="720" w:type="dxa"/>
            <w:vAlign w:val="bottom"/>
            <w:gridSpan w:val="2"/>
          </w:tcPr>
          <w:p>
            <w:pPr>
              <w:spacing w:after="0" w:line="164" w:lineRule="exact"/>
              <w:rPr>
                <w:sz w:val="20"/>
                <w:szCs w:val="20"/>
                <w:color w:val="auto"/>
              </w:rPr>
            </w:pPr>
            <w:r>
              <w:rPr>
                <w:rFonts w:ascii="Arial" w:cs="Arial" w:eastAsia="Arial" w:hAnsi="Arial"/>
                <w:sz w:val="15"/>
                <w:szCs w:val="15"/>
                <w:color w:val="auto"/>
              </w:rPr>
              <w:t>4.1</w:t>
            </w:r>
          </w:p>
        </w:tc>
        <w:tc>
          <w:tcPr>
            <w:tcW w:w="7620" w:type="dxa"/>
            <w:vAlign w:val="bottom"/>
            <w:gridSpan w:val="12"/>
          </w:tcPr>
          <w:p>
            <w:pPr>
              <w:spacing w:after="0" w:line="164" w:lineRule="exact"/>
              <w:rPr>
                <w:rFonts w:ascii="Arial" w:cs="Arial" w:eastAsia="Arial" w:hAnsi="Arial"/>
                <w:sz w:val="15"/>
                <w:szCs w:val="15"/>
                <w:color w:val="0000EE"/>
              </w:rPr>
            </w:pPr>
            <w:hyperlink r:id="rId101">
              <w:r>
                <w:rPr>
                  <w:rFonts w:ascii="Arial" w:cs="Arial" w:eastAsia="Arial" w:hAnsi="Arial"/>
                  <w:sz w:val="15"/>
                  <w:szCs w:val="15"/>
                  <w:color w:val="0000EE"/>
                </w:rPr>
                <w:t>Deed of Conversion of Immatics B.V. and Articles of Association of Immatics N.V.</w:t>
              </w:r>
            </w:hyperlink>
          </w:p>
        </w:tc>
        <w:tc>
          <w:tcPr>
            <w:tcW w:w="300" w:type="dxa"/>
            <w:vAlign w:val="bottom"/>
          </w:tcPr>
          <w:p>
            <w:pPr>
              <w:spacing w:after="0"/>
              <w:rPr>
                <w:sz w:val="14"/>
                <w:szCs w:val="14"/>
                <w:color w:val="auto"/>
              </w:rPr>
            </w:pPr>
          </w:p>
        </w:tc>
        <w:tc>
          <w:tcPr>
            <w:tcW w:w="720" w:type="dxa"/>
            <w:vAlign w:val="bottom"/>
          </w:tcPr>
          <w:p>
            <w:pPr>
              <w:ind w:left="80"/>
              <w:spacing w:after="0" w:line="164" w:lineRule="exact"/>
              <w:rPr>
                <w:sz w:val="20"/>
                <w:szCs w:val="20"/>
                <w:color w:val="auto"/>
              </w:rPr>
            </w:pPr>
            <w:r>
              <w:rPr>
                <w:rFonts w:ascii="Arial" w:cs="Arial" w:eastAsia="Arial" w:hAnsi="Arial"/>
                <w:sz w:val="15"/>
                <w:szCs w:val="15"/>
                <w:color w:val="auto"/>
              </w:rPr>
              <w:t>333-</w:t>
            </w: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72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740" w:type="dxa"/>
            <w:vAlign w:val="bottom"/>
            <w:tcBorders>
              <w:top w:val="single" w:sz="8" w:color="0000EE"/>
            </w:tcBorders>
          </w:tcPr>
          <w:p>
            <w:pPr>
              <w:spacing w:after="0"/>
              <w:rPr>
                <w:sz w:val="15"/>
                <w:szCs w:val="15"/>
                <w:color w:val="auto"/>
              </w:rPr>
            </w:pPr>
          </w:p>
        </w:tc>
        <w:tc>
          <w:tcPr>
            <w:tcW w:w="144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800" w:type="dxa"/>
            <w:vAlign w:val="bottom"/>
            <w:tcBorders>
              <w:top w:val="single" w:sz="8" w:color="0000EE"/>
            </w:tcBorders>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20"/>
                <w:szCs w:val="20"/>
                <w:color w:val="auto"/>
              </w:rPr>
            </w:pPr>
            <w:r>
              <w:rPr>
                <w:rFonts w:ascii="Arial" w:cs="Arial" w:eastAsia="Arial" w:hAnsi="Arial"/>
                <w:sz w:val="15"/>
                <w:szCs w:val="15"/>
                <w:color w:val="auto"/>
              </w:rPr>
              <w:t>F-1</w:t>
            </w:r>
          </w:p>
        </w:tc>
        <w:tc>
          <w:tcPr>
            <w:tcW w:w="720" w:type="dxa"/>
            <w:vAlign w:val="bottom"/>
          </w:tcPr>
          <w:p>
            <w:pPr>
              <w:ind w:left="80"/>
              <w:spacing w:after="0"/>
              <w:rPr>
                <w:sz w:val="20"/>
                <w:szCs w:val="20"/>
                <w:color w:val="auto"/>
              </w:rPr>
            </w:pPr>
            <w:r>
              <w:rPr>
                <w:rFonts w:ascii="Arial" w:cs="Arial" w:eastAsia="Arial" w:hAnsi="Arial"/>
                <w:sz w:val="15"/>
                <w:szCs w:val="15"/>
                <w:color w:val="auto"/>
              </w:rPr>
              <w:t>240260</w:t>
            </w:r>
          </w:p>
        </w:tc>
        <w:tc>
          <w:tcPr>
            <w:tcW w:w="760" w:type="dxa"/>
            <w:vAlign w:val="bottom"/>
          </w:tcPr>
          <w:p>
            <w:pPr>
              <w:jc w:val="right"/>
              <w:ind w:right="364"/>
              <w:spacing w:after="0"/>
              <w:rPr>
                <w:sz w:val="20"/>
                <w:szCs w:val="20"/>
                <w:color w:val="auto"/>
              </w:rPr>
            </w:pPr>
            <w:r>
              <w:rPr>
                <w:rFonts w:ascii="Arial" w:cs="Arial" w:eastAsia="Arial" w:hAnsi="Arial"/>
                <w:sz w:val="15"/>
                <w:szCs w:val="15"/>
                <w:color w:val="auto"/>
              </w:rPr>
              <w:t>3.1</w:t>
            </w:r>
          </w:p>
        </w:tc>
        <w:tc>
          <w:tcPr>
            <w:tcW w:w="1140" w:type="dxa"/>
            <w:vAlign w:val="bottom"/>
          </w:tcPr>
          <w:p>
            <w:pPr>
              <w:ind w:left="60"/>
              <w:spacing w:after="0"/>
              <w:rPr>
                <w:sz w:val="20"/>
                <w:szCs w:val="20"/>
                <w:color w:val="auto"/>
              </w:rPr>
            </w:pPr>
            <w:r>
              <w:rPr>
                <w:rFonts w:ascii="Arial" w:cs="Arial" w:eastAsia="Arial" w:hAnsi="Arial"/>
                <w:sz w:val="15"/>
                <w:szCs w:val="15"/>
                <w:color w:val="auto"/>
              </w:rPr>
              <w:t>July 31, 2020</w:t>
            </w:r>
          </w:p>
        </w:tc>
        <w:tc>
          <w:tcPr>
            <w:tcW w:w="0" w:type="dxa"/>
            <w:vAlign w:val="bottom"/>
          </w:tcPr>
          <w:p>
            <w:pPr>
              <w:spacing w:after="0"/>
              <w:rPr>
                <w:sz w:val="1"/>
                <w:szCs w:val="1"/>
                <w:color w:val="auto"/>
              </w:rPr>
            </w:pPr>
          </w:p>
        </w:tc>
      </w:tr>
      <w:tr>
        <w:trPr>
          <w:trHeight w:val="163"/>
        </w:trPr>
        <w:tc>
          <w:tcPr>
            <w:tcW w:w="720" w:type="dxa"/>
            <w:vAlign w:val="bottom"/>
            <w:gridSpan w:val="2"/>
          </w:tcPr>
          <w:p>
            <w:pPr>
              <w:spacing w:after="0" w:line="164" w:lineRule="exact"/>
              <w:rPr>
                <w:sz w:val="20"/>
                <w:szCs w:val="20"/>
                <w:color w:val="auto"/>
              </w:rPr>
            </w:pPr>
            <w:r>
              <w:rPr>
                <w:rFonts w:ascii="Arial" w:cs="Arial" w:eastAsia="Arial" w:hAnsi="Arial"/>
                <w:sz w:val="15"/>
                <w:szCs w:val="15"/>
                <w:color w:val="auto"/>
              </w:rPr>
              <w:t>4.2</w:t>
            </w:r>
          </w:p>
        </w:tc>
        <w:tc>
          <w:tcPr>
            <w:tcW w:w="1220" w:type="dxa"/>
            <w:vAlign w:val="bottom"/>
            <w:tcBorders>
              <w:bottom w:val="single" w:sz="8" w:color="0000EE"/>
            </w:tcBorders>
            <w:gridSpan w:val="3"/>
          </w:tcPr>
          <w:p>
            <w:pPr>
              <w:spacing w:after="0" w:line="164" w:lineRule="exact"/>
              <w:rPr>
                <w:rFonts w:ascii="Arial" w:cs="Arial" w:eastAsia="Arial" w:hAnsi="Arial"/>
                <w:sz w:val="15"/>
                <w:szCs w:val="15"/>
                <w:color w:val="0000EE"/>
              </w:rPr>
            </w:pPr>
            <w:hyperlink r:id="rId102">
              <w:r>
                <w:rPr>
                  <w:rFonts w:ascii="Arial" w:cs="Arial" w:eastAsia="Arial" w:hAnsi="Arial"/>
                  <w:sz w:val="15"/>
                  <w:szCs w:val="15"/>
                  <w:color w:val="0000EE"/>
                </w:rPr>
                <w:t>Form of Indenture</w:t>
              </w:r>
            </w:hyperlink>
          </w:p>
        </w:tc>
        <w:tc>
          <w:tcPr>
            <w:tcW w:w="6400" w:type="dxa"/>
            <w:vAlign w:val="bottom"/>
            <w:gridSpan w:val="9"/>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ind w:left="80"/>
              <w:spacing w:after="0" w:line="164" w:lineRule="exact"/>
              <w:rPr>
                <w:sz w:val="20"/>
                <w:szCs w:val="20"/>
                <w:color w:val="auto"/>
              </w:rPr>
            </w:pPr>
            <w:r>
              <w:rPr>
                <w:rFonts w:ascii="Arial" w:cs="Arial" w:eastAsia="Arial" w:hAnsi="Arial"/>
                <w:sz w:val="15"/>
                <w:szCs w:val="15"/>
                <w:color w:val="auto"/>
              </w:rPr>
              <w:t>333-</w:t>
            </w: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20" w:type="dxa"/>
            <w:vAlign w:val="bottom"/>
            <w:gridSpan w:val="2"/>
            <w:vMerge w:val="restart"/>
          </w:tcPr>
          <w:p>
            <w:pPr>
              <w:spacing w:after="0"/>
              <w:rPr>
                <w:sz w:val="20"/>
                <w:szCs w:val="20"/>
                <w:color w:val="auto"/>
              </w:rPr>
            </w:pPr>
            <w:r>
              <w:rPr>
                <w:rFonts w:ascii="Arial" w:cs="Arial" w:eastAsia="Arial" w:hAnsi="Arial"/>
                <w:sz w:val="15"/>
                <w:szCs w:val="15"/>
                <w:color w:val="auto"/>
              </w:rPr>
              <w:t>4.3*</w:t>
            </w:r>
          </w:p>
        </w:tc>
        <w:tc>
          <w:tcPr>
            <w:tcW w:w="7620" w:type="dxa"/>
            <w:vAlign w:val="bottom"/>
            <w:gridSpan w:val="12"/>
            <w:vMerge w:val="restart"/>
          </w:tcPr>
          <w:p>
            <w:pPr>
              <w:spacing w:after="0"/>
              <w:rPr>
                <w:sz w:val="20"/>
                <w:szCs w:val="20"/>
                <w:color w:val="auto"/>
              </w:rPr>
            </w:pPr>
            <w:r>
              <w:rPr>
                <w:rFonts w:ascii="Arial" w:cs="Arial" w:eastAsia="Arial" w:hAnsi="Arial"/>
                <w:sz w:val="15"/>
                <w:szCs w:val="15"/>
                <w:color w:val="auto"/>
              </w:rPr>
              <w:t>Form of Note</w:t>
            </w:r>
          </w:p>
        </w:tc>
        <w:tc>
          <w:tcPr>
            <w:tcW w:w="300" w:type="dxa"/>
            <w:vAlign w:val="bottom"/>
          </w:tcPr>
          <w:p>
            <w:pPr>
              <w:spacing w:after="0"/>
              <w:rPr>
                <w:sz w:val="20"/>
                <w:szCs w:val="20"/>
                <w:color w:val="auto"/>
              </w:rPr>
            </w:pPr>
            <w:r>
              <w:rPr>
                <w:rFonts w:ascii="Arial" w:cs="Arial" w:eastAsia="Arial" w:hAnsi="Arial"/>
                <w:sz w:val="15"/>
                <w:szCs w:val="15"/>
                <w:color w:val="auto"/>
              </w:rPr>
              <w:t>F-3</w:t>
            </w:r>
          </w:p>
        </w:tc>
        <w:tc>
          <w:tcPr>
            <w:tcW w:w="720" w:type="dxa"/>
            <w:vAlign w:val="bottom"/>
          </w:tcPr>
          <w:p>
            <w:pPr>
              <w:ind w:left="80"/>
              <w:spacing w:after="0"/>
              <w:rPr>
                <w:sz w:val="20"/>
                <w:szCs w:val="20"/>
                <w:color w:val="auto"/>
              </w:rPr>
            </w:pPr>
            <w:r>
              <w:rPr>
                <w:rFonts w:ascii="Arial" w:cs="Arial" w:eastAsia="Arial" w:hAnsi="Arial"/>
                <w:sz w:val="15"/>
                <w:szCs w:val="15"/>
                <w:color w:val="auto"/>
              </w:rPr>
              <w:t>258351</w:t>
            </w:r>
          </w:p>
        </w:tc>
        <w:tc>
          <w:tcPr>
            <w:tcW w:w="760" w:type="dxa"/>
            <w:vAlign w:val="bottom"/>
          </w:tcPr>
          <w:p>
            <w:pPr>
              <w:jc w:val="right"/>
              <w:ind w:right="364"/>
              <w:spacing w:after="0"/>
              <w:rPr>
                <w:sz w:val="20"/>
                <w:szCs w:val="20"/>
                <w:color w:val="auto"/>
              </w:rPr>
            </w:pPr>
            <w:r>
              <w:rPr>
                <w:rFonts w:ascii="Arial" w:cs="Arial" w:eastAsia="Arial" w:hAnsi="Arial"/>
                <w:sz w:val="15"/>
                <w:szCs w:val="15"/>
                <w:color w:val="auto"/>
              </w:rPr>
              <w:t>4.2</w:t>
            </w:r>
          </w:p>
        </w:tc>
        <w:tc>
          <w:tcPr>
            <w:tcW w:w="1140" w:type="dxa"/>
            <w:vAlign w:val="bottom"/>
          </w:tcPr>
          <w:p>
            <w:pPr>
              <w:ind w:left="60"/>
              <w:spacing w:after="0"/>
              <w:rPr>
                <w:sz w:val="20"/>
                <w:szCs w:val="20"/>
                <w:color w:val="auto"/>
              </w:rPr>
            </w:pPr>
            <w:r>
              <w:rPr>
                <w:rFonts w:ascii="Arial" w:cs="Arial" w:eastAsia="Arial" w:hAnsi="Arial"/>
                <w:sz w:val="15"/>
                <w:szCs w:val="15"/>
                <w:color w:val="auto"/>
              </w:rPr>
              <w:t>August 2, 2021</w:t>
            </w:r>
          </w:p>
        </w:tc>
        <w:tc>
          <w:tcPr>
            <w:tcW w:w="0" w:type="dxa"/>
            <w:vAlign w:val="bottom"/>
          </w:tcPr>
          <w:p>
            <w:pPr>
              <w:spacing w:after="0"/>
              <w:rPr>
                <w:sz w:val="1"/>
                <w:szCs w:val="1"/>
                <w:color w:val="auto"/>
              </w:rPr>
            </w:pPr>
          </w:p>
        </w:tc>
      </w:tr>
      <w:tr>
        <w:trPr>
          <w:trHeight w:val="189"/>
        </w:trPr>
        <w:tc>
          <w:tcPr>
            <w:tcW w:w="720" w:type="dxa"/>
            <w:vAlign w:val="bottom"/>
            <w:gridSpan w:val="2"/>
            <w:vMerge w:val="continue"/>
          </w:tcPr>
          <w:p>
            <w:pPr>
              <w:spacing w:after="0"/>
              <w:rPr>
                <w:sz w:val="16"/>
                <w:szCs w:val="16"/>
                <w:color w:val="auto"/>
              </w:rPr>
            </w:pPr>
          </w:p>
        </w:tc>
        <w:tc>
          <w:tcPr>
            <w:tcW w:w="7620" w:type="dxa"/>
            <w:vAlign w:val="bottom"/>
            <w:gridSpan w:val="12"/>
            <w:vMerge w:val="continue"/>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20" w:type="dxa"/>
            <w:vAlign w:val="bottom"/>
            <w:gridSpan w:val="2"/>
          </w:tcPr>
          <w:p>
            <w:pPr>
              <w:spacing w:after="0"/>
              <w:rPr>
                <w:sz w:val="20"/>
                <w:szCs w:val="20"/>
                <w:color w:val="auto"/>
              </w:rPr>
            </w:pPr>
            <w:r>
              <w:rPr>
                <w:rFonts w:ascii="Arial" w:cs="Arial" w:eastAsia="Arial" w:hAnsi="Arial"/>
                <w:sz w:val="15"/>
                <w:szCs w:val="15"/>
                <w:color w:val="auto"/>
              </w:rPr>
              <w:t>4.4*</w:t>
            </w:r>
          </w:p>
        </w:tc>
        <w:tc>
          <w:tcPr>
            <w:tcW w:w="7620" w:type="dxa"/>
            <w:vAlign w:val="bottom"/>
            <w:gridSpan w:val="12"/>
          </w:tcPr>
          <w:p>
            <w:pPr>
              <w:spacing w:after="0"/>
              <w:rPr>
                <w:sz w:val="20"/>
                <w:szCs w:val="20"/>
                <w:color w:val="auto"/>
              </w:rPr>
            </w:pPr>
            <w:r>
              <w:rPr>
                <w:rFonts w:ascii="Arial" w:cs="Arial" w:eastAsia="Arial" w:hAnsi="Arial"/>
                <w:sz w:val="15"/>
                <w:szCs w:val="15"/>
                <w:color w:val="auto"/>
              </w:rPr>
              <w:t>Form of Warrant Agreement</w:t>
            </w: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20" w:type="dxa"/>
            <w:vAlign w:val="bottom"/>
            <w:gridSpan w:val="2"/>
          </w:tcPr>
          <w:p>
            <w:pPr>
              <w:spacing w:after="0"/>
              <w:rPr>
                <w:sz w:val="20"/>
                <w:szCs w:val="20"/>
                <w:color w:val="auto"/>
              </w:rPr>
            </w:pPr>
            <w:r>
              <w:rPr>
                <w:rFonts w:ascii="Arial" w:cs="Arial" w:eastAsia="Arial" w:hAnsi="Arial"/>
                <w:sz w:val="15"/>
                <w:szCs w:val="15"/>
                <w:color w:val="auto"/>
              </w:rPr>
              <w:t>4.5*</w:t>
            </w:r>
          </w:p>
        </w:tc>
        <w:tc>
          <w:tcPr>
            <w:tcW w:w="7620" w:type="dxa"/>
            <w:vAlign w:val="bottom"/>
            <w:gridSpan w:val="12"/>
          </w:tcPr>
          <w:p>
            <w:pPr>
              <w:spacing w:after="0"/>
              <w:rPr>
                <w:sz w:val="20"/>
                <w:szCs w:val="20"/>
                <w:color w:val="auto"/>
              </w:rPr>
            </w:pPr>
            <w:r>
              <w:rPr>
                <w:rFonts w:ascii="Arial" w:cs="Arial" w:eastAsia="Arial" w:hAnsi="Arial"/>
                <w:sz w:val="15"/>
                <w:szCs w:val="15"/>
                <w:color w:val="auto"/>
              </w:rPr>
              <w:t>Form of Subscription Rights Agreement</w:t>
            </w: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20" w:type="dxa"/>
            <w:vAlign w:val="bottom"/>
            <w:gridSpan w:val="2"/>
          </w:tcPr>
          <w:p>
            <w:pPr>
              <w:spacing w:after="0"/>
              <w:rPr>
                <w:sz w:val="20"/>
                <w:szCs w:val="20"/>
                <w:color w:val="auto"/>
              </w:rPr>
            </w:pPr>
            <w:r>
              <w:rPr>
                <w:rFonts w:ascii="Arial" w:cs="Arial" w:eastAsia="Arial" w:hAnsi="Arial"/>
                <w:sz w:val="15"/>
                <w:szCs w:val="15"/>
                <w:color w:val="auto"/>
              </w:rPr>
              <w:t>4.6*</w:t>
            </w:r>
          </w:p>
        </w:tc>
        <w:tc>
          <w:tcPr>
            <w:tcW w:w="7620" w:type="dxa"/>
            <w:vAlign w:val="bottom"/>
            <w:gridSpan w:val="12"/>
          </w:tcPr>
          <w:p>
            <w:pPr>
              <w:spacing w:after="0"/>
              <w:rPr>
                <w:sz w:val="20"/>
                <w:szCs w:val="20"/>
                <w:color w:val="auto"/>
              </w:rPr>
            </w:pPr>
            <w:r>
              <w:rPr>
                <w:rFonts w:ascii="Arial" w:cs="Arial" w:eastAsia="Arial" w:hAnsi="Arial"/>
                <w:sz w:val="15"/>
                <w:szCs w:val="15"/>
                <w:color w:val="auto"/>
              </w:rPr>
              <w:t>Form of Purchase Contract</w:t>
            </w: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20" w:type="dxa"/>
            <w:vAlign w:val="bottom"/>
            <w:gridSpan w:val="2"/>
          </w:tcPr>
          <w:p>
            <w:pPr>
              <w:spacing w:after="0"/>
              <w:rPr>
                <w:sz w:val="20"/>
                <w:szCs w:val="20"/>
                <w:color w:val="auto"/>
              </w:rPr>
            </w:pPr>
            <w:r>
              <w:rPr>
                <w:rFonts w:ascii="Arial" w:cs="Arial" w:eastAsia="Arial" w:hAnsi="Arial"/>
                <w:sz w:val="15"/>
                <w:szCs w:val="15"/>
                <w:color w:val="auto"/>
              </w:rPr>
              <w:t>4.7*</w:t>
            </w:r>
          </w:p>
        </w:tc>
        <w:tc>
          <w:tcPr>
            <w:tcW w:w="7620" w:type="dxa"/>
            <w:vAlign w:val="bottom"/>
            <w:gridSpan w:val="12"/>
          </w:tcPr>
          <w:p>
            <w:pPr>
              <w:spacing w:after="0"/>
              <w:rPr>
                <w:sz w:val="20"/>
                <w:szCs w:val="20"/>
                <w:color w:val="auto"/>
              </w:rPr>
            </w:pPr>
            <w:r>
              <w:rPr>
                <w:rFonts w:ascii="Arial" w:cs="Arial" w:eastAsia="Arial" w:hAnsi="Arial"/>
                <w:sz w:val="15"/>
                <w:szCs w:val="15"/>
                <w:color w:val="auto"/>
              </w:rPr>
              <w:t>Form of Unit Agreement</w:t>
            </w: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720" w:type="dxa"/>
            <w:vAlign w:val="bottom"/>
            <w:gridSpan w:val="2"/>
          </w:tcPr>
          <w:p>
            <w:pPr>
              <w:spacing w:after="0" w:line="164" w:lineRule="exact"/>
              <w:rPr>
                <w:sz w:val="20"/>
                <w:szCs w:val="20"/>
                <w:color w:val="auto"/>
              </w:rPr>
            </w:pPr>
            <w:r>
              <w:rPr>
                <w:rFonts w:ascii="Arial" w:cs="Arial" w:eastAsia="Arial" w:hAnsi="Arial"/>
                <w:sz w:val="15"/>
                <w:szCs w:val="15"/>
                <w:color w:val="auto"/>
              </w:rPr>
              <w:t>5.1</w:t>
            </w:r>
          </w:p>
        </w:tc>
        <w:tc>
          <w:tcPr>
            <w:tcW w:w="4060" w:type="dxa"/>
            <w:vAlign w:val="bottom"/>
            <w:tcBorders>
              <w:bottom w:val="single" w:sz="8" w:color="0000EE"/>
            </w:tcBorders>
            <w:gridSpan w:val="7"/>
          </w:tcPr>
          <w:p>
            <w:pPr>
              <w:spacing w:after="0" w:line="164" w:lineRule="exact"/>
              <w:rPr>
                <w:sz w:val="20"/>
                <w:szCs w:val="20"/>
                <w:color w:val="auto"/>
              </w:rPr>
            </w:pPr>
            <w:r>
              <w:rPr>
                <w:rFonts w:ascii="Arial" w:cs="Arial" w:eastAsia="Arial" w:hAnsi="Arial"/>
                <w:sz w:val="15"/>
                <w:szCs w:val="15"/>
                <w:color w:val="0000EE"/>
              </w:rPr>
              <w:t>Opinion of NautaDutilh N.V., Dutch counsel of Immatics N.V.</w:t>
            </w:r>
          </w:p>
        </w:tc>
        <w:tc>
          <w:tcPr>
            <w:tcW w:w="3560" w:type="dxa"/>
            <w:vAlign w:val="bottom"/>
            <w:gridSpan w:val="5"/>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20" w:type="dxa"/>
            <w:vAlign w:val="bottom"/>
            <w:gridSpan w:val="2"/>
          </w:tcPr>
          <w:p>
            <w:pPr>
              <w:spacing w:after="0"/>
              <w:rPr>
                <w:sz w:val="20"/>
                <w:szCs w:val="20"/>
                <w:color w:val="auto"/>
              </w:rPr>
            </w:pPr>
            <w:r>
              <w:rPr>
                <w:rFonts w:ascii="Arial" w:cs="Arial" w:eastAsia="Arial" w:hAnsi="Arial"/>
                <w:sz w:val="15"/>
                <w:szCs w:val="15"/>
                <w:color w:val="auto"/>
              </w:rPr>
              <w:t>5.2</w:t>
            </w:r>
          </w:p>
        </w:tc>
        <w:tc>
          <w:tcPr>
            <w:tcW w:w="4660" w:type="dxa"/>
            <w:vAlign w:val="bottom"/>
            <w:tcBorders>
              <w:bottom w:val="single" w:sz="8" w:color="0000EE"/>
            </w:tcBorders>
            <w:gridSpan w:val="8"/>
          </w:tcPr>
          <w:p>
            <w:pPr>
              <w:spacing w:after="0"/>
              <w:rPr>
                <w:sz w:val="20"/>
                <w:szCs w:val="20"/>
                <w:color w:val="auto"/>
              </w:rPr>
            </w:pPr>
            <w:r>
              <w:rPr>
                <w:rFonts w:ascii="Arial" w:cs="Arial" w:eastAsia="Arial" w:hAnsi="Arial"/>
                <w:sz w:val="15"/>
                <w:szCs w:val="15"/>
                <w:color w:val="0000EE"/>
              </w:rPr>
              <w:t>Opinion of Davis Polk &amp; Wardwell LLP, U.S. counsel of Immatics N.V.</w:t>
            </w:r>
          </w:p>
        </w:tc>
        <w:tc>
          <w:tcPr>
            <w:tcW w:w="2960" w:type="dxa"/>
            <w:vAlign w:val="bottom"/>
            <w:gridSpan w:val="4"/>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20" w:type="dxa"/>
            <w:vAlign w:val="bottom"/>
            <w:gridSpan w:val="2"/>
          </w:tcPr>
          <w:p>
            <w:pPr>
              <w:spacing w:after="0"/>
              <w:rPr>
                <w:sz w:val="20"/>
                <w:szCs w:val="20"/>
                <w:color w:val="auto"/>
              </w:rPr>
            </w:pPr>
            <w:r>
              <w:rPr>
                <w:rFonts w:ascii="Arial" w:cs="Arial" w:eastAsia="Arial" w:hAnsi="Arial"/>
                <w:sz w:val="15"/>
                <w:szCs w:val="15"/>
                <w:color w:val="auto"/>
              </w:rPr>
              <w:t>23.1</w:t>
            </w:r>
          </w:p>
        </w:tc>
        <w:tc>
          <w:tcPr>
            <w:tcW w:w="7620" w:type="dxa"/>
            <w:vAlign w:val="bottom"/>
            <w:gridSpan w:val="12"/>
          </w:tcPr>
          <w:p>
            <w:pPr>
              <w:spacing w:after="0"/>
              <w:rPr>
                <w:sz w:val="20"/>
                <w:szCs w:val="20"/>
                <w:color w:val="auto"/>
              </w:rPr>
            </w:pPr>
            <w:r>
              <w:rPr>
                <w:rFonts w:ascii="Arial" w:cs="Arial" w:eastAsia="Arial" w:hAnsi="Arial"/>
                <w:sz w:val="15"/>
                <w:szCs w:val="15"/>
                <w:color w:val="0000EE"/>
              </w:rPr>
              <w:t>Consent of PricewaterhouseCoopers GmbH Wirtschaftsprüfungsgesellschaft, independent registered public</w:t>
            </w: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40" w:type="dxa"/>
            <w:vAlign w:val="bottom"/>
            <w:tcBorders>
              <w:top w:val="single" w:sz="8" w:color="0000EE"/>
              <w:bottom w:val="single" w:sz="8" w:color="0000EE"/>
            </w:tcBorders>
            <w:gridSpan w:val="2"/>
          </w:tcPr>
          <w:p>
            <w:pPr>
              <w:spacing w:after="0" w:line="151" w:lineRule="exact"/>
              <w:rPr>
                <w:sz w:val="20"/>
                <w:szCs w:val="20"/>
                <w:color w:val="auto"/>
              </w:rPr>
            </w:pPr>
            <w:r>
              <w:rPr>
                <w:rFonts w:ascii="Arial" w:cs="Arial" w:eastAsia="Arial" w:hAnsi="Arial"/>
                <w:sz w:val="15"/>
                <w:szCs w:val="15"/>
                <w:color w:val="0000EE"/>
              </w:rPr>
              <w:t>accounting firm</w:t>
            </w:r>
          </w:p>
        </w:tc>
        <w:tc>
          <w:tcPr>
            <w:tcW w:w="6200" w:type="dxa"/>
            <w:vAlign w:val="bottom"/>
            <w:tcBorders>
              <w:top w:val="single" w:sz="8" w:color="0000EE"/>
            </w:tcBorders>
            <w:gridSpan w:val="9"/>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720" w:type="dxa"/>
            <w:vAlign w:val="bottom"/>
            <w:gridSpan w:val="2"/>
          </w:tcPr>
          <w:p>
            <w:pPr>
              <w:spacing w:after="0"/>
              <w:rPr>
                <w:sz w:val="20"/>
                <w:szCs w:val="20"/>
                <w:color w:val="auto"/>
              </w:rPr>
            </w:pPr>
            <w:r>
              <w:rPr>
                <w:rFonts w:ascii="Arial" w:cs="Arial" w:eastAsia="Arial" w:hAnsi="Arial"/>
                <w:sz w:val="15"/>
                <w:szCs w:val="15"/>
                <w:color w:val="auto"/>
              </w:rPr>
              <w:t>23.2</w:t>
            </w:r>
          </w:p>
        </w:tc>
        <w:tc>
          <w:tcPr>
            <w:tcW w:w="7620" w:type="dxa"/>
            <w:vAlign w:val="bottom"/>
            <w:gridSpan w:val="12"/>
          </w:tcPr>
          <w:p>
            <w:pPr>
              <w:spacing w:after="0"/>
              <w:rPr>
                <w:sz w:val="20"/>
                <w:szCs w:val="20"/>
                <w:color w:val="auto"/>
              </w:rPr>
            </w:pPr>
            <w:r>
              <w:rPr>
                <w:rFonts w:ascii="Arial" w:cs="Arial" w:eastAsia="Arial" w:hAnsi="Arial"/>
                <w:sz w:val="15"/>
                <w:szCs w:val="15"/>
                <w:color w:val="0000EE"/>
              </w:rPr>
              <w:t>Consent of NautaDutilh N.V</w:t>
            </w:r>
            <w:r>
              <w:rPr>
                <w:rFonts w:ascii="Arial" w:cs="Arial" w:eastAsia="Arial" w:hAnsi="Arial"/>
                <w:sz w:val="15"/>
                <w:szCs w:val="15"/>
                <w:color w:val="000000"/>
              </w:rPr>
              <w:t>. (included in Exhibit 5.1)</w:t>
            </w: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20" w:type="dxa"/>
            <w:vAlign w:val="bottom"/>
            <w:gridSpan w:val="2"/>
          </w:tcPr>
          <w:p>
            <w:pPr>
              <w:spacing w:after="0"/>
              <w:rPr>
                <w:sz w:val="20"/>
                <w:szCs w:val="20"/>
                <w:color w:val="auto"/>
              </w:rPr>
            </w:pPr>
            <w:r>
              <w:rPr>
                <w:rFonts w:ascii="Arial" w:cs="Arial" w:eastAsia="Arial" w:hAnsi="Arial"/>
                <w:sz w:val="15"/>
                <w:szCs w:val="15"/>
                <w:color w:val="auto"/>
              </w:rPr>
              <w:t>23.3</w:t>
            </w:r>
          </w:p>
        </w:tc>
        <w:tc>
          <w:tcPr>
            <w:tcW w:w="7620" w:type="dxa"/>
            <w:vAlign w:val="bottom"/>
            <w:gridSpan w:val="12"/>
          </w:tcPr>
          <w:p>
            <w:pPr>
              <w:spacing w:after="0"/>
              <w:rPr>
                <w:sz w:val="20"/>
                <w:szCs w:val="20"/>
                <w:color w:val="auto"/>
              </w:rPr>
            </w:pPr>
            <w:r>
              <w:rPr>
                <w:rFonts w:ascii="Arial" w:cs="Arial" w:eastAsia="Arial" w:hAnsi="Arial"/>
                <w:sz w:val="15"/>
                <w:szCs w:val="15"/>
                <w:color w:val="0000EE"/>
              </w:rPr>
              <w:t xml:space="preserve">Consent of Davis Polk &amp; Wardwell LLP </w:t>
            </w:r>
            <w:r>
              <w:rPr>
                <w:rFonts w:ascii="Arial" w:cs="Arial" w:eastAsia="Arial" w:hAnsi="Arial"/>
                <w:sz w:val="15"/>
                <w:szCs w:val="15"/>
                <w:color w:val="000000"/>
              </w:rPr>
              <w:t>(included in Exhibit 5.2)</w:t>
            </w: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500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20" w:type="dxa"/>
            <w:vAlign w:val="bottom"/>
            <w:gridSpan w:val="2"/>
          </w:tcPr>
          <w:p>
            <w:pPr>
              <w:spacing w:after="0"/>
              <w:rPr>
                <w:sz w:val="20"/>
                <w:szCs w:val="20"/>
                <w:color w:val="auto"/>
              </w:rPr>
            </w:pPr>
            <w:r>
              <w:rPr>
                <w:rFonts w:ascii="Arial" w:cs="Arial" w:eastAsia="Arial" w:hAnsi="Arial"/>
                <w:sz w:val="15"/>
                <w:szCs w:val="15"/>
                <w:color w:val="auto"/>
              </w:rPr>
              <w:t>24.1</w:t>
            </w:r>
          </w:p>
        </w:tc>
        <w:tc>
          <w:tcPr>
            <w:tcW w:w="7620" w:type="dxa"/>
            <w:vAlign w:val="bottom"/>
            <w:gridSpan w:val="12"/>
          </w:tcPr>
          <w:p>
            <w:pPr>
              <w:spacing w:after="0"/>
              <w:rPr>
                <w:rFonts w:ascii="Arial" w:cs="Arial" w:eastAsia="Arial" w:hAnsi="Arial"/>
                <w:sz w:val="15"/>
                <w:szCs w:val="15"/>
                <w:color w:val="0000EE"/>
              </w:rPr>
            </w:pPr>
            <w:hyperlink r:id="rId103">
              <w:r>
                <w:rPr>
                  <w:rFonts w:ascii="Arial" w:cs="Arial" w:eastAsia="Arial" w:hAnsi="Arial"/>
                  <w:sz w:val="15"/>
                  <w:szCs w:val="15"/>
                  <w:color w:val="0000EE"/>
                </w:rPr>
                <w:t xml:space="preserve">Powers of attorney </w:t>
              </w:r>
            </w:hyperlink>
            <w:r>
              <w:rPr>
                <w:rFonts w:ascii="Arial" w:cs="Arial" w:eastAsia="Arial" w:hAnsi="Arial"/>
                <w:sz w:val="15"/>
                <w:szCs w:val="15"/>
                <w:color w:val="000000"/>
              </w:rPr>
              <w:t>(included</w:t>
            </w:r>
            <w:r>
              <w:rPr>
                <w:rFonts w:ascii="Arial" w:cs="Arial" w:eastAsia="Arial" w:hAnsi="Arial"/>
                <w:sz w:val="15"/>
                <w:szCs w:val="15"/>
                <w:color w:val="0000EE"/>
              </w:rPr>
              <w:t xml:space="preserve"> </w:t>
            </w:r>
            <w:r>
              <w:rPr>
                <w:rFonts w:ascii="Arial" w:cs="Arial" w:eastAsia="Arial" w:hAnsi="Arial"/>
                <w:sz w:val="15"/>
                <w:szCs w:val="15"/>
                <w:color w:val="000000"/>
              </w:rPr>
              <w:t>on signature page to the registration statement)</w:t>
            </w: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634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20" w:type="dxa"/>
            <w:vAlign w:val="bottom"/>
            <w:gridSpan w:val="2"/>
          </w:tcPr>
          <w:p>
            <w:pPr>
              <w:spacing w:after="0"/>
              <w:rPr>
                <w:sz w:val="20"/>
                <w:szCs w:val="20"/>
                <w:color w:val="auto"/>
              </w:rPr>
            </w:pPr>
            <w:r>
              <w:rPr>
                <w:rFonts w:ascii="Arial" w:cs="Arial" w:eastAsia="Arial" w:hAnsi="Arial"/>
                <w:sz w:val="15"/>
                <w:szCs w:val="15"/>
                <w:color w:val="auto"/>
              </w:rPr>
              <w:t>25.1**</w:t>
            </w:r>
          </w:p>
        </w:tc>
        <w:tc>
          <w:tcPr>
            <w:tcW w:w="7620" w:type="dxa"/>
            <w:vAlign w:val="bottom"/>
            <w:gridSpan w:val="12"/>
          </w:tcPr>
          <w:p>
            <w:pPr>
              <w:spacing w:after="0"/>
              <w:rPr>
                <w:sz w:val="20"/>
                <w:szCs w:val="20"/>
                <w:color w:val="auto"/>
              </w:rPr>
            </w:pPr>
            <w:r>
              <w:rPr>
                <w:rFonts w:ascii="Arial" w:cs="Arial" w:eastAsia="Arial" w:hAnsi="Arial"/>
                <w:sz w:val="15"/>
                <w:szCs w:val="15"/>
                <w:color w:val="auto"/>
              </w:rPr>
              <w:t>Statement of Eligibility on Form T-1</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729" w:hanging="729"/>
        <w:spacing w:after="0"/>
        <w:tabs>
          <w:tab w:leader="none" w:pos="729" w:val="left"/>
        </w:tabs>
        <w:numPr>
          <w:ilvl w:val="0"/>
          <w:numId w:val="44"/>
        </w:numPr>
        <w:rPr>
          <w:rFonts w:ascii="Arial" w:cs="Arial" w:eastAsia="Arial" w:hAnsi="Arial"/>
          <w:sz w:val="15"/>
          <w:szCs w:val="15"/>
          <w:color w:val="auto"/>
        </w:rPr>
      </w:pPr>
      <w:r>
        <w:rPr>
          <w:rFonts w:ascii="Arial" w:cs="Arial" w:eastAsia="Arial" w:hAnsi="Arial"/>
          <w:sz w:val="15"/>
          <w:szCs w:val="15"/>
          <w:u w:val="single" w:color="auto"/>
          <w:color w:val="0000EE"/>
        </w:rPr>
        <w:t>Filing fee table</w:t>
      </w:r>
    </w:p>
    <w:p>
      <w:pPr>
        <w:spacing w:after="0" w:line="210" w:lineRule="exact"/>
        <w:rPr>
          <w:sz w:val="20"/>
          <w:szCs w:val="20"/>
          <w:color w:val="auto"/>
        </w:rPr>
      </w:pPr>
    </w:p>
    <w:p>
      <w:pPr>
        <w:ind w:left="9" w:right="1640" w:hanging="9"/>
        <w:spacing w:after="0" w:line="476" w:lineRule="auto"/>
        <w:tabs>
          <w:tab w:leader="none" w:pos="283" w:val="left"/>
        </w:tabs>
        <w:numPr>
          <w:ilvl w:val="0"/>
          <w:numId w:val="45"/>
        </w:numPr>
        <w:rPr>
          <w:rFonts w:ascii="Arial" w:cs="Arial" w:eastAsia="Arial" w:hAnsi="Arial"/>
          <w:sz w:val="15"/>
          <w:szCs w:val="15"/>
          <w:color w:val="auto"/>
        </w:rPr>
      </w:pPr>
      <w:r>
        <w:rPr>
          <w:rFonts w:ascii="Arial" w:cs="Arial" w:eastAsia="Arial" w:hAnsi="Arial"/>
          <w:sz w:val="15"/>
          <w:szCs w:val="15"/>
          <w:color w:val="auto"/>
        </w:rPr>
        <w:t>To be filed by amendment or as an exhibit to a document to be incorporated by reference herein in connection with an offering of securities. ** To be filed in accordance with the requirements of Section 305(b)(2) of the Trust Indenture Act.</w:t>
      </w:r>
    </w:p>
    <w:p>
      <w:pPr>
        <w:spacing w:after="0" w:line="1" w:lineRule="exact"/>
        <w:rPr>
          <w:sz w:val="20"/>
          <w:szCs w:val="20"/>
          <w:color w:val="auto"/>
        </w:rPr>
      </w:pPr>
    </w:p>
    <w:p>
      <w:pPr>
        <w:ind w:left="9"/>
        <w:spacing w:after="0"/>
        <w:tabs>
          <w:tab w:leader="none" w:pos="1068" w:val="left"/>
        </w:tabs>
        <w:rPr>
          <w:sz w:val="20"/>
          <w:szCs w:val="20"/>
          <w:color w:val="auto"/>
        </w:rPr>
      </w:pPr>
      <w:r>
        <w:rPr>
          <w:rFonts w:ascii="Arial" w:cs="Arial" w:eastAsia="Arial" w:hAnsi="Arial"/>
          <w:sz w:val="15"/>
          <w:szCs w:val="15"/>
          <w:b w:val="1"/>
          <w:bCs w:val="1"/>
          <w:color w:val="auto"/>
        </w:rPr>
        <w:t>Item 10.</w:t>
      </w:r>
      <w:r>
        <w:rPr>
          <w:sz w:val="20"/>
          <w:szCs w:val="20"/>
          <w:color w:val="auto"/>
        </w:rPr>
        <w:tab/>
      </w:r>
      <w:r>
        <w:rPr>
          <w:rFonts w:ascii="Arial" w:cs="Arial" w:eastAsia="Arial" w:hAnsi="Arial"/>
          <w:sz w:val="15"/>
          <w:szCs w:val="15"/>
          <w:b w:val="1"/>
          <w:bCs w:val="1"/>
          <w:color w:val="auto"/>
        </w:rPr>
        <w:t>Undertakings</w:t>
      </w:r>
    </w:p>
    <w:p>
      <w:pPr>
        <w:spacing w:after="0" w:line="170" w:lineRule="exact"/>
        <w:rPr>
          <w:sz w:val="20"/>
          <w:szCs w:val="20"/>
          <w:color w:val="auto"/>
        </w:rPr>
      </w:pPr>
    </w:p>
    <w:p>
      <w:pPr>
        <w:ind w:left="9"/>
        <w:spacing w:after="0"/>
        <w:rPr>
          <w:sz w:val="20"/>
          <w:szCs w:val="20"/>
          <w:color w:val="auto"/>
        </w:rPr>
      </w:pPr>
      <w:r>
        <w:rPr>
          <w:rFonts w:ascii="Arial" w:cs="Arial" w:eastAsia="Arial" w:hAnsi="Arial"/>
          <w:sz w:val="15"/>
          <w:szCs w:val="15"/>
          <w:color w:val="auto"/>
        </w:rPr>
        <w:t>The undersigned registrant hereby undertakes:</w:t>
      </w:r>
    </w:p>
    <w:p>
      <w:pPr>
        <w:spacing w:after="0" w:line="170" w:lineRule="exact"/>
        <w:rPr>
          <w:sz w:val="20"/>
          <w:szCs w:val="20"/>
          <w:color w:val="auto"/>
        </w:rPr>
      </w:pPr>
    </w:p>
    <w:p>
      <w:pPr>
        <w:ind w:left="569" w:hanging="272"/>
        <w:spacing w:after="0"/>
        <w:tabs>
          <w:tab w:leader="none" w:pos="569" w:val="left"/>
        </w:tabs>
        <w:numPr>
          <w:ilvl w:val="0"/>
          <w:numId w:val="46"/>
        </w:numPr>
        <w:rPr>
          <w:rFonts w:ascii="Arial" w:cs="Arial" w:eastAsia="Arial" w:hAnsi="Arial"/>
          <w:sz w:val="15"/>
          <w:szCs w:val="15"/>
          <w:color w:val="auto"/>
        </w:rPr>
      </w:pPr>
      <w:r>
        <w:rPr>
          <w:rFonts w:ascii="Arial" w:cs="Arial" w:eastAsia="Arial" w:hAnsi="Arial"/>
          <w:sz w:val="15"/>
          <w:szCs w:val="15"/>
          <w:color w:val="auto"/>
        </w:rPr>
        <w:t>to file, during any period in which offers or sales are being made, a post-effective amendment to this registration statement:</w:t>
      </w:r>
    </w:p>
    <w:p>
      <w:pPr>
        <w:spacing w:after="0" w:line="170" w:lineRule="exact"/>
        <w:rPr>
          <w:rFonts w:ascii="Arial" w:cs="Arial" w:eastAsia="Arial" w:hAnsi="Arial"/>
          <w:sz w:val="15"/>
          <w:szCs w:val="15"/>
          <w:color w:val="auto"/>
        </w:rPr>
      </w:pPr>
    </w:p>
    <w:p>
      <w:pPr>
        <w:ind w:left="889" w:hanging="340"/>
        <w:spacing w:after="0"/>
        <w:tabs>
          <w:tab w:leader="none" w:pos="889" w:val="left"/>
        </w:tabs>
        <w:numPr>
          <w:ilvl w:val="1"/>
          <w:numId w:val="46"/>
        </w:numPr>
        <w:rPr>
          <w:rFonts w:ascii="Arial" w:cs="Arial" w:eastAsia="Arial" w:hAnsi="Arial"/>
          <w:sz w:val="15"/>
          <w:szCs w:val="15"/>
          <w:color w:val="auto"/>
        </w:rPr>
      </w:pPr>
      <w:r>
        <w:rPr>
          <w:rFonts w:ascii="Arial" w:cs="Arial" w:eastAsia="Arial" w:hAnsi="Arial"/>
          <w:sz w:val="15"/>
          <w:szCs w:val="15"/>
          <w:color w:val="auto"/>
        </w:rPr>
        <w:t>to include any prospectus required by Section 10(a)(3) of the Securities Act;</w:t>
      </w:r>
    </w:p>
    <w:p>
      <w:pPr>
        <w:spacing w:after="0" w:line="170" w:lineRule="exact"/>
        <w:rPr>
          <w:rFonts w:ascii="Arial" w:cs="Arial" w:eastAsia="Arial" w:hAnsi="Arial"/>
          <w:sz w:val="15"/>
          <w:szCs w:val="15"/>
          <w:color w:val="auto"/>
        </w:rPr>
      </w:pPr>
    </w:p>
    <w:p>
      <w:pPr>
        <w:ind w:left="889" w:right="100" w:hanging="340"/>
        <w:spacing w:after="0" w:line="244" w:lineRule="auto"/>
        <w:tabs>
          <w:tab w:leader="none" w:pos="889" w:val="left"/>
        </w:tabs>
        <w:numPr>
          <w:ilvl w:val="1"/>
          <w:numId w:val="46"/>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Filing Fee Tables” or “Calculation of Registration Fee” table, as applicable, in the effective registration statement; and</w:t>
      </w:r>
    </w:p>
    <w:p>
      <w:pPr>
        <w:spacing w:after="0" w:line="143" w:lineRule="exact"/>
        <w:rPr>
          <w:rFonts w:ascii="Arial" w:cs="Arial" w:eastAsia="Arial" w:hAnsi="Arial"/>
          <w:sz w:val="15"/>
          <w:szCs w:val="15"/>
          <w:color w:val="auto"/>
        </w:rPr>
      </w:pPr>
    </w:p>
    <w:p>
      <w:pPr>
        <w:ind w:left="889" w:right="160" w:hanging="340"/>
        <w:spacing w:after="0" w:line="276" w:lineRule="auto"/>
        <w:tabs>
          <w:tab w:leader="none" w:pos="889" w:val="left"/>
        </w:tabs>
        <w:numPr>
          <w:ilvl w:val="1"/>
          <w:numId w:val="46"/>
        </w:numPr>
        <w:rPr>
          <w:rFonts w:ascii="Arial" w:cs="Arial" w:eastAsia="Arial" w:hAnsi="Arial"/>
          <w:sz w:val="15"/>
          <w:szCs w:val="15"/>
          <w:color w:val="auto"/>
        </w:rPr>
      </w:pPr>
      <w:r>
        <w:rPr>
          <w:rFonts w:ascii="Arial" w:cs="Arial" w:eastAsia="Arial" w:hAnsi="Arial"/>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17" w:lineRule="exact"/>
        <w:rPr>
          <w:sz w:val="20"/>
          <w:szCs w:val="20"/>
          <w:color w:val="auto"/>
        </w:rPr>
      </w:pPr>
    </w:p>
    <w:p>
      <w:pPr>
        <w:ind w:left="309" w:right="100"/>
        <w:spacing w:after="0" w:line="252" w:lineRule="auto"/>
        <w:rPr>
          <w:sz w:val="20"/>
          <w:szCs w:val="20"/>
          <w:color w:val="auto"/>
        </w:rPr>
      </w:pPr>
      <w:r>
        <w:rPr>
          <w:rFonts w:ascii="Arial" w:cs="Arial" w:eastAsia="Arial" w:hAnsi="Arial"/>
          <w:sz w:val="15"/>
          <w:szCs w:val="15"/>
          <w:i w:val="1"/>
          <w:iCs w:val="1"/>
          <w:color w:val="auto"/>
        </w:rPr>
        <w:t>provided</w:t>
      </w:r>
      <w:r>
        <w:rPr>
          <w:rFonts w:ascii="Arial" w:cs="Arial" w:eastAsia="Arial" w:hAnsi="Arial"/>
          <w:sz w:val="15"/>
          <w:szCs w:val="15"/>
          <w:color w:val="auto"/>
        </w:rPr>
        <w:t>,</w:t>
      </w:r>
      <w:r>
        <w:rPr>
          <w:rFonts w:ascii="Arial" w:cs="Arial" w:eastAsia="Arial" w:hAnsi="Arial"/>
          <w:sz w:val="15"/>
          <w:szCs w:val="15"/>
          <w:i w:val="1"/>
          <w:iCs w:val="1"/>
          <w:color w:val="auto"/>
        </w:rPr>
        <w:t xml:space="preserve"> however</w:t>
      </w:r>
      <w:r>
        <w:rPr>
          <w:rFonts w:ascii="Arial" w:cs="Arial" w:eastAsia="Arial" w:hAnsi="Arial"/>
          <w:sz w:val="15"/>
          <w:szCs w:val="15"/>
          <w:color w:val="auto"/>
        </w:rPr>
        <w:t>, that paragraphs (a)(1), (a)(2) and (a)(3) of this section do not apply if the information required to be included in a post-effective amendment by</w:t>
      </w:r>
      <w:r>
        <w:rPr>
          <w:rFonts w:ascii="Arial" w:cs="Arial" w:eastAsia="Arial" w:hAnsi="Arial"/>
          <w:sz w:val="15"/>
          <w:szCs w:val="15"/>
          <w:i w:val="1"/>
          <w:iCs w:val="1"/>
          <w:color w:val="auto"/>
        </w:rPr>
        <w:t xml:space="preserve"> </w:t>
      </w:r>
      <w:r>
        <w:rPr>
          <w:rFonts w:ascii="Arial" w:cs="Arial" w:eastAsia="Arial" w:hAnsi="Arial"/>
          <w:sz w:val="15"/>
          <w:szCs w:val="15"/>
          <w:color w:val="auto"/>
        </w:rPr>
        <w:t>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314" w:lineRule="exact"/>
        <w:rPr>
          <w:sz w:val="20"/>
          <w:szCs w:val="20"/>
          <w:color w:val="auto"/>
        </w:rPr>
      </w:pPr>
    </w:p>
    <w:p>
      <w:pPr>
        <w:ind w:left="569" w:right="700" w:hanging="272"/>
        <w:spacing w:after="0" w:line="276" w:lineRule="auto"/>
        <w:tabs>
          <w:tab w:leader="none" w:pos="569"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that, for purposes of determining any liability under the Securities Act, each such post-effective amendment shall be deemed to be a new registration statement relating to the securities offered</w:t>
      </w:r>
    </w:p>
    <w:p>
      <w:pPr>
        <w:spacing w:after="0" w:line="209"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7153275"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69"/>
          </w:cols>
          <w:pgMar w:left="311" w:top="219" w:right="319" w:bottom="1440" w:gutter="0" w:footer="0" w:header="0"/>
        </w:sectPr>
      </w:pPr>
    </w:p>
    <w:bookmarkStart w:id="75" w:name="page76"/>
    <w:bookmarkEnd w:id="75"/>
    <w:p>
      <w:pPr>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therein, and the offering of such securities at that time shall be deemed to be the initial bona fide offering thereof;</w:t>
      </w:r>
    </w:p>
    <w:p>
      <w:pPr>
        <w:spacing w:after="0" w:line="170" w:lineRule="exact"/>
        <w:rPr>
          <w:sz w:val="20"/>
          <w:szCs w:val="20"/>
          <w:color w:val="auto"/>
        </w:rPr>
      </w:pPr>
    </w:p>
    <w:p>
      <w:pPr>
        <w:ind w:left="540" w:right="460" w:hanging="272"/>
        <w:spacing w:after="0" w:line="276" w:lineRule="auto"/>
        <w:tabs>
          <w:tab w:leader="none" w:pos="54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to remove from registration by means of a post-effective amendment any of the securities being registered which remain unsold at the termination of the offering;</w:t>
      </w:r>
    </w:p>
    <w:p>
      <w:pPr>
        <w:spacing w:after="0" w:line="117" w:lineRule="exact"/>
        <w:rPr>
          <w:rFonts w:ascii="Arial" w:cs="Arial" w:eastAsia="Arial" w:hAnsi="Arial"/>
          <w:sz w:val="15"/>
          <w:szCs w:val="15"/>
          <w:color w:val="auto"/>
        </w:rPr>
      </w:pPr>
    </w:p>
    <w:p>
      <w:pPr>
        <w:ind w:left="540" w:right="220" w:hanging="272"/>
        <w:spacing w:after="0" w:line="243" w:lineRule="auto"/>
        <w:tabs>
          <w:tab w:leader="none" w:pos="54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provided that the registrant includes in the prospectus, by means of a post-effective amendment, financial statements required pursuant to this paragraph (d)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Securities Act or Item 8.A of Form 20-F if such financial statements and information are contained in periodic reports filed with or furnished to the SEC by the registrant pursuant to Section 13 or Section 15(d) of the Exchange Act that are incorporated by reference in the Form F-3;</w:t>
      </w:r>
    </w:p>
    <w:p>
      <w:pPr>
        <w:spacing w:after="0" w:line="145" w:lineRule="exact"/>
        <w:rPr>
          <w:rFonts w:ascii="Arial" w:cs="Arial" w:eastAsia="Arial" w:hAnsi="Arial"/>
          <w:sz w:val="15"/>
          <w:szCs w:val="15"/>
          <w:color w:val="auto"/>
        </w:rPr>
      </w:pPr>
    </w:p>
    <w:p>
      <w:pPr>
        <w:ind w:left="540" w:hanging="272"/>
        <w:spacing w:after="0"/>
        <w:tabs>
          <w:tab w:leader="none" w:pos="54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that, for the purpose of determining liability under the Securities Act to any purchaser:</w:t>
      </w:r>
    </w:p>
    <w:p>
      <w:pPr>
        <w:spacing w:after="0" w:line="170" w:lineRule="exact"/>
        <w:rPr>
          <w:rFonts w:ascii="Arial" w:cs="Arial" w:eastAsia="Arial" w:hAnsi="Arial"/>
          <w:sz w:val="15"/>
          <w:szCs w:val="15"/>
          <w:color w:val="auto"/>
        </w:rPr>
      </w:pPr>
    </w:p>
    <w:p>
      <w:pPr>
        <w:ind w:left="860" w:right="640" w:hanging="340"/>
        <w:spacing w:after="0" w:line="276" w:lineRule="auto"/>
        <w:tabs>
          <w:tab w:leader="none" w:pos="860" w:val="left"/>
        </w:tabs>
        <w:numPr>
          <w:ilvl w:val="1"/>
          <w:numId w:val="48"/>
        </w:numPr>
        <w:rPr>
          <w:rFonts w:ascii="Arial" w:cs="Arial" w:eastAsia="Arial" w:hAnsi="Arial"/>
          <w:sz w:val="15"/>
          <w:szCs w:val="15"/>
          <w:color w:val="auto"/>
        </w:rPr>
      </w:pPr>
      <w:r>
        <w:rPr>
          <w:rFonts w:ascii="Arial" w:cs="Arial" w:eastAsia="Arial" w:hAnsi="Arial"/>
          <w:sz w:val="15"/>
          <w:szCs w:val="15"/>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17" w:lineRule="exact"/>
        <w:rPr>
          <w:rFonts w:ascii="Arial" w:cs="Arial" w:eastAsia="Arial" w:hAnsi="Arial"/>
          <w:sz w:val="15"/>
          <w:szCs w:val="15"/>
          <w:color w:val="auto"/>
        </w:rPr>
      </w:pPr>
    </w:p>
    <w:p>
      <w:pPr>
        <w:ind w:left="860" w:right="80" w:hanging="340"/>
        <w:spacing w:after="0" w:line="242" w:lineRule="auto"/>
        <w:tabs>
          <w:tab w:leader="none" w:pos="860" w:val="left"/>
        </w:tabs>
        <w:numPr>
          <w:ilvl w:val="1"/>
          <w:numId w:val="48"/>
        </w:numPr>
        <w:rPr>
          <w:rFonts w:ascii="Arial" w:cs="Arial" w:eastAsia="Arial" w:hAnsi="Arial"/>
          <w:sz w:val="15"/>
          <w:szCs w:val="15"/>
          <w:color w:val="auto"/>
        </w:rPr>
      </w:pPr>
      <w:r>
        <w:rPr>
          <w:rFonts w:ascii="Arial" w:cs="Arial" w:eastAsia="Arial" w:hAnsi="Arial"/>
          <w:sz w:val="15"/>
          <w:szCs w:val="15"/>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and</w:t>
      </w:r>
    </w:p>
    <w:p>
      <w:pPr>
        <w:spacing w:after="0" w:line="145" w:lineRule="exact"/>
        <w:rPr>
          <w:rFonts w:ascii="Arial" w:cs="Arial" w:eastAsia="Arial" w:hAnsi="Arial"/>
          <w:sz w:val="15"/>
          <w:szCs w:val="15"/>
          <w:color w:val="auto"/>
        </w:rPr>
      </w:pPr>
    </w:p>
    <w:p>
      <w:pPr>
        <w:jc w:val="both"/>
        <w:ind w:left="540" w:hanging="272"/>
        <w:spacing w:after="0" w:line="251" w:lineRule="auto"/>
        <w:tabs>
          <w:tab w:leader="none" w:pos="54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35" w:lineRule="exact"/>
        <w:rPr>
          <w:rFonts w:ascii="Arial" w:cs="Arial" w:eastAsia="Arial" w:hAnsi="Arial"/>
          <w:sz w:val="15"/>
          <w:szCs w:val="15"/>
          <w:color w:val="auto"/>
        </w:rPr>
      </w:pPr>
    </w:p>
    <w:p>
      <w:pPr>
        <w:ind w:left="860" w:hanging="340"/>
        <w:spacing w:after="0"/>
        <w:tabs>
          <w:tab w:leader="none" w:pos="860" w:val="left"/>
        </w:tabs>
        <w:numPr>
          <w:ilvl w:val="1"/>
          <w:numId w:val="48"/>
        </w:numPr>
        <w:rPr>
          <w:rFonts w:ascii="Arial" w:cs="Arial" w:eastAsia="Arial" w:hAnsi="Arial"/>
          <w:sz w:val="15"/>
          <w:szCs w:val="15"/>
          <w:color w:val="auto"/>
        </w:rPr>
      </w:pPr>
      <w:r>
        <w:rPr>
          <w:rFonts w:ascii="Arial" w:cs="Arial" w:eastAsia="Arial" w:hAnsi="Arial"/>
          <w:sz w:val="15"/>
          <w:szCs w:val="15"/>
          <w:color w:val="auto"/>
        </w:rPr>
        <w:t>any preliminary prospectus or prospectus of the undersigned registrant relating to the offering required to be filed pursuant to Rule 424;</w:t>
      </w:r>
    </w:p>
    <w:p>
      <w:pPr>
        <w:spacing w:after="0" w:line="170" w:lineRule="exact"/>
        <w:rPr>
          <w:rFonts w:ascii="Arial" w:cs="Arial" w:eastAsia="Arial" w:hAnsi="Arial"/>
          <w:sz w:val="15"/>
          <w:szCs w:val="15"/>
          <w:color w:val="auto"/>
        </w:rPr>
      </w:pPr>
    </w:p>
    <w:p>
      <w:pPr>
        <w:ind w:left="860" w:right="540" w:hanging="340"/>
        <w:spacing w:after="0" w:line="276" w:lineRule="auto"/>
        <w:tabs>
          <w:tab w:leader="none" w:pos="860" w:val="left"/>
        </w:tabs>
        <w:numPr>
          <w:ilvl w:val="1"/>
          <w:numId w:val="48"/>
        </w:numPr>
        <w:rPr>
          <w:rFonts w:ascii="Arial" w:cs="Arial" w:eastAsia="Arial" w:hAnsi="Arial"/>
          <w:sz w:val="15"/>
          <w:szCs w:val="15"/>
          <w:color w:val="auto"/>
        </w:rPr>
      </w:pPr>
      <w:r>
        <w:rPr>
          <w:rFonts w:ascii="Arial" w:cs="Arial" w:eastAsia="Arial" w:hAnsi="Arial"/>
          <w:sz w:val="15"/>
          <w:szCs w:val="15"/>
          <w:color w:val="auto"/>
        </w:rPr>
        <w:t>any free writing prospectus relating to the offering prepared by or on behalf of the undersigned registrant or used or referred to by the undersigned registrant;</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8890</wp:posOffset>
            </wp:positionV>
            <wp:extent cx="7153275"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20"/>
          </w:cols>
          <w:pgMar w:left="340" w:top="223" w:right="339" w:bottom="1440" w:gutter="0" w:footer="0" w:header="0"/>
        </w:sectPr>
      </w:pPr>
    </w:p>
    <w:bookmarkStart w:id="76" w:name="page77"/>
    <w:bookmarkEnd w:id="76"/>
    <w:p>
      <w:pPr>
        <w:ind w:left="20"/>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ind w:left="880" w:right="160" w:hanging="340"/>
        <w:spacing w:after="0" w:line="276" w:lineRule="auto"/>
        <w:tabs>
          <w:tab w:leader="none" w:pos="8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portion of any other free writing prospectus relating to the offering containing material information about the undersigned registrant or its securities provided by or on behalf of the undersigned registrant; and</w:t>
      </w:r>
    </w:p>
    <w:p>
      <w:pPr>
        <w:spacing w:after="0" w:line="117" w:lineRule="exact"/>
        <w:rPr>
          <w:rFonts w:ascii="Arial" w:cs="Arial" w:eastAsia="Arial" w:hAnsi="Arial"/>
          <w:sz w:val="15"/>
          <w:szCs w:val="15"/>
          <w:color w:val="auto"/>
        </w:rPr>
      </w:pPr>
    </w:p>
    <w:p>
      <w:pPr>
        <w:ind w:left="880" w:hanging="340"/>
        <w:spacing w:after="0"/>
        <w:tabs>
          <w:tab w:leader="none" w:pos="8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any other communication that is an offer in the offering made by the undersigned registrant to the purchaser.</w:t>
      </w:r>
    </w:p>
    <w:p>
      <w:pPr>
        <w:spacing w:after="0" w:line="170" w:lineRule="exact"/>
        <w:rPr>
          <w:sz w:val="20"/>
          <w:szCs w:val="20"/>
          <w:color w:val="auto"/>
        </w:rPr>
      </w:pPr>
    </w:p>
    <w:p>
      <w:pPr>
        <w:spacing w:after="0" w:line="251" w:lineRule="auto"/>
        <w:rPr>
          <w:sz w:val="20"/>
          <w:szCs w:val="20"/>
          <w:color w:val="auto"/>
        </w:rPr>
      </w:pPr>
      <w:r>
        <w:rPr>
          <w:rFonts w:ascii="Arial" w:cs="Arial" w:eastAsia="Arial" w:hAnsi="Arial"/>
          <w:sz w:val="15"/>
          <w:szCs w:val="15"/>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35" w:lineRule="exact"/>
        <w:rPr>
          <w:sz w:val="20"/>
          <w:szCs w:val="20"/>
          <w:color w:val="auto"/>
        </w:rPr>
      </w:pPr>
    </w:p>
    <w:p>
      <w:pPr>
        <w:ind w:right="20"/>
        <w:spacing w:after="0" w:line="244" w:lineRule="auto"/>
        <w:rPr>
          <w:sz w:val="20"/>
          <w:szCs w:val="20"/>
          <w:color w:val="auto"/>
        </w:rPr>
      </w:pPr>
      <w:r>
        <w:rPr>
          <w:rFonts w:ascii="Arial" w:cs="Arial" w:eastAsia="Arial" w:hAnsi="Arial"/>
          <w:sz w:val="15"/>
          <w:szCs w:val="15"/>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44" w:lineRule="exact"/>
        <w:rPr>
          <w:sz w:val="20"/>
          <w:szCs w:val="20"/>
          <w:color w:val="auto"/>
        </w:rPr>
      </w:pPr>
    </w:p>
    <w:p>
      <w:pPr>
        <w:ind w:right="40"/>
        <w:spacing w:after="0" w:line="276" w:lineRule="auto"/>
        <w:rPr>
          <w:sz w:val="20"/>
          <w:szCs w:val="20"/>
          <w:color w:val="auto"/>
        </w:rPr>
      </w:pPr>
      <w:r>
        <w:rPr>
          <w:rFonts w:ascii="Arial" w:cs="Arial" w:eastAsia="Arial" w:hAnsi="Arial"/>
          <w:sz w:val="15"/>
          <w:szCs w:val="15"/>
          <w:color w:val="auto"/>
        </w:rPr>
        <w:t>The undersigned registrant hereby undertakes to file an application for the purpose of determining the eligibility of the trustee to act under Section 310(a) of the Trust Indenture Act (“Trust Indenture Act”) in accordance with the rules and regulations prescribed by the SEC under Section 305(b)(2) of the Trust Indenture Act.</w:t>
      </w:r>
    </w:p>
    <w:p>
      <w:pPr>
        <w:spacing w:after="0" w:line="209"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100"/>
          </w:cols>
          <w:pgMar w:left="320" w:top="223" w:right="479" w:bottom="1440" w:gutter="0" w:footer="0" w:header="0"/>
        </w:sectPr>
      </w:pPr>
    </w:p>
    <w:bookmarkStart w:id="77" w:name="page78"/>
    <w:bookmarkEnd w:id="77"/>
    <w:p>
      <w:pPr>
        <w:ind w:left="20"/>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SIGNATURES</w:t>
      </w:r>
    </w:p>
    <w:p>
      <w:pPr>
        <w:spacing w:after="0" w:line="170" w:lineRule="exact"/>
        <w:rPr>
          <w:sz w:val="20"/>
          <w:szCs w:val="20"/>
          <w:color w:val="auto"/>
        </w:rPr>
      </w:pPr>
    </w:p>
    <w:p>
      <w:pPr>
        <w:ind w:right="220"/>
        <w:spacing w:after="0" w:line="257" w:lineRule="auto"/>
        <w:rPr>
          <w:sz w:val="20"/>
          <w:szCs w:val="20"/>
          <w:color w:val="auto"/>
        </w:rPr>
      </w:pPr>
      <w:r>
        <w:rPr>
          <w:rFonts w:ascii="Arial" w:cs="Arial" w:eastAsia="Arial" w:hAnsi="Arial"/>
          <w:sz w:val="15"/>
          <w:szCs w:val="15"/>
          <w:color w:val="auto"/>
        </w:rPr>
        <w:t>Pursuant to the requirements of the Securities Act of 1933, as amended (the “Securities Act”), the registrant certifies that it has reasonable grounds to believe that it meets all of the requirements for filing on Form F-3 and has duly caused this registration statement to be signed on its behalf by the undersigned, thereunto duly authorized, in the city of Tübingen, Germany on March 27, 2025.</w:t>
      </w:r>
    </w:p>
    <w:p>
      <w:pPr>
        <w:spacing w:after="0" w:line="131" w:lineRule="exact"/>
        <w:rPr>
          <w:sz w:val="20"/>
          <w:szCs w:val="20"/>
          <w:color w:val="auto"/>
        </w:rPr>
      </w:pPr>
    </w:p>
    <w:p>
      <w:pPr>
        <w:ind w:left="5620"/>
        <w:spacing w:after="0"/>
        <w:rPr>
          <w:sz w:val="20"/>
          <w:szCs w:val="20"/>
          <w:color w:val="auto"/>
        </w:rPr>
      </w:pPr>
      <w:r>
        <w:rPr>
          <w:rFonts w:ascii="Arial" w:cs="Arial" w:eastAsia="Arial" w:hAnsi="Arial"/>
          <w:sz w:val="15"/>
          <w:szCs w:val="15"/>
          <w:color w:val="auto"/>
        </w:rPr>
        <w:t>IMMATICS N.V.</w:t>
      </w:r>
    </w:p>
    <w:p>
      <w:pPr>
        <w:spacing w:after="0" w:line="170"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Harpreet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3926840</wp:posOffset>
            </wp:positionH>
            <wp:positionV relativeFrom="paragraph">
              <wp:posOffset>8890</wp:posOffset>
            </wp:positionV>
            <wp:extent cx="3221355"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3221355" cy="698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5"/>
          <w:szCs w:val="15"/>
          <w:color w:val="auto"/>
        </w:rPr>
        <w:t>Name:Harpreet Singh</w:t>
      </w:r>
    </w:p>
    <w:p>
      <w:pPr>
        <w:ind w:left="6180"/>
        <w:spacing w:after="0"/>
        <w:tabs>
          <w:tab w:leader="none" w:pos="6620" w:val="left"/>
        </w:tabs>
        <w:rPr>
          <w:sz w:val="20"/>
          <w:szCs w:val="20"/>
          <w:color w:val="auto"/>
        </w:rPr>
      </w:pPr>
      <w:r>
        <w:rPr>
          <w:rFonts w:ascii="Arial" w:cs="Arial" w:eastAsia="Arial" w:hAnsi="Arial"/>
          <w:sz w:val="15"/>
          <w:szCs w:val="15"/>
          <w:color w:val="auto"/>
        </w:rPr>
        <w:t>Title:</w:t>
        <w:tab/>
        <w:t>Chief Executive Officer and Director</w:t>
      </w:r>
    </w:p>
    <w:p>
      <w:pPr>
        <w:spacing w:after="0" w:line="156" w:lineRule="exact"/>
        <w:rPr>
          <w:sz w:val="20"/>
          <w:szCs w:val="20"/>
          <w:color w:val="auto"/>
        </w:rPr>
      </w:pPr>
    </w:p>
    <w:p>
      <w:pPr>
        <w:spacing w:after="0" w:line="244" w:lineRule="auto"/>
        <w:rPr>
          <w:sz w:val="20"/>
          <w:szCs w:val="20"/>
          <w:color w:val="auto"/>
        </w:rPr>
      </w:pPr>
      <w:r>
        <w:rPr>
          <w:rFonts w:ascii="Arial" w:cs="Arial" w:eastAsia="Arial" w:hAnsi="Arial"/>
          <w:sz w:val="15"/>
          <w:szCs w:val="15"/>
          <w:color w:val="auto"/>
        </w:rPr>
        <w:t>KNOW ALL PERSONS BY THESE PRESENTS, that each person whose signature appears below hereby constitutes and appoints Harpreet Singh, Arnd Christ and Edward A. Sturchio and each of them, individually, as his or her true and lawful attorneys-in-fact and agents, with full power of substitution and resubstitution, for him or her and in his or her name, place and stead in any and all capacities, in connection with this registration statement, including to sign in the name and on behalf of the undersigned, this registration statement and any and all post-effective amendments thereto and to file the same, with all exhibits thereto, and other documents in connection therewith, with the U.S. Securities and Exchange Commission, granting unto such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his or her substitute, may lawfully do or cause to be done by virtue hereof.</w:t>
      </w:r>
    </w:p>
    <w:p>
      <w:pPr>
        <w:spacing w:after="0" w:line="144"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Pursuant to the requirements of the Securities Act, this registration statement has been signed by the following persons on March 27, 2025 in the capacities indicated:</w:t>
      </w:r>
    </w:p>
    <w:p>
      <w:pPr>
        <w:spacing w:after="0" w:line="170" w:lineRule="exact"/>
        <w:rPr>
          <w:sz w:val="20"/>
          <w:szCs w:val="20"/>
          <w:color w:val="auto"/>
        </w:rPr>
      </w:pPr>
    </w:p>
    <w:p>
      <w:pPr>
        <w:ind w:left="2500"/>
        <w:spacing w:after="0"/>
        <w:tabs>
          <w:tab w:leader="none" w:pos="8380" w:val="left"/>
        </w:tabs>
        <w:rPr>
          <w:sz w:val="20"/>
          <w:szCs w:val="20"/>
          <w:color w:val="auto"/>
        </w:rPr>
      </w:pPr>
      <w:r>
        <w:rPr>
          <w:rFonts w:ascii="Arial" w:cs="Arial" w:eastAsia="Arial" w:hAnsi="Arial"/>
          <w:sz w:val="15"/>
          <w:szCs w:val="15"/>
          <w:b w:val="1"/>
          <w:bCs w:val="1"/>
          <w:color w:val="auto"/>
        </w:rPr>
        <w:t>Name</w:t>
      </w:r>
      <w:r>
        <w:rPr>
          <w:sz w:val="20"/>
          <w:szCs w:val="20"/>
          <w:color w:val="auto"/>
        </w:rPr>
        <w:tab/>
      </w:r>
      <w:r>
        <w:rPr>
          <w:rFonts w:ascii="Arial" w:cs="Arial" w:eastAsia="Arial" w:hAnsi="Arial"/>
          <w:sz w:val="15"/>
          <w:szCs w:val="15"/>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275"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p>
      <w:pPr>
        <w:spacing w:after="0" w:line="353" w:lineRule="exact"/>
        <w:rPr>
          <w:sz w:val="20"/>
          <w:szCs w:val="20"/>
          <w:color w:val="auto"/>
        </w:rPr>
      </w:pPr>
    </w:p>
    <w:p>
      <w:pPr>
        <w:jc w:val="center"/>
        <w:ind w:right="1020"/>
        <w:spacing w:after="0"/>
        <w:rPr>
          <w:sz w:val="20"/>
          <w:szCs w:val="20"/>
          <w:color w:val="auto"/>
        </w:rPr>
      </w:pPr>
      <w:r>
        <w:rPr>
          <w:rFonts w:ascii="Arial" w:cs="Arial" w:eastAsia="Arial" w:hAnsi="Arial"/>
          <w:sz w:val="15"/>
          <w:szCs w:val="15"/>
          <w:color w:val="auto"/>
        </w:rPr>
        <w:t>/s/ Harpreet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439160"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3439160" cy="6985"/>
                    </a:xfrm>
                    <a:prstGeom prst="rect">
                      <a:avLst/>
                    </a:prstGeom>
                    <a:noFill/>
                  </pic:spPr>
                </pic:pic>
              </a:graphicData>
            </a:graphic>
          </wp:anchor>
        </w:drawing>
      </w:r>
    </w:p>
    <w:p>
      <w:pPr>
        <w:spacing w:after="0" w:line="4" w:lineRule="exact"/>
        <w:rPr>
          <w:sz w:val="20"/>
          <w:szCs w:val="20"/>
          <w:color w:val="auto"/>
        </w:rPr>
      </w:pPr>
    </w:p>
    <w:p>
      <w:pPr>
        <w:jc w:val="center"/>
        <w:ind w:right="1020"/>
        <w:spacing w:after="0"/>
        <w:rPr>
          <w:sz w:val="20"/>
          <w:szCs w:val="20"/>
          <w:color w:val="auto"/>
        </w:rPr>
      </w:pPr>
      <w:r>
        <w:rPr>
          <w:rFonts w:ascii="Arial" w:cs="Arial" w:eastAsia="Arial" w:hAnsi="Arial"/>
          <w:sz w:val="15"/>
          <w:szCs w:val="15"/>
          <w:color w:val="auto"/>
        </w:rPr>
        <w:t>Harpreet Singh</w:t>
      </w:r>
    </w:p>
    <w:p>
      <w:pPr>
        <w:spacing w:after="0" w:line="328" w:lineRule="exact"/>
        <w:rPr>
          <w:sz w:val="20"/>
          <w:szCs w:val="20"/>
          <w:color w:val="auto"/>
        </w:rPr>
      </w:pPr>
    </w:p>
    <w:p>
      <w:pPr>
        <w:jc w:val="center"/>
        <w:ind w:right="1020"/>
        <w:spacing w:after="0"/>
        <w:rPr>
          <w:sz w:val="20"/>
          <w:szCs w:val="20"/>
          <w:color w:val="auto"/>
        </w:rPr>
      </w:pPr>
      <w:r>
        <w:rPr>
          <w:rFonts w:ascii="Arial" w:cs="Arial" w:eastAsia="Arial" w:hAnsi="Arial"/>
          <w:sz w:val="15"/>
          <w:szCs w:val="15"/>
          <w:color w:val="auto"/>
        </w:rPr>
        <w:t>/s/ Arnd Christ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439160"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3439160" cy="6985"/>
                    </a:xfrm>
                    <a:prstGeom prst="rect">
                      <a:avLst/>
                    </a:prstGeom>
                    <a:noFill/>
                  </pic:spPr>
                </pic:pic>
              </a:graphicData>
            </a:graphic>
          </wp:anchor>
        </w:drawing>
      </w:r>
    </w:p>
    <w:p>
      <w:pPr>
        <w:spacing w:after="0" w:line="4" w:lineRule="exact"/>
        <w:rPr>
          <w:sz w:val="20"/>
          <w:szCs w:val="20"/>
          <w:color w:val="auto"/>
        </w:rPr>
      </w:pPr>
    </w:p>
    <w:p>
      <w:pPr>
        <w:jc w:val="center"/>
        <w:ind w:right="1020"/>
        <w:spacing w:after="0"/>
        <w:rPr>
          <w:sz w:val="20"/>
          <w:szCs w:val="20"/>
          <w:color w:val="auto"/>
        </w:rPr>
      </w:pPr>
      <w:r>
        <w:rPr>
          <w:rFonts w:ascii="Arial" w:cs="Arial" w:eastAsia="Arial" w:hAnsi="Arial"/>
          <w:sz w:val="15"/>
          <w:szCs w:val="15"/>
          <w:color w:val="auto"/>
        </w:rPr>
        <w:t>Arnd Christ</w:t>
      </w:r>
    </w:p>
    <w:p>
      <w:pPr>
        <w:spacing w:after="0" w:line="328" w:lineRule="exact"/>
        <w:rPr>
          <w:sz w:val="20"/>
          <w:szCs w:val="20"/>
          <w:color w:val="auto"/>
        </w:rPr>
      </w:pPr>
    </w:p>
    <w:p>
      <w:pPr>
        <w:jc w:val="center"/>
        <w:ind w:right="1020"/>
        <w:spacing w:after="0"/>
        <w:rPr>
          <w:sz w:val="20"/>
          <w:szCs w:val="20"/>
          <w:color w:val="auto"/>
        </w:rPr>
      </w:pPr>
      <w:r>
        <w:rPr>
          <w:rFonts w:ascii="Arial" w:cs="Arial" w:eastAsia="Arial" w:hAnsi="Arial"/>
          <w:sz w:val="15"/>
          <w:szCs w:val="15"/>
          <w:color w:val="auto"/>
        </w:rPr>
        <w:t>/s/ Peter Chambré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439160"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3439160" cy="6985"/>
                    </a:xfrm>
                    <a:prstGeom prst="rect">
                      <a:avLst/>
                    </a:prstGeom>
                    <a:noFill/>
                  </pic:spPr>
                </pic:pic>
              </a:graphicData>
            </a:graphic>
          </wp:anchor>
        </w:drawing>
      </w:r>
    </w:p>
    <w:p>
      <w:pPr>
        <w:spacing w:after="0" w:line="4" w:lineRule="exact"/>
        <w:rPr>
          <w:sz w:val="20"/>
          <w:szCs w:val="20"/>
          <w:color w:val="auto"/>
        </w:rPr>
      </w:pPr>
    </w:p>
    <w:p>
      <w:pPr>
        <w:jc w:val="center"/>
        <w:ind w:right="1020"/>
        <w:spacing w:after="0"/>
        <w:rPr>
          <w:sz w:val="20"/>
          <w:szCs w:val="20"/>
          <w:color w:val="auto"/>
        </w:rPr>
      </w:pPr>
      <w:r>
        <w:rPr>
          <w:rFonts w:ascii="Arial" w:cs="Arial" w:eastAsia="Arial" w:hAnsi="Arial"/>
          <w:sz w:val="15"/>
          <w:szCs w:val="15"/>
          <w:color w:val="auto"/>
        </w:rPr>
        <w:t>Peter Chambré</w:t>
      </w:r>
    </w:p>
    <w:p>
      <w:pPr>
        <w:spacing w:after="0" w:line="328" w:lineRule="exact"/>
        <w:rPr>
          <w:sz w:val="20"/>
          <w:szCs w:val="20"/>
          <w:color w:val="auto"/>
        </w:rPr>
      </w:pPr>
    </w:p>
    <w:p>
      <w:pPr>
        <w:jc w:val="center"/>
        <w:ind w:right="1020"/>
        <w:spacing w:after="0"/>
        <w:rPr>
          <w:sz w:val="20"/>
          <w:szCs w:val="20"/>
          <w:color w:val="auto"/>
        </w:rPr>
      </w:pPr>
      <w:r>
        <w:rPr>
          <w:rFonts w:ascii="Arial" w:cs="Arial" w:eastAsia="Arial" w:hAnsi="Arial"/>
          <w:sz w:val="15"/>
          <w:szCs w:val="15"/>
          <w:color w:val="auto"/>
        </w:rPr>
        <w:t>/s/ Heather L. Mason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439160"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3439160" cy="6985"/>
                    </a:xfrm>
                    <a:prstGeom prst="rect">
                      <a:avLst/>
                    </a:prstGeom>
                    <a:noFill/>
                  </pic:spPr>
                </pic:pic>
              </a:graphicData>
            </a:graphic>
          </wp:anchor>
        </w:drawing>
      </w:r>
    </w:p>
    <w:p>
      <w:pPr>
        <w:spacing w:after="0" w:line="4" w:lineRule="exact"/>
        <w:rPr>
          <w:sz w:val="20"/>
          <w:szCs w:val="20"/>
          <w:color w:val="auto"/>
        </w:rPr>
      </w:pPr>
    </w:p>
    <w:p>
      <w:pPr>
        <w:jc w:val="center"/>
        <w:ind w:right="1020"/>
        <w:spacing w:after="0"/>
        <w:rPr>
          <w:sz w:val="20"/>
          <w:szCs w:val="20"/>
          <w:color w:val="auto"/>
        </w:rPr>
      </w:pPr>
      <w:r>
        <w:rPr>
          <w:rFonts w:ascii="Arial" w:cs="Arial" w:eastAsia="Arial" w:hAnsi="Arial"/>
          <w:sz w:val="15"/>
          <w:szCs w:val="15"/>
          <w:color w:val="auto"/>
        </w:rPr>
        <w:t>Heather L. Mason</w:t>
      </w:r>
    </w:p>
    <w:p>
      <w:pPr>
        <w:spacing w:after="0" w:line="328" w:lineRule="exact"/>
        <w:rPr>
          <w:sz w:val="20"/>
          <w:szCs w:val="20"/>
          <w:color w:val="auto"/>
        </w:rPr>
      </w:pPr>
    </w:p>
    <w:p>
      <w:pPr>
        <w:jc w:val="center"/>
        <w:ind w:right="1020"/>
        <w:spacing w:after="0"/>
        <w:rPr>
          <w:sz w:val="20"/>
          <w:szCs w:val="20"/>
          <w:color w:val="auto"/>
        </w:rPr>
      </w:pPr>
      <w:r>
        <w:rPr>
          <w:rFonts w:ascii="Arial" w:cs="Arial" w:eastAsia="Arial" w:hAnsi="Arial"/>
          <w:sz w:val="15"/>
          <w:szCs w:val="15"/>
          <w:color w:val="auto"/>
        </w:rPr>
        <w:t>/s/ Michael G. Atieh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439160"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3439160" cy="6985"/>
                    </a:xfrm>
                    <a:prstGeom prst="rect">
                      <a:avLst/>
                    </a:prstGeom>
                    <a:noFill/>
                  </pic:spPr>
                </pic:pic>
              </a:graphicData>
            </a:graphic>
          </wp:anchor>
        </w:drawing>
      </w:r>
    </w:p>
    <w:p>
      <w:pPr>
        <w:spacing w:after="0" w:line="4" w:lineRule="exact"/>
        <w:rPr>
          <w:sz w:val="20"/>
          <w:szCs w:val="20"/>
          <w:color w:val="auto"/>
        </w:rPr>
      </w:pPr>
    </w:p>
    <w:p>
      <w:pPr>
        <w:jc w:val="center"/>
        <w:ind w:right="1020"/>
        <w:spacing w:after="0"/>
        <w:rPr>
          <w:sz w:val="20"/>
          <w:szCs w:val="20"/>
          <w:color w:val="auto"/>
        </w:rPr>
      </w:pPr>
      <w:r>
        <w:rPr>
          <w:rFonts w:ascii="Arial" w:cs="Arial" w:eastAsia="Arial" w:hAnsi="Arial"/>
          <w:sz w:val="15"/>
          <w:szCs w:val="15"/>
          <w:color w:val="auto"/>
        </w:rPr>
        <w:t>Michael G. Atieh</w:t>
      </w:r>
    </w:p>
    <w:p>
      <w:pPr>
        <w:spacing w:after="0" w:line="328" w:lineRule="exact"/>
        <w:rPr>
          <w:sz w:val="20"/>
          <w:szCs w:val="20"/>
          <w:color w:val="auto"/>
        </w:rPr>
      </w:pPr>
    </w:p>
    <w:p>
      <w:pPr>
        <w:jc w:val="center"/>
        <w:ind w:right="1020"/>
        <w:spacing w:after="0"/>
        <w:rPr>
          <w:sz w:val="20"/>
          <w:szCs w:val="20"/>
          <w:color w:val="auto"/>
        </w:rPr>
      </w:pPr>
      <w:r>
        <w:rPr>
          <w:rFonts w:ascii="Arial" w:cs="Arial" w:eastAsia="Arial" w:hAnsi="Arial"/>
          <w:sz w:val="15"/>
          <w:szCs w:val="15"/>
          <w:color w:val="auto"/>
        </w:rPr>
        <w:t>/s/ Paul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43916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3439160" cy="6985"/>
                    </a:xfrm>
                    <a:prstGeom prst="rect">
                      <a:avLst/>
                    </a:prstGeom>
                    <a:noFill/>
                  </pic:spPr>
                </pic:pic>
              </a:graphicData>
            </a:graphic>
          </wp:anchor>
        </w:drawing>
      </w:r>
    </w:p>
    <w:p>
      <w:pPr>
        <w:spacing w:after="0" w:line="4" w:lineRule="exact"/>
        <w:rPr>
          <w:sz w:val="20"/>
          <w:szCs w:val="20"/>
          <w:color w:val="auto"/>
        </w:rPr>
      </w:pPr>
    </w:p>
    <w:p>
      <w:pPr>
        <w:jc w:val="center"/>
        <w:ind w:right="1020"/>
        <w:spacing w:after="0"/>
        <w:rPr>
          <w:sz w:val="20"/>
          <w:szCs w:val="20"/>
          <w:color w:val="auto"/>
        </w:rPr>
      </w:pPr>
      <w:r>
        <w:rPr>
          <w:rFonts w:ascii="Arial" w:cs="Arial" w:eastAsia="Arial" w:hAnsi="Arial"/>
          <w:sz w:val="15"/>
          <w:szCs w:val="15"/>
          <w:color w:val="auto"/>
        </w:rPr>
        <w:t>Paul Carter</w:t>
      </w:r>
    </w:p>
    <w:p>
      <w:pPr>
        <w:spacing w:after="0" w:line="328" w:lineRule="exact"/>
        <w:rPr>
          <w:sz w:val="20"/>
          <w:szCs w:val="20"/>
          <w:color w:val="auto"/>
        </w:rPr>
      </w:pPr>
    </w:p>
    <w:p>
      <w:pPr>
        <w:jc w:val="center"/>
        <w:ind w:right="1020"/>
        <w:spacing w:after="0"/>
        <w:rPr>
          <w:sz w:val="20"/>
          <w:szCs w:val="20"/>
          <w:color w:val="auto"/>
        </w:rPr>
      </w:pPr>
      <w:r>
        <w:rPr>
          <w:rFonts w:ascii="Arial" w:cs="Arial" w:eastAsia="Arial" w:hAnsi="Arial"/>
          <w:sz w:val="15"/>
          <w:szCs w:val="15"/>
          <w:color w:val="auto"/>
        </w:rPr>
        <w:t>/s/ Eliot Forster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439160"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3439160" cy="6985"/>
                    </a:xfrm>
                    <a:prstGeom prst="rect">
                      <a:avLst/>
                    </a:prstGeom>
                    <a:noFill/>
                  </pic:spPr>
                </pic:pic>
              </a:graphicData>
            </a:graphic>
          </wp:anchor>
        </w:drawing>
      </w:r>
    </w:p>
    <w:p>
      <w:pPr>
        <w:spacing w:after="0" w:line="4" w:lineRule="exact"/>
        <w:rPr>
          <w:sz w:val="20"/>
          <w:szCs w:val="20"/>
          <w:color w:val="auto"/>
        </w:rPr>
      </w:pPr>
    </w:p>
    <w:p>
      <w:pPr>
        <w:jc w:val="center"/>
        <w:ind w:right="1020"/>
        <w:spacing w:after="0"/>
        <w:rPr>
          <w:sz w:val="20"/>
          <w:szCs w:val="20"/>
          <w:color w:val="auto"/>
        </w:rPr>
      </w:pPr>
      <w:r>
        <w:rPr>
          <w:rFonts w:ascii="Arial" w:cs="Arial" w:eastAsia="Arial" w:hAnsi="Arial"/>
          <w:sz w:val="15"/>
          <w:szCs w:val="15"/>
          <w:color w:val="auto"/>
        </w:rPr>
        <w:t>Eliot Forster</w:t>
      </w:r>
    </w:p>
    <w:p>
      <w:pPr>
        <w:spacing w:after="0" w:line="328" w:lineRule="exact"/>
        <w:rPr>
          <w:sz w:val="20"/>
          <w:szCs w:val="20"/>
          <w:color w:val="auto"/>
        </w:rPr>
      </w:pPr>
    </w:p>
    <w:p>
      <w:pPr>
        <w:jc w:val="center"/>
        <w:ind w:right="1020"/>
        <w:spacing w:after="0"/>
        <w:rPr>
          <w:sz w:val="20"/>
          <w:szCs w:val="20"/>
          <w:color w:val="auto"/>
        </w:rPr>
      </w:pPr>
      <w:r>
        <w:rPr>
          <w:rFonts w:ascii="Arial" w:cs="Arial" w:eastAsia="Arial" w:hAnsi="Arial"/>
          <w:sz w:val="15"/>
          <w:szCs w:val="15"/>
          <w:color w:val="auto"/>
        </w:rPr>
        <w:t>/s/ Mathias Hothum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439160"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3439160" cy="6985"/>
                    </a:xfrm>
                    <a:prstGeom prst="rect">
                      <a:avLst/>
                    </a:prstGeom>
                    <a:noFill/>
                  </pic:spPr>
                </pic:pic>
              </a:graphicData>
            </a:graphic>
          </wp:anchor>
        </w:drawing>
      </w:r>
    </w:p>
    <w:p>
      <w:pPr>
        <w:spacing w:after="0" w:line="4" w:lineRule="exact"/>
        <w:rPr>
          <w:sz w:val="20"/>
          <w:szCs w:val="20"/>
          <w:color w:val="auto"/>
        </w:rPr>
      </w:pPr>
    </w:p>
    <w:p>
      <w:pPr>
        <w:jc w:val="center"/>
        <w:ind w:right="1020"/>
        <w:spacing w:after="0"/>
        <w:rPr>
          <w:sz w:val="20"/>
          <w:szCs w:val="20"/>
          <w:color w:val="auto"/>
        </w:rPr>
      </w:pPr>
      <w:r>
        <w:rPr>
          <w:rFonts w:ascii="Arial" w:cs="Arial" w:eastAsia="Arial" w:hAnsi="Arial"/>
          <w:sz w:val="15"/>
          <w:szCs w:val="15"/>
          <w:color w:val="auto"/>
        </w:rPr>
        <w:t>Mathias Hothum</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center"/>
        <w:ind w:right="1280"/>
        <w:spacing w:after="0"/>
        <w:rPr>
          <w:sz w:val="20"/>
          <w:szCs w:val="20"/>
          <w:color w:val="auto"/>
        </w:rPr>
      </w:pPr>
      <w:r>
        <w:rPr>
          <w:rFonts w:ascii="Arial" w:cs="Arial" w:eastAsia="Arial" w:hAnsi="Arial"/>
          <w:sz w:val="15"/>
          <w:szCs w:val="15"/>
          <w:color w:val="auto"/>
        </w:rPr>
        <w:t>Chief Executive Officer and Director</w:t>
      </w:r>
    </w:p>
    <w:p>
      <w:pPr>
        <w:spacing w:after="0" w:line="13" w:lineRule="exact"/>
        <w:rPr>
          <w:sz w:val="20"/>
          <w:szCs w:val="20"/>
          <w:color w:val="auto"/>
        </w:rPr>
      </w:pPr>
    </w:p>
    <w:p>
      <w:pPr>
        <w:jc w:val="center"/>
        <w:ind w:right="1280"/>
        <w:spacing w:after="0"/>
        <w:rPr>
          <w:sz w:val="20"/>
          <w:szCs w:val="20"/>
          <w:color w:val="auto"/>
        </w:rPr>
      </w:pPr>
      <w:r>
        <w:rPr>
          <w:rFonts w:ascii="Arial" w:cs="Arial" w:eastAsia="Arial" w:hAnsi="Arial"/>
          <w:sz w:val="15"/>
          <w:szCs w:val="15"/>
          <w:color w:val="auto"/>
        </w:rPr>
        <w:t>(principal executive officer)</w:t>
      </w:r>
    </w:p>
    <w:p>
      <w:pPr>
        <w:spacing w:after="0" w:line="339" w:lineRule="exact"/>
        <w:rPr>
          <w:sz w:val="20"/>
          <w:szCs w:val="20"/>
          <w:color w:val="auto"/>
        </w:rPr>
      </w:pPr>
    </w:p>
    <w:p>
      <w:pPr>
        <w:jc w:val="center"/>
        <w:ind w:right="1280"/>
        <w:spacing w:after="0"/>
        <w:rPr>
          <w:sz w:val="20"/>
          <w:szCs w:val="20"/>
          <w:color w:val="auto"/>
        </w:rPr>
      </w:pPr>
      <w:r>
        <w:rPr>
          <w:rFonts w:ascii="Arial" w:cs="Arial" w:eastAsia="Arial" w:hAnsi="Arial"/>
          <w:sz w:val="15"/>
          <w:szCs w:val="15"/>
          <w:color w:val="auto"/>
        </w:rPr>
        <w:t>Chief Financial Officer</w:t>
      </w:r>
    </w:p>
    <w:p>
      <w:pPr>
        <w:spacing w:after="0" w:line="13" w:lineRule="exact"/>
        <w:rPr>
          <w:sz w:val="20"/>
          <w:szCs w:val="20"/>
          <w:color w:val="auto"/>
        </w:rPr>
      </w:pPr>
    </w:p>
    <w:p>
      <w:pPr>
        <w:jc w:val="center"/>
        <w:ind w:right="1280"/>
        <w:spacing w:after="0"/>
        <w:rPr>
          <w:sz w:val="20"/>
          <w:szCs w:val="20"/>
          <w:color w:val="auto"/>
        </w:rPr>
      </w:pPr>
      <w:r>
        <w:rPr>
          <w:rFonts w:ascii="Arial" w:cs="Arial" w:eastAsia="Arial" w:hAnsi="Arial"/>
          <w:sz w:val="15"/>
          <w:szCs w:val="15"/>
          <w:color w:val="auto"/>
        </w:rPr>
        <w:t>(principal financial and accounting officer)</w:t>
      </w:r>
    </w:p>
    <w:p>
      <w:pPr>
        <w:spacing w:after="0" w:line="200" w:lineRule="exact"/>
        <w:rPr>
          <w:sz w:val="20"/>
          <w:szCs w:val="20"/>
          <w:color w:val="auto"/>
        </w:rPr>
      </w:pPr>
    </w:p>
    <w:p>
      <w:pPr>
        <w:spacing w:after="0" w:line="23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Chair of the Board of Directors</w:t>
      </w:r>
    </w:p>
    <w:p>
      <w:pPr>
        <w:spacing w:after="0" w:line="200" w:lineRule="exact"/>
        <w:rPr>
          <w:sz w:val="20"/>
          <w:szCs w:val="20"/>
          <w:color w:val="auto"/>
        </w:rPr>
      </w:pPr>
    </w:p>
    <w:p>
      <w:pPr>
        <w:spacing w:after="0" w:line="23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Vice-Chair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Director</w:t>
      </w:r>
    </w:p>
    <w:p>
      <w:pPr>
        <w:spacing w:after="0" w:line="200" w:lineRule="exact"/>
        <w:rPr>
          <w:sz w:val="20"/>
          <w:szCs w:val="20"/>
          <w:color w:val="auto"/>
        </w:rPr>
      </w:pPr>
    </w:p>
    <w:p>
      <w:pPr>
        <w:spacing w:after="0" w:line="324"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Director</w:t>
      </w:r>
    </w:p>
    <w:p>
      <w:pPr>
        <w:spacing w:after="0" w:line="200" w:lineRule="exact"/>
        <w:rPr>
          <w:sz w:val="20"/>
          <w:szCs w:val="20"/>
          <w:color w:val="auto"/>
        </w:rPr>
      </w:pPr>
    </w:p>
    <w:p>
      <w:pPr>
        <w:spacing w:after="0" w:line="324"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Director</w:t>
      </w:r>
    </w:p>
    <w:p>
      <w:pPr>
        <w:spacing w:after="0" w:line="200" w:lineRule="exact"/>
        <w:rPr>
          <w:sz w:val="20"/>
          <w:szCs w:val="20"/>
          <w:color w:val="auto"/>
        </w:rPr>
      </w:pPr>
    </w:p>
    <w:p>
      <w:pPr>
        <w:spacing w:after="0" w:line="233"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-4538980</wp:posOffset>
            </wp:positionH>
            <wp:positionV relativeFrom="paragraph">
              <wp:posOffset>422275</wp:posOffset>
            </wp:positionV>
            <wp:extent cx="7153275"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2">
            <w:col w:w="6420" w:space="720"/>
            <w:col w:w="4080"/>
          </w:cols>
          <w:pgMar w:left="320" w:top="223" w:right="359" w:bottom="1440" w:gutter="0" w:footer="0" w:header="0"/>
          <w:type w:val="continuous"/>
        </w:sectPr>
      </w:pPr>
    </w:p>
    <w:bookmarkStart w:id="78" w:name="page79"/>
    <w:bookmarkEnd w:id="78"/>
    <w:p>
      <w:pPr>
        <w:ind w:left="20"/>
        <w:spacing w:after="0"/>
        <w:rPr>
          <w:sz w:val="20"/>
          <w:szCs w:val="20"/>
          <w:color w:val="auto"/>
        </w:rPr>
      </w:pPr>
      <w:r>
        <w:rPr>
          <w:rFonts w:ascii="Arial" w:cs="Arial" w:eastAsia="Arial" w:hAnsi="Arial"/>
          <w:sz w:val="12"/>
          <w:szCs w:val="12"/>
          <w:b w:val="1"/>
          <w:bCs w:val="1"/>
          <w:u w:val="single" w:color="auto"/>
          <w:color w:val="0000EE"/>
        </w:rPr>
        <w:t>Table of Contents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/s/ Alise Reicin</w:t>
            </w:r>
          </w:p>
        </w:tc>
        <w:tc>
          <w:tcPr>
            <w:tcW w:w="5860" w:type="dxa"/>
            <w:vAlign w:val="bottom"/>
          </w:tcPr>
          <w:p>
            <w:pPr>
              <w:jc w:val="center"/>
              <w:ind w:left="364"/>
              <w:spacing w:after="0"/>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191"/>
        </w:trPr>
        <w:tc>
          <w:tcPr>
            <w:tcW w:w="5400" w:type="dxa"/>
            <w:vAlign w:val="bottom"/>
          </w:tcPr>
          <w:p>
            <w:pPr>
              <w:jc w:val="center"/>
              <w:spacing w:after="0"/>
              <w:rPr>
                <w:sz w:val="20"/>
                <w:szCs w:val="20"/>
                <w:color w:val="auto"/>
              </w:rPr>
            </w:pPr>
            <w:r>
              <w:rPr>
                <w:rFonts w:ascii="Arial" w:cs="Arial" w:eastAsia="Arial" w:hAnsi="Arial"/>
                <w:sz w:val="15"/>
                <w:szCs w:val="15"/>
                <w:color w:val="auto"/>
              </w:rPr>
              <w:t>Alise Reicin</w:t>
            </w:r>
          </w:p>
        </w:tc>
        <w:tc>
          <w:tcPr>
            <w:tcW w:w="5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6"/>
        </w:trPr>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/s/ Adam Stone</w:t>
            </w:r>
          </w:p>
        </w:tc>
        <w:tc>
          <w:tcPr>
            <w:tcW w:w="5860" w:type="dxa"/>
            <w:vAlign w:val="bottom"/>
            <w:vMerge w:val="restart"/>
          </w:tcPr>
          <w:p>
            <w:pPr>
              <w:jc w:val="center"/>
              <w:ind w:left="364"/>
              <w:spacing w:after="0"/>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85"/>
        </w:trPr>
        <w:tc>
          <w:tcPr>
            <w:tcW w:w="5400" w:type="dxa"/>
            <w:vAlign w:val="bottom"/>
            <w:vMerge w:val="restart"/>
          </w:tcPr>
          <w:p>
            <w:pPr>
              <w:jc w:val="center"/>
              <w:spacing w:after="0"/>
              <w:rPr>
                <w:sz w:val="20"/>
                <w:szCs w:val="20"/>
                <w:color w:val="auto"/>
              </w:rPr>
            </w:pPr>
            <w:r>
              <w:rPr>
                <w:rFonts w:ascii="Arial" w:cs="Arial" w:eastAsia="Arial" w:hAnsi="Arial"/>
                <w:sz w:val="15"/>
                <w:szCs w:val="15"/>
                <w:color w:val="auto"/>
              </w:rPr>
              <w:t>Adam Stone</w:t>
            </w:r>
          </w:p>
        </w:tc>
        <w:tc>
          <w:tcPr>
            <w:tcW w:w="5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5400" w:type="dxa"/>
            <w:vAlign w:val="bottom"/>
            <w:vMerge w:val="continue"/>
          </w:tcPr>
          <w:p>
            <w:pPr>
              <w:spacing w:after="0"/>
              <w:rPr>
                <w:sz w:val="9"/>
                <w:szCs w:val="9"/>
                <w:color w:val="auto"/>
              </w:rPr>
            </w:pPr>
          </w:p>
        </w:tc>
        <w:tc>
          <w:tcPr>
            <w:tcW w:w="5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86"/>
        </w:trPr>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/s/ Edward A. Sturchio</w:t>
            </w:r>
          </w:p>
        </w:tc>
        <w:tc>
          <w:tcPr>
            <w:tcW w:w="5860" w:type="dxa"/>
            <w:vAlign w:val="bottom"/>
            <w:vMerge w:val="restart"/>
          </w:tcPr>
          <w:p>
            <w:pPr>
              <w:jc w:val="center"/>
              <w:ind w:left="384"/>
              <w:spacing w:after="0"/>
              <w:rPr>
                <w:sz w:val="20"/>
                <w:szCs w:val="20"/>
                <w:color w:val="auto"/>
              </w:rPr>
            </w:pPr>
            <w:r>
              <w:rPr>
                <w:rFonts w:ascii="Arial" w:cs="Arial" w:eastAsia="Arial" w:hAnsi="Arial"/>
                <w:sz w:val="15"/>
                <w:szCs w:val="15"/>
                <w:color w:val="auto"/>
              </w:rPr>
              <w:t>Authorized Representative in the United States</w:t>
            </w:r>
          </w:p>
        </w:tc>
        <w:tc>
          <w:tcPr>
            <w:tcW w:w="0" w:type="dxa"/>
            <w:vAlign w:val="bottom"/>
          </w:tcPr>
          <w:p>
            <w:pPr>
              <w:spacing w:after="0"/>
              <w:rPr>
                <w:sz w:val="1"/>
                <w:szCs w:val="1"/>
                <w:color w:val="auto"/>
              </w:rPr>
            </w:pPr>
          </w:p>
        </w:tc>
      </w:tr>
      <w:tr>
        <w:trPr>
          <w:trHeight w:val="85"/>
        </w:trPr>
        <w:tc>
          <w:tcPr>
            <w:tcW w:w="5400" w:type="dxa"/>
            <w:vAlign w:val="bottom"/>
            <w:vMerge w:val="restart"/>
          </w:tcPr>
          <w:p>
            <w:pPr>
              <w:jc w:val="center"/>
              <w:spacing w:after="0"/>
              <w:rPr>
                <w:sz w:val="20"/>
                <w:szCs w:val="20"/>
                <w:color w:val="auto"/>
              </w:rPr>
            </w:pPr>
            <w:r>
              <w:rPr>
                <w:rFonts w:ascii="Arial" w:cs="Arial" w:eastAsia="Arial" w:hAnsi="Arial"/>
                <w:sz w:val="15"/>
                <w:szCs w:val="15"/>
                <w:color w:val="auto"/>
              </w:rPr>
              <w:t>Edward A. Sturchio</w:t>
            </w:r>
          </w:p>
        </w:tc>
        <w:tc>
          <w:tcPr>
            <w:tcW w:w="5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5400" w:type="dxa"/>
            <w:vAlign w:val="bottom"/>
            <w:vMerge w:val="continue"/>
          </w:tcPr>
          <w:p>
            <w:pPr>
              <w:spacing w:after="0"/>
              <w:rPr>
                <w:sz w:val="9"/>
                <w:szCs w:val="9"/>
                <w:color w:val="auto"/>
              </w:rPr>
            </w:pPr>
          </w:p>
        </w:tc>
        <w:tc>
          <w:tcPr>
            <w:tcW w:w="5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40"/>
        </w:trPr>
        <w:tc>
          <w:tcPr>
            <w:tcW w:w="540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23" w:right="31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ATTORNEYS • CIVIL LAW NOTARIES • TAX ADVISERS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3361055</wp:posOffset>
            </wp:positionH>
            <wp:positionV relativeFrom="paragraph">
              <wp:posOffset>-99695</wp:posOffset>
            </wp:positionV>
            <wp:extent cx="965200" cy="1162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965200" cy="116205"/>
                    </a:xfrm>
                    <a:prstGeom prst="rect">
                      <a:avLst/>
                    </a:prstGeom>
                    <a:noFill/>
                  </pic:spPr>
                </pic:pic>
              </a:graphicData>
            </a:graphic>
          </wp:anchor>
        </w:drawing>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P.O. Box 7113</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1007 JC Amsterdam</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Beethovenstraat 400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1082 PR Amsterdam</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 +31 20 71 71 000</w:t>
      </w:r>
    </w:p>
    <w:p>
      <w:pPr>
        <w:spacing w:after="0" w:line="199" w:lineRule="auto"/>
        <w:rPr>
          <w:sz w:val="20"/>
          <w:szCs w:val="20"/>
          <w:color w:val="auto"/>
        </w:rPr>
      </w:pPr>
      <w:r>
        <w:rPr>
          <w:rFonts w:ascii="Times New Roman" w:cs="Times New Roman" w:eastAsia="Times New Roman" w:hAnsi="Times New Roman"/>
          <w:sz w:val="14"/>
          <w:szCs w:val="14"/>
          <w:color w:val="auto"/>
        </w:rPr>
        <w:t>F +31 20 71 71 111</w:t>
      </w:r>
    </w:p>
    <w:p>
      <w:pPr>
        <w:ind w:left="5740"/>
        <w:spacing w:after="0"/>
        <w:rPr>
          <w:sz w:val="20"/>
          <w:szCs w:val="20"/>
          <w:color w:val="auto"/>
        </w:rPr>
      </w:pPr>
      <w:r>
        <w:rPr>
          <w:rFonts w:ascii="Times New Roman" w:cs="Times New Roman" w:eastAsia="Times New Roman" w:hAnsi="Times New Roman"/>
          <w:sz w:val="14"/>
          <w:szCs w:val="14"/>
          <w:color w:val="auto"/>
        </w:rPr>
        <w:t>Amsterdam, March 27, 2025.</w:t>
      </w:r>
    </w:p>
    <w:p>
      <w:pPr>
        <w:spacing w:after="0" w:line="358"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5"/>
          <w:szCs w:val="15"/>
          <w:color w:val="auto"/>
        </w:rPr>
        <w:t>To the Company:</w:t>
      </w:r>
    </w:p>
    <w:p>
      <w:pPr>
        <w:spacing w:after="0" w:line="193" w:lineRule="exact"/>
        <w:rPr>
          <w:sz w:val="20"/>
          <w:szCs w:val="20"/>
          <w:color w:val="auto"/>
        </w:rPr>
      </w:pPr>
    </w:p>
    <w:p>
      <w:pPr>
        <w:jc w:val="both"/>
        <w:ind w:left="2180"/>
        <w:spacing w:after="0" w:line="289" w:lineRule="auto"/>
        <w:rPr>
          <w:sz w:val="20"/>
          <w:szCs w:val="20"/>
          <w:color w:val="auto"/>
        </w:rPr>
      </w:pPr>
      <w:r>
        <w:rPr>
          <w:rFonts w:ascii="Times New Roman" w:cs="Times New Roman" w:eastAsia="Times New Roman" w:hAnsi="Times New Roman"/>
          <w:sz w:val="15"/>
          <w:szCs w:val="15"/>
          <w:color w:val="auto"/>
        </w:rPr>
        <w:t>We have acted as legal counsel as to Dutch law to the Company in connection with the filing of the Registration Statement with the SEC. This opinion letter is rendered to you in order to be filed with the SEC as an exhibit to the Registration Statement.</w:t>
      </w:r>
    </w:p>
    <w:p>
      <w:pPr>
        <w:spacing w:after="0" w:line="133" w:lineRule="exact"/>
        <w:rPr>
          <w:sz w:val="20"/>
          <w:szCs w:val="20"/>
          <w:color w:val="auto"/>
        </w:rPr>
      </w:pPr>
    </w:p>
    <w:p>
      <w:pPr>
        <w:jc w:val="both"/>
        <w:ind w:left="2180"/>
        <w:spacing w:after="0" w:line="289" w:lineRule="auto"/>
        <w:rPr>
          <w:sz w:val="20"/>
          <w:szCs w:val="20"/>
          <w:color w:val="auto"/>
        </w:rPr>
      </w:pPr>
      <w:r>
        <w:rPr>
          <w:rFonts w:ascii="Times New Roman" w:cs="Times New Roman" w:eastAsia="Times New Roman" w:hAnsi="Times New Roman"/>
          <w:sz w:val="15"/>
          <w:szCs w:val="15"/>
          <w:color w:val="auto"/>
        </w:rPr>
        <w:t>Capitalised terms used in this opinion letter have the meanings set forth in Exhibit A to this opinion letter. The section headings used in this opinion letter are for convenience of reference only and are not to affect its construction or to be taken into consideration in its interpretation.</w:t>
      </w:r>
    </w:p>
    <w:p>
      <w:pPr>
        <w:spacing w:after="0" w:line="133" w:lineRule="exact"/>
        <w:rPr>
          <w:sz w:val="20"/>
          <w:szCs w:val="20"/>
          <w:color w:val="auto"/>
        </w:rPr>
      </w:pPr>
    </w:p>
    <w:p>
      <w:pPr>
        <w:jc w:val="both"/>
        <w:ind w:left="2180"/>
        <w:spacing w:after="0" w:line="271" w:lineRule="auto"/>
        <w:rPr>
          <w:sz w:val="20"/>
          <w:szCs w:val="20"/>
          <w:color w:val="auto"/>
        </w:rPr>
      </w:pPr>
      <w:r>
        <w:rPr>
          <w:rFonts w:ascii="Times New Roman" w:cs="Times New Roman" w:eastAsia="Times New Roman" w:hAnsi="Times New Roman"/>
          <w:sz w:val="15"/>
          <w:szCs w:val="15"/>
          <w:color w:val="auto"/>
        </w:rPr>
        <w:t>This opinion letter is strictly limited to the matters stated in it and may not be read as extending by implication to any matters not specifically referred to in it. Nothing in this opinion letter should be taken as expressing an opinion in respect of any representations or warranties, or other information, contained in any document reviewed by us in connection with this opinion letter.</w:t>
      </w:r>
    </w:p>
    <w:p>
      <w:pPr>
        <w:spacing w:after="0" w:line="147" w:lineRule="exact"/>
        <w:rPr>
          <w:sz w:val="20"/>
          <w:szCs w:val="20"/>
          <w:color w:val="auto"/>
        </w:rPr>
      </w:pPr>
    </w:p>
    <w:p>
      <w:pPr>
        <w:jc w:val="both"/>
        <w:ind w:left="2180" w:right="20"/>
        <w:spacing w:after="0" w:line="271" w:lineRule="auto"/>
        <w:rPr>
          <w:sz w:val="20"/>
          <w:szCs w:val="20"/>
          <w:color w:val="auto"/>
        </w:rPr>
      </w:pPr>
      <w:r>
        <w:rPr>
          <w:rFonts w:ascii="Times New Roman" w:cs="Times New Roman" w:eastAsia="Times New Roman" w:hAnsi="Times New Roman"/>
          <w:sz w:val="15"/>
          <w:szCs w:val="15"/>
          <w:color w:val="auto"/>
        </w:rPr>
        <w:t>In rendering the opinions expressed in this opinion letter, we have reviewed and relied upon a draft of the Registration Statement and pdf copies of the Corporate Documents and we have assumed that any issuance of Registered Securities shall be effected for bona fide commercial reasons. We have not investigated or verified any factual matter disclosed to us in the course of our review.</w:t>
      </w:r>
    </w:p>
    <w:p>
      <w:pPr>
        <w:spacing w:after="0" w:line="147" w:lineRule="exact"/>
        <w:rPr>
          <w:sz w:val="20"/>
          <w:szCs w:val="20"/>
          <w:color w:val="auto"/>
        </w:rPr>
      </w:pPr>
    </w:p>
    <w:p>
      <w:pPr>
        <w:jc w:val="both"/>
        <w:ind w:left="2180"/>
        <w:spacing w:after="0" w:line="260" w:lineRule="auto"/>
        <w:rPr>
          <w:sz w:val="20"/>
          <w:szCs w:val="20"/>
          <w:color w:val="auto"/>
        </w:rPr>
      </w:pPr>
      <w:r>
        <w:rPr>
          <w:rFonts w:ascii="Times New Roman" w:cs="Times New Roman" w:eastAsia="Times New Roman" w:hAnsi="Times New Roman"/>
          <w:sz w:val="15"/>
          <w:szCs w:val="15"/>
          <w:color w:val="auto"/>
        </w:rPr>
        <w:t>This opinion letter sets out our opinion on certain matters of the laws with general applicability of the Netherlands, and, insofar as they are directly applicable in the Netherlands, of the European Union, as at today's date and as presently interpreted under published authoritative case law of the Dutch courts, the General Court and the Court of Justice of the European Union. We do not express any opinion on Dutch or European competition law, data protection law, tax law, securitisation law or regulatory law. No undertaking is assumed on our part to revise, update or amend this opinion letter in connection with, or to notify or inform you of, any developments and/or changes of Dutch law subsequent to today's date. We do not purport to opine on the consequences of amendments to the Registration Statement or the Corporate Documents subsequent to the date of this opinion letter.</w:t>
      </w:r>
    </w:p>
    <w:p>
      <w:pPr>
        <w:spacing w:after="0" w:line="341" w:lineRule="exact"/>
        <w:rPr>
          <w:sz w:val="20"/>
          <w:szCs w:val="20"/>
          <w:color w:val="auto"/>
        </w:rPr>
      </w:pPr>
    </w:p>
    <w:p>
      <w:pPr>
        <w:jc w:val="both"/>
        <w:ind w:left="2180"/>
        <w:spacing w:after="0" w:line="289" w:lineRule="auto"/>
        <w:rPr>
          <w:sz w:val="20"/>
          <w:szCs w:val="20"/>
          <w:color w:val="auto"/>
        </w:rPr>
      </w:pPr>
      <w:r>
        <w:rPr>
          <w:rFonts w:ascii="Times New Roman" w:cs="Times New Roman" w:eastAsia="Times New Roman" w:hAnsi="Times New Roman"/>
          <w:sz w:val="15"/>
          <w:szCs w:val="15"/>
          <w:color w:val="auto"/>
        </w:rPr>
        <w:t>The opinions expressed in this opinion letter are to be construed and interpreted in accordance with Dutch law. The competent courts at Amsterdam, the 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53275"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80" w:name="page81"/>
    <w:bookmarkEnd w:id="80"/>
    <w:p>
      <w:pPr>
        <w:ind w:left="2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2272665</wp:posOffset>
            </wp:positionH>
            <wp:positionV relativeFrom="page">
              <wp:posOffset>146685</wp:posOffset>
            </wp:positionV>
            <wp:extent cx="1109980" cy="1816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1109980" cy="181610"/>
                    </a:xfrm>
                    <a:prstGeom prst="rect">
                      <a:avLst/>
                    </a:prstGeom>
                    <a:noFill/>
                  </pic:spPr>
                </pic:pic>
              </a:graphicData>
            </a:graphic>
          </wp:anchor>
        </w:drawing>
        <w:t>2</w:t>
      </w:r>
    </w:p>
    <w:p>
      <w:pPr>
        <w:spacing w:after="0" w:line="288" w:lineRule="exact"/>
        <w:rPr>
          <w:sz w:val="20"/>
          <w:szCs w:val="20"/>
          <w:color w:val="auto"/>
        </w:rPr>
      </w:pPr>
    </w:p>
    <w:p>
      <w:pPr>
        <w:jc w:val="both"/>
        <w:ind w:left="1060"/>
        <w:spacing w:after="0" w:line="263" w:lineRule="auto"/>
        <w:rPr>
          <w:sz w:val="20"/>
          <w:szCs w:val="20"/>
          <w:color w:val="auto"/>
        </w:rPr>
      </w:pPr>
      <w:r>
        <w:rPr>
          <w:rFonts w:ascii="Times New Roman" w:cs="Times New Roman" w:eastAsia="Times New Roman" w:hAnsi="Times New Roman"/>
          <w:sz w:val="15"/>
          <w:szCs w:val="15"/>
          <w:color w:val="auto"/>
        </w:rPr>
        <w:t>have exclusive jurisdiction to settle any issues of interpretation or liability arising out of or in connection with this opinion letter. Any legal relationship arising out of or in connection with this opinion letter (whether contractual or non-contractual), including the above submission to jurisdiction, is governed by Dutch law and shall be subject to the general terms and conditions of NautaDutilh. Any liability arising out of or in connection with this opinion letter shall be limited to the amount which is paid out under NautaDutilh's insurance policy in the matter concerned. No person other than NautaDutilh may be held liable in connection with this opinion letter.</w:t>
      </w:r>
    </w:p>
    <w:p>
      <w:pPr>
        <w:spacing w:after="0" w:line="152" w:lineRule="exact"/>
        <w:rPr>
          <w:sz w:val="20"/>
          <w:szCs w:val="20"/>
          <w:color w:val="auto"/>
        </w:rPr>
      </w:pPr>
    </w:p>
    <w:p>
      <w:pPr>
        <w:jc w:val="both"/>
        <w:ind w:left="1060"/>
        <w:spacing w:after="0" w:line="271" w:lineRule="auto"/>
        <w:rPr>
          <w:sz w:val="20"/>
          <w:szCs w:val="20"/>
          <w:color w:val="auto"/>
        </w:rPr>
      </w:pPr>
      <w:r>
        <w:rPr>
          <w:rFonts w:ascii="Times New Roman" w:cs="Times New Roman" w:eastAsia="Times New Roman" w:hAnsi="Times New Roman"/>
          <w:sz w:val="15"/>
          <w:szCs w:val="15"/>
          <w:color w:val="auto"/>
        </w:rPr>
        <w:t>In this opinion letter, legal concepts are expressed in English terms. The Dutch legal concepts concerned may not be identical in meaning to the concepts described by the English terms as they exist under the law of other jurisdictions. In the event of a conflict or inconsistency, the relevant expression shall be deemed to refer only to the Dutch legal concepts described by the English terms.</w:t>
      </w:r>
    </w:p>
    <w:p>
      <w:pPr>
        <w:spacing w:after="0" w:line="14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color w:val="auto"/>
        </w:rPr>
        <w:t>For the purposes of this opinion letter, we have assumed that:</w:t>
      </w:r>
    </w:p>
    <w:p>
      <w:pPr>
        <w:spacing w:after="0" w:line="193" w:lineRule="exact"/>
        <w:rPr>
          <w:sz w:val="20"/>
          <w:szCs w:val="20"/>
          <w:color w:val="auto"/>
        </w:rPr>
      </w:pPr>
    </w:p>
    <w:p>
      <w:pPr>
        <w:ind w:left="1620" w:right="20" w:hanging="555"/>
        <w:spacing w:after="0" w:line="289" w:lineRule="auto"/>
        <w:tabs>
          <w:tab w:leader="none" w:pos="162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copy of a document conforms to the original, each original is authentic, and each signature is the genuine signature of the individual purported to have placed that signature;</w:t>
      </w:r>
    </w:p>
    <w:p>
      <w:pPr>
        <w:spacing w:after="0" w:line="132" w:lineRule="exact"/>
        <w:rPr>
          <w:rFonts w:ascii="Times New Roman" w:cs="Times New Roman" w:eastAsia="Times New Roman" w:hAnsi="Times New Roman"/>
          <w:sz w:val="15"/>
          <w:szCs w:val="15"/>
          <w:color w:val="auto"/>
        </w:rPr>
      </w:pPr>
    </w:p>
    <w:p>
      <w:pPr>
        <w:jc w:val="both"/>
        <w:ind w:left="1620" w:hanging="555"/>
        <w:spacing w:after="0" w:line="289" w:lineRule="auto"/>
        <w:tabs>
          <w:tab w:leader="none" w:pos="162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any signature under any document is an electronic signature (as opposed to a handwritten ("wet ink") signature) only, it is either a qualified electronic signature within the meaning of the eIDAS Regulation, or the method used for signing is otherwise sufficiently reliable;</w:t>
      </w:r>
    </w:p>
    <w:p>
      <w:pPr>
        <w:spacing w:after="0" w:line="132" w:lineRule="exact"/>
        <w:rPr>
          <w:rFonts w:ascii="Times New Roman" w:cs="Times New Roman" w:eastAsia="Times New Roman" w:hAnsi="Times New Roman"/>
          <w:sz w:val="15"/>
          <w:szCs w:val="15"/>
          <w:color w:val="auto"/>
        </w:rPr>
      </w:pPr>
    </w:p>
    <w:p>
      <w:pPr>
        <w:ind w:left="1620" w:hanging="555"/>
        <w:spacing w:after="0"/>
        <w:tabs>
          <w:tab w:leader="none" w:pos="162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Registration Statement will be declared effective by the SEC in the form reviewed by us;</w:t>
      </w:r>
    </w:p>
    <w:p>
      <w:pPr>
        <w:spacing w:after="0" w:line="193" w:lineRule="exact"/>
        <w:rPr>
          <w:rFonts w:ascii="Times New Roman" w:cs="Times New Roman" w:eastAsia="Times New Roman" w:hAnsi="Times New Roman"/>
          <w:sz w:val="15"/>
          <w:szCs w:val="15"/>
          <w:color w:val="auto"/>
        </w:rPr>
      </w:pPr>
    </w:p>
    <w:p>
      <w:pPr>
        <w:jc w:val="both"/>
        <w:ind w:left="1620" w:hanging="555"/>
        <w:spacing w:after="0" w:line="263" w:lineRule="auto"/>
        <w:tabs>
          <w:tab w:leader="none" w:pos="162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each Relevant Moment, (i) Ordinary Shares shall have been admitted for trading on a trading system outside the European Economic Area comparable to a regulated market or a multilateral trading facility as referred to in Section 2:86c(1) DCC and (ii) no financial instruments issued by the Company (or depository receipts for or otherwise representing such financial instruments) have been admitted to trading on a regulated market, multilateral trading facility or organised trading facility operating in the European Economic Area (and no request for admission of any such financial instruments to trading on any such trading venue has been made;</w:t>
      </w:r>
    </w:p>
    <w:p>
      <w:pPr>
        <w:spacing w:after="0" w:line="151" w:lineRule="exact"/>
        <w:rPr>
          <w:rFonts w:ascii="Times New Roman" w:cs="Times New Roman" w:eastAsia="Times New Roman" w:hAnsi="Times New Roman"/>
          <w:sz w:val="15"/>
          <w:szCs w:val="15"/>
          <w:color w:val="auto"/>
        </w:rPr>
      </w:pPr>
    </w:p>
    <w:p>
      <w:pPr>
        <w:ind w:left="1620" w:hanging="555"/>
        <w:spacing w:after="0"/>
        <w:tabs>
          <w:tab w:leader="none" w:pos="162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the Deed of Incorporation and the Deed of Conversion is a valid notarial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320675</wp:posOffset>
            </wp:positionV>
            <wp:extent cx="7153275"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0140"/>
          </w:cols>
          <w:pgMar w:left="1440" w:top="498" w:right="319" w:bottom="1440" w:gutter="0" w:footer="0" w:header="0"/>
        </w:sectPr>
      </w:pPr>
    </w:p>
    <w:bookmarkStart w:id="81" w:name="page82"/>
    <w:bookmarkEnd w:id="81"/>
    <w:p>
      <w:pPr>
        <w:ind w:left="2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2272665</wp:posOffset>
            </wp:positionH>
            <wp:positionV relativeFrom="page">
              <wp:posOffset>146685</wp:posOffset>
            </wp:positionV>
            <wp:extent cx="1109980" cy="1816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1109980" cy="181610"/>
                    </a:xfrm>
                    <a:prstGeom prst="rect">
                      <a:avLst/>
                    </a:prstGeom>
                    <a:noFill/>
                  </pic:spPr>
                </pic:pic>
              </a:graphicData>
            </a:graphic>
          </wp:anchor>
        </w:drawing>
        <w:t>3</w:t>
      </w:r>
    </w:p>
    <w:p>
      <w:pPr>
        <w:spacing w:after="0" w:line="288" w:lineRule="exact"/>
        <w:rPr>
          <w:sz w:val="20"/>
          <w:szCs w:val="20"/>
          <w:color w:val="auto"/>
        </w:rPr>
      </w:pPr>
    </w:p>
    <w:p>
      <w:pPr>
        <w:ind w:left="1620" w:hanging="555"/>
        <w:spacing w:after="0"/>
        <w:tabs>
          <w:tab w:leader="none" w:pos="162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Current Articles are the Articles of Association currently in force and as they will be in force at each Relevant Moment;</w:t>
      </w:r>
    </w:p>
    <w:p>
      <w:pPr>
        <w:spacing w:after="0" w:line="189" w:lineRule="exact"/>
        <w:rPr>
          <w:rFonts w:ascii="Times New Roman" w:cs="Times New Roman" w:eastAsia="Times New Roman" w:hAnsi="Times New Roman"/>
          <w:sz w:val="15"/>
          <w:szCs w:val="15"/>
          <w:color w:val="auto"/>
        </w:rPr>
      </w:pPr>
    </w:p>
    <w:p>
      <w:pPr>
        <w:ind w:left="1620" w:hanging="555"/>
        <w:spacing w:after="0" w:line="294" w:lineRule="auto"/>
        <w:tabs>
          <w:tab w:leader="none" w:pos="162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each Relevant Moment, the authorised share capital (</w:t>
      </w:r>
      <w:r>
        <w:rPr>
          <w:rFonts w:ascii="Times New Roman" w:cs="Times New Roman" w:eastAsia="Times New Roman" w:hAnsi="Times New Roman"/>
          <w:sz w:val="15"/>
          <w:szCs w:val="15"/>
          <w:i w:val="1"/>
          <w:iCs w:val="1"/>
          <w:color w:val="auto"/>
        </w:rPr>
        <w:t>maatschappelijk kapitaal</w:t>
      </w:r>
      <w:r>
        <w:rPr>
          <w:rFonts w:ascii="Times New Roman" w:cs="Times New Roman" w:eastAsia="Times New Roman" w:hAnsi="Times New Roman"/>
          <w:sz w:val="15"/>
          <w:szCs w:val="15"/>
          <w:color w:val="auto"/>
        </w:rPr>
        <w:t>) of the Company shall allow for the issuance of the Registered Shares;</w:t>
      </w:r>
    </w:p>
    <w:p>
      <w:pPr>
        <w:spacing w:after="0" w:line="125" w:lineRule="exact"/>
        <w:rPr>
          <w:rFonts w:ascii="Times New Roman" w:cs="Times New Roman" w:eastAsia="Times New Roman" w:hAnsi="Times New Roman"/>
          <w:sz w:val="15"/>
          <w:szCs w:val="15"/>
          <w:color w:val="auto"/>
        </w:rPr>
      </w:pPr>
    </w:p>
    <w:p>
      <w:pPr>
        <w:jc w:val="both"/>
        <w:ind w:left="1620" w:hanging="555"/>
        <w:spacing w:after="0" w:line="263" w:lineRule="auto"/>
        <w:tabs>
          <w:tab w:leader="none" w:pos="162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each Relevant Moment, the Company will not have (i) been dissolved (</w:t>
      </w:r>
      <w:r>
        <w:rPr>
          <w:rFonts w:ascii="Times New Roman" w:cs="Times New Roman" w:eastAsia="Times New Roman" w:hAnsi="Times New Roman"/>
          <w:sz w:val="15"/>
          <w:szCs w:val="15"/>
          <w:i w:val="1"/>
          <w:iCs w:val="1"/>
          <w:color w:val="auto"/>
        </w:rPr>
        <w:t>ontbonden</w:t>
      </w:r>
      <w:r>
        <w:rPr>
          <w:rFonts w:ascii="Times New Roman" w:cs="Times New Roman" w:eastAsia="Times New Roman" w:hAnsi="Times New Roman"/>
          <w:sz w:val="15"/>
          <w:szCs w:val="15"/>
          <w:color w:val="auto"/>
        </w:rPr>
        <w:t>), (ii) ceased to exist pursuant to a merger (</w:t>
      </w:r>
      <w:r>
        <w:rPr>
          <w:rFonts w:ascii="Times New Roman" w:cs="Times New Roman" w:eastAsia="Times New Roman" w:hAnsi="Times New Roman"/>
          <w:sz w:val="15"/>
          <w:szCs w:val="15"/>
          <w:i w:val="1"/>
          <w:iCs w:val="1"/>
          <w:color w:val="auto"/>
        </w:rPr>
        <w:t>fusie</w:t>
      </w:r>
      <w:r>
        <w:rPr>
          <w:rFonts w:ascii="Times New Roman" w:cs="Times New Roman" w:eastAsia="Times New Roman" w:hAnsi="Times New Roman"/>
          <w:sz w:val="15"/>
          <w:szCs w:val="15"/>
          <w:color w:val="auto"/>
        </w:rPr>
        <w:t>) or a division (</w:t>
      </w:r>
      <w:r>
        <w:rPr>
          <w:rFonts w:ascii="Times New Roman" w:cs="Times New Roman" w:eastAsia="Times New Roman" w:hAnsi="Times New Roman"/>
          <w:sz w:val="15"/>
          <w:szCs w:val="15"/>
          <w:i w:val="1"/>
          <w:iCs w:val="1"/>
          <w:color w:val="auto"/>
        </w:rPr>
        <w:t>splitsing</w:t>
      </w:r>
      <w:r>
        <w:rPr>
          <w:rFonts w:ascii="Times New Roman" w:cs="Times New Roman" w:eastAsia="Times New Roman" w:hAnsi="Times New Roman"/>
          <w:sz w:val="15"/>
          <w:szCs w:val="15"/>
          <w:color w:val="auto"/>
        </w:rPr>
        <w:t>), (iii) been converted (</w:t>
      </w:r>
      <w:r>
        <w:rPr>
          <w:rFonts w:ascii="Times New Roman" w:cs="Times New Roman" w:eastAsia="Times New Roman" w:hAnsi="Times New Roman"/>
          <w:sz w:val="15"/>
          <w:szCs w:val="15"/>
          <w:i w:val="1"/>
          <w:iCs w:val="1"/>
          <w:color w:val="auto"/>
        </w:rPr>
        <w:t>omgezet</w:t>
      </w:r>
      <w:r>
        <w:rPr>
          <w:rFonts w:ascii="Times New Roman" w:cs="Times New Roman" w:eastAsia="Times New Roman" w:hAnsi="Times New Roman"/>
          <w:sz w:val="15"/>
          <w:szCs w:val="15"/>
          <w:color w:val="auto"/>
        </w:rPr>
        <w:t>) into another legal form, either national or foreign, (iv) had its assets placed under administration (</w:t>
      </w:r>
      <w:r>
        <w:rPr>
          <w:rFonts w:ascii="Times New Roman" w:cs="Times New Roman" w:eastAsia="Times New Roman" w:hAnsi="Times New Roman"/>
          <w:sz w:val="15"/>
          <w:szCs w:val="15"/>
          <w:i w:val="1"/>
          <w:iCs w:val="1"/>
          <w:color w:val="auto"/>
        </w:rPr>
        <w:t>onder bewind gesteld</w:t>
      </w:r>
      <w:r>
        <w:rPr>
          <w:rFonts w:ascii="Times New Roman" w:cs="Times New Roman" w:eastAsia="Times New Roman" w:hAnsi="Times New Roman"/>
          <w:sz w:val="15"/>
          <w:szCs w:val="15"/>
          <w:color w:val="auto"/>
        </w:rPr>
        <w:t>), (v) been declared bankrupt (</w:t>
      </w:r>
      <w:r>
        <w:rPr>
          <w:rFonts w:ascii="Times New Roman" w:cs="Times New Roman" w:eastAsia="Times New Roman" w:hAnsi="Times New Roman"/>
          <w:sz w:val="15"/>
          <w:szCs w:val="15"/>
          <w:i w:val="1"/>
          <w:iCs w:val="1"/>
          <w:color w:val="auto"/>
        </w:rPr>
        <w:t>failliet verklaard</w:t>
      </w:r>
      <w:r>
        <w:rPr>
          <w:rFonts w:ascii="Times New Roman" w:cs="Times New Roman" w:eastAsia="Times New Roman" w:hAnsi="Times New Roman"/>
          <w:sz w:val="15"/>
          <w:szCs w:val="15"/>
          <w:color w:val="auto"/>
        </w:rPr>
        <w:t>), (vi) been granted a suspension of payments (</w:t>
      </w:r>
      <w:r>
        <w:rPr>
          <w:rFonts w:ascii="Times New Roman" w:cs="Times New Roman" w:eastAsia="Times New Roman" w:hAnsi="Times New Roman"/>
          <w:sz w:val="15"/>
          <w:szCs w:val="15"/>
          <w:i w:val="1"/>
          <w:iCs w:val="1"/>
          <w:color w:val="auto"/>
        </w:rPr>
        <w:t>surseance van betaling verleend</w:t>
      </w:r>
      <w:r>
        <w:rPr>
          <w:rFonts w:ascii="Times New Roman" w:cs="Times New Roman" w:eastAsia="Times New Roman" w:hAnsi="Times New Roman"/>
          <w:sz w:val="15"/>
          <w:szCs w:val="15"/>
          <w:color w:val="auto"/>
        </w:rPr>
        <w:t>), (vii) started or become subject to statutory proceedings for the restructuring of its debts (</w:t>
      </w:r>
      <w:r>
        <w:rPr>
          <w:rFonts w:ascii="Times New Roman" w:cs="Times New Roman" w:eastAsia="Times New Roman" w:hAnsi="Times New Roman"/>
          <w:sz w:val="15"/>
          <w:szCs w:val="15"/>
          <w:i w:val="1"/>
          <w:iCs w:val="1"/>
          <w:color w:val="auto"/>
        </w:rPr>
        <w:t>akkoordprocedure</w:t>
      </w:r>
      <w:r>
        <w:rPr>
          <w:rFonts w:ascii="Times New Roman" w:cs="Times New Roman" w:eastAsia="Times New Roman" w:hAnsi="Times New Roman"/>
          <w:sz w:val="15"/>
          <w:szCs w:val="15"/>
          <w:color w:val="auto"/>
        </w:rPr>
        <w:t>) or (viii) been made subject to similar proceedings in any jurisdiction or otherwise been limited in its power to dispose of its assets;</w:t>
      </w:r>
    </w:p>
    <w:p>
      <w:pPr>
        <w:spacing w:after="0" w:line="338" w:lineRule="exact"/>
        <w:rPr>
          <w:rFonts w:ascii="Times New Roman" w:cs="Times New Roman" w:eastAsia="Times New Roman" w:hAnsi="Times New Roman"/>
          <w:sz w:val="15"/>
          <w:szCs w:val="15"/>
          <w:color w:val="auto"/>
        </w:rPr>
      </w:pPr>
    </w:p>
    <w:p>
      <w:pPr>
        <w:ind w:left="1620" w:right="540" w:hanging="555"/>
        <w:spacing w:after="0" w:line="289" w:lineRule="auto"/>
        <w:tabs>
          <w:tab w:leader="none" w:pos="162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Registered Securities shall be issued, and any pre-emption rights in connection therewith shall have been excluded, pursuant to resolutions validly passed by the corporate body (</w:t>
      </w:r>
      <w:r>
        <w:rPr>
          <w:rFonts w:ascii="Times New Roman" w:cs="Times New Roman" w:eastAsia="Times New Roman" w:hAnsi="Times New Roman"/>
          <w:sz w:val="15"/>
          <w:szCs w:val="15"/>
          <w:i w:val="1"/>
          <w:iCs w:val="1"/>
          <w:color w:val="auto"/>
        </w:rPr>
        <w:t>orgaan</w:t>
      </w:r>
      <w:r>
        <w:rPr>
          <w:rFonts w:ascii="Times New Roman" w:cs="Times New Roman" w:eastAsia="Times New Roman" w:hAnsi="Times New Roman"/>
          <w:sz w:val="15"/>
          <w:szCs w:val="15"/>
          <w:color w:val="auto"/>
        </w:rPr>
        <w:t>) of the Company duly authorised to do so;</w:t>
      </w:r>
    </w:p>
    <w:p>
      <w:pPr>
        <w:spacing w:after="0" w:line="132" w:lineRule="exact"/>
        <w:rPr>
          <w:rFonts w:ascii="Times New Roman" w:cs="Times New Roman" w:eastAsia="Times New Roman" w:hAnsi="Times New Roman"/>
          <w:sz w:val="15"/>
          <w:szCs w:val="15"/>
          <w:color w:val="auto"/>
        </w:rPr>
      </w:pPr>
    </w:p>
    <w:p>
      <w:pPr>
        <w:ind w:left="1620" w:right="240" w:hanging="555"/>
        <w:spacing w:after="0" w:line="263" w:lineRule="auto"/>
        <w:tabs>
          <w:tab w:leader="none" w:pos="162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issue price for any Registered Shares shall at least equal the aggregate nominal value thereof, any conversion, exchange or exercise price of other Registered Securities shall at least equal the aggregate nominal value of the underlying Registered Shares, any such issue, conversion, exchange or exercise price shall have been satisfied in cash and shall have been received and accepted by the Company ultimately upon the issuance of the relevant Registered Shares and, where relevant, the Company shall have consented to payment in a currency other than Euro;</w:t>
      </w:r>
    </w:p>
    <w:p>
      <w:pPr>
        <w:spacing w:after="0" w:line="151" w:lineRule="exact"/>
        <w:rPr>
          <w:rFonts w:ascii="Times New Roman" w:cs="Times New Roman" w:eastAsia="Times New Roman" w:hAnsi="Times New Roman"/>
          <w:sz w:val="15"/>
          <w:szCs w:val="15"/>
          <w:color w:val="auto"/>
        </w:rPr>
      </w:pPr>
    </w:p>
    <w:p>
      <w:pPr>
        <w:ind w:left="1620" w:right="540" w:hanging="555"/>
        <w:spacing w:after="0" w:line="289" w:lineRule="auto"/>
        <w:tabs>
          <w:tab w:leader="none" w:pos="162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Registered Shares issued in connection with the conversion, exchange or exercise of other Registered Securities shall be issued pursuant to a valid conversion, exchange or exercise of such Registered Securities in accordance with their respective terms;</w:t>
      </w:r>
    </w:p>
    <w:p>
      <w:pPr>
        <w:spacing w:after="0" w:line="128" w:lineRule="exact"/>
        <w:rPr>
          <w:rFonts w:ascii="Times New Roman" w:cs="Times New Roman" w:eastAsia="Times New Roman" w:hAnsi="Times New Roman"/>
          <w:sz w:val="15"/>
          <w:szCs w:val="15"/>
          <w:color w:val="auto"/>
        </w:rPr>
      </w:pPr>
    </w:p>
    <w:p>
      <w:pPr>
        <w:ind w:left="1620" w:right="140" w:hanging="555"/>
        <w:spacing w:after="0" w:line="267" w:lineRule="auto"/>
        <w:tabs>
          <w:tab w:leader="none" w:pos="162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respect of any payment (</w:t>
      </w:r>
      <w:r>
        <w:rPr>
          <w:rFonts w:ascii="Times New Roman" w:cs="Times New Roman" w:eastAsia="Times New Roman" w:hAnsi="Times New Roman"/>
          <w:sz w:val="15"/>
          <w:szCs w:val="15"/>
          <w:i w:val="1"/>
          <w:iCs w:val="1"/>
          <w:color w:val="auto"/>
        </w:rPr>
        <w:t>storting</w:t>
      </w:r>
      <w:r>
        <w:rPr>
          <w:rFonts w:ascii="Times New Roman" w:cs="Times New Roman" w:eastAsia="Times New Roman" w:hAnsi="Times New Roman"/>
          <w:sz w:val="15"/>
          <w:szCs w:val="15"/>
          <w:color w:val="auto"/>
        </w:rPr>
        <w:t>) on any Registered Shares to be satisfied by means of a set-off (</w:t>
      </w:r>
      <w:r>
        <w:rPr>
          <w:rFonts w:ascii="Times New Roman" w:cs="Times New Roman" w:eastAsia="Times New Roman" w:hAnsi="Times New Roman"/>
          <w:sz w:val="15"/>
          <w:szCs w:val="15"/>
          <w:i w:val="1"/>
          <w:iCs w:val="1"/>
          <w:color w:val="auto"/>
        </w:rPr>
        <w:t>verrekening</w:t>
      </w:r>
      <w:r>
        <w:rPr>
          <w:rFonts w:ascii="Times New Roman" w:cs="Times New Roman" w:eastAsia="Times New Roman" w:hAnsi="Times New Roman"/>
          <w:sz w:val="15"/>
          <w:szCs w:val="15"/>
          <w:color w:val="auto"/>
        </w:rPr>
        <w:t>), the Company shall have validly effected such set-off of a debt of the Company vis-à-vis the relevant subscriber for such Registered Shares against the Company's claim on such subscriber to pay up such Registered Shares in full in accordance with Section 6:127 DCC, the Company shall have the authority to set off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293370</wp:posOffset>
            </wp:positionV>
            <wp:extent cx="7153275"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0140"/>
          </w:cols>
          <w:pgMar w:left="1440" w:top="498" w:right="319" w:bottom="1440" w:gutter="0" w:footer="0" w:header="0"/>
        </w:sectPr>
      </w:pPr>
    </w:p>
    <w:bookmarkStart w:id="82" w:name="page83"/>
    <w:bookmarkEnd w:id="82"/>
    <w:p>
      <w:pPr>
        <w:ind w:left="32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2272665</wp:posOffset>
            </wp:positionH>
            <wp:positionV relativeFrom="page">
              <wp:posOffset>146685</wp:posOffset>
            </wp:positionV>
            <wp:extent cx="1109980" cy="1816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1109980" cy="181610"/>
                    </a:xfrm>
                    <a:prstGeom prst="rect">
                      <a:avLst/>
                    </a:prstGeom>
                    <a:noFill/>
                  </pic:spPr>
                </pic:pic>
              </a:graphicData>
            </a:graphic>
          </wp:anchor>
        </w:drawing>
        <w:t>4</w:t>
      </w:r>
    </w:p>
    <w:p>
      <w:pPr>
        <w:spacing w:after="0" w:line="288" w:lineRule="exact"/>
        <w:rPr>
          <w:sz w:val="20"/>
          <w:szCs w:val="20"/>
          <w:color w:val="auto"/>
        </w:rPr>
      </w:pPr>
    </w:p>
    <w:p>
      <w:pPr>
        <w:ind w:left="2200"/>
        <w:spacing w:after="0" w:line="289" w:lineRule="auto"/>
        <w:rPr>
          <w:sz w:val="20"/>
          <w:szCs w:val="20"/>
          <w:color w:val="auto"/>
        </w:rPr>
      </w:pPr>
      <w:r>
        <w:rPr>
          <w:rFonts w:ascii="Times New Roman" w:cs="Times New Roman" w:eastAsia="Times New Roman" w:hAnsi="Times New Roman"/>
          <w:sz w:val="15"/>
          <w:szCs w:val="15"/>
          <w:color w:val="auto"/>
        </w:rPr>
        <w:t>debt vis-à-vis such claim and the amount payable by the Company under such debt shall be sufficient to pay up such Registered Shares in full by means of such set-off, in each at the moment when the relevant Registered Shares are issued; and</w:t>
      </w:r>
    </w:p>
    <w:p>
      <w:pPr>
        <w:spacing w:after="0" w:line="129" w:lineRule="exact"/>
        <w:rPr>
          <w:sz w:val="20"/>
          <w:szCs w:val="20"/>
          <w:color w:val="auto"/>
        </w:rPr>
      </w:pPr>
    </w:p>
    <w:p>
      <w:pPr>
        <w:ind w:left="2200" w:right="300" w:hanging="555"/>
        <w:spacing w:after="0" w:line="294" w:lineRule="auto"/>
        <w:tabs>
          <w:tab w:leader="none" w:pos="220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Registered Securities shall be offered to the public (</w:t>
      </w:r>
      <w:r>
        <w:rPr>
          <w:rFonts w:ascii="Times New Roman" w:cs="Times New Roman" w:eastAsia="Times New Roman" w:hAnsi="Times New Roman"/>
          <w:sz w:val="15"/>
          <w:szCs w:val="15"/>
          <w:i w:val="1"/>
          <w:iCs w:val="1"/>
          <w:color w:val="auto"/>
        </w:rPr>
        <w:t>aanbieden aan het publiek</w:t>
      </w:r>
      <w:r>
        <w:rPr>
          <w:rFonts w:ascii="Times New Roman" w:cs="Times New Roman" w:eastAsia="Times New Roman" w:hAnsi="Times New Roman"/>
          <w:sz w:val="15"/>
          <w:szCs w:val="15"/>
          <w:color w:val="auto"/>
        </w:rPr>
        <w:t>) in the Netherlands other than in conformity with the Prospectus Regulation, the PRIIPs Regulation and the rules promulgated thereunder.</w:t>
      </w:r>
    </w:p>
    <w:p>
      <w:pPr>
        <w:spacing w:after="0" w:line="130" w:lineRule="exact"/>
        <w:rPr>
          <w:sz w:val="20"/>
          <w:szCs w:val="20"/>
          <w:color w:val="auto"/>
        </w:rPr>
      </w:pPr>
    </w:p>
    <w:p>
      <w:pPr>
        <w:ind w:left="1640"/>
        <w:spacing w:after="0" w:line="289" w:lineRule="auto"/>
        <w:rPr>
          <w:sz w:val="20"/>
          <w:szCs w:val="20"/>
          <w:color w:val="auto"/>
        </w:rPr>
      </w:pPr>
      <w:r>
        <w:rPr>
          <w:rFonts w:ascii="Times New Roman" w:cs="Times New Roman" w:eastAsia="Times New Roman" w:hAnsi="Times New Roman"/>
          <w:sz w:val="15"/>
          <w:szCs w:val="15"/>
          <w:color w:val="auto"/>
        </w:rPr>
        <w:t>Based upon and subject to the foregoing and subject to the qualifications set forth in this opinion letter and to any matters, documents or events not disclosed to us, we express the following opinions: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Corporate Status</w:t>
      </w:r>
    </w:p>
    <w:p>
      <w:pPr>
        <w:spacing w:after="0" w:line="193" w:lineRule="exact"/>
        <w:rPr>
          <w:sz w:val="20"/>
          <w:szCs w:val="20"/>
          <w:color w:val="auto"/>
        </w:rPr>
      </w:pPr>
    </w:p>
    <w:p>
      <w:pPr>
        <w:ind w:left="2180" w:hanging="535"/>
        <w:spacing w:after="0" w:line="294" w:lineRule="auto"/>
        <w:tabs>
          <w:tab w:leader="none" w:pos="218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Company has been duly incorporated as a </w:t>
      </w:r>
      <w:r>
        <w:rPr>
          <w:rFonts w:ascii="Times New Roman" w:cs="Times New Roman" w:eastAsia="Times New Roman" w:hAnsi="Times New Roman"/>
          <w:sz w:val="15"/>
          <w:szCs w:val="15"/>
          <w:i w:val="1"/>
          <w:iCs w:val="1"/>
          <w:color w:val="auto"/>
        </w:rPr>
        <w:t>besloten vennootschap met beperkte aansprakelijkheid</w:t>
      </w:r>
      <w:r>
        <w:rPr>
          <w:rFonts w:ascii="Times New Roman" w:cs="Times New Roman" w:eastAsia="Times New Roman" w:hAnsi="Times New Roman"/>
          <w:sz w:val="15"/>
          <w:szCs w:val="15"/>
          <w:color w:val="auto"/>
        </w:rPr>
        <w:t xml:space="preserve"> and is validly existing as a </w:t>
      </w:r>
      <w:r>
        <w:rPr>
          <w:rFonts w:ascii="Times New Roman" w:cs="Times New Roman" w:eastAsia="Times New Roman" w:hAnsi="Times New Roman"/>
          <w:sz w:val="15"/>
          <w:szCs w:val="15"/>
          <w:i w:val="1"/>
          <w:iCs w:val="1"/>
          <w:color w:val="auto"/>
        </w:rPr>
        <w:t>naamloze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vennootschap</w:t>
      </w:r>
      <w:r>
        <w:rPr>
          <w:rFonts w:ascii="Times New Roman" w:cs="Times New Roman" w:eastAsia="Times New Roman" w:hAnsi="Times New Roman"/>
          <w:sz w:val="15"/>
          <w:szCs w:val="15"/>
          <w:color w:val="auto"/>
        </w:rPr>
        <w: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Registered Shares</w:t>
      </w:r>
    </w:p>
    <w:p>
      <w:pPr>
        <w:spacing w:after="0" w:line="197" w:lineRule="exact"/>
        <w:rPr>
          <w:sz w:val="20"/>
          <w:szCs w:val="20"/>
          <w:color w:val="auto"/>
        </w:rPr>
      </w:pPr>
    </w:p>
    <w:p>
      <w:pPr>
        <w:jc w:val="both"/>
        <w:ind w:left="2180" w:hanging="535"/>
        <w:spacing w:after="0" w:line="271" w:lineRule="auto"/>
        <w:tabs>
          <w:tab w:leader="none" w:pos="218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receipt by the Company of payment in full for, or other satisfaction of the issue, conversion, exchange or exercise price for, the Registered Shares, and when issued by the Company and accepted by the acquiror(s) thereof, the Registered Shares shall be validly issued, fully paid and non-assessable.</w:t>
      </w:r>
    </w:p>
    <w:p>
      <w:pPr>
        <w:spacing w:after="0" w:line="14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5"/>
          <w:szCs w:val="15"/>
          <w:color w:val="auto"/>
        </w:rPr>
        <w:t>The opinions expressed above are subject to the following qualifications:</w:t>
      </w:r>
    </w:p>
    <w:p>
      <w:pPr>
        <w:spacing w:after="0" w:line="189" w:lineRule="exact"/>
        <w:rPr>
          <w:sz w:val="20"/>
          <w:szCs w:val="20"/>
          <w:color w:val="auto"/>
        </w:rPr>
      </w:pPr>
    </w:p>
    <w:p>
      <w:pPr>
        <w:jc w:val="both"/>
        <w:ind w:left="2180" w:hanging="535"/>
        <w:spacing w:after="0" w:line="267" w:lineRule="auto"/>
        <w:tabs>
          <w:tab w:leader="none" w:pos="218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Opinion 1 must not be read to imply that the Company cannot be dissolved (</w:t>
      </w:r>
      <w:r>
        <w:rPr>
          <w:rFonts w:ascii="Times New Roman" w:cs="Times New Roman" w:eastAsia="Times New Roman" w:hAnsi="Times New Roman"/>
          <w:sz w:val="15"/>
          <w:szCs w:val="15"/>
          <w:i w:val="1"/>
          <w:iCs w:val="1"/>
          <w:color w:val="auto"/>
        </w:rPr>
        <w:t>ontbonden</w:t>
      </w:r>
      <w:r>
        <w:rPr>
          <w:rFonts w:ascii="Times New Roman" w:cs="Times New Roman" w:eastAsia="Times New Roman" w:hAnsi="Times New Roman"/>
          <w:sz w:val="15"/>
          <w:szCs w:val="15"/>
          <w:color w:val="auto"/>
        </w:rPr>
        <w:t>). A company such as the Company may be dissolved, inter alia by the competent court at the request of the company's board of directors, any interested party (</w:t>
      </w:r>
      <w:r>
        <w:rPr>
          <w:rFonts w:ascii="Times New Roman" w:cs="Times New Roman" w:eastAsia="Times New Roman" w:hAnsi="Times New Roman"/>
          <w:sz w:val="15"/>
          <w:szCs w:val="15"/>
          <w:i w:val="1"/>
          <w:iCs w:val="1"/>
          <w:color w:val="auto"/>
        </w:rPr>
        <w:t>belanghebbende</w:t>
      </w:r>
      <w:r>
        <w:rPr>
          <w:rFonts w:ascii="Times New Roman" w:cs="Times New Roman" w:eastAsia="Times New Roman" w:hAnsi="Times New Roman"/>
          <w:sz w:val="15"/>
          <w:szCs w:val="15"/>
          <w:color w:val="auto"/>
        </w:rPr>
        <w:t>) or the public prosecution office in certain circumstances, such as when there are certain defects in the incorporation of the company. Any such dissolution will not have retro-active effect.</w:t>
      </w:r>
    </w:p>
    <w:p>
      <w:pPr>
        <w:spacing w:after="0" w:line="150" w:lineRule="exact"/>
        <w:rPr>
          <w:rFonts w:ascii="Times New Roman" w:cs="Times New Roman" w:eastAsia="Times New Roman" w:hAnsi="Times New Roman"/>
          <w:sz w:val="15"/>
          <w:szCs w:val="15"/>
          <w:color w:val="auto"/>
        </w:rPr>
      </w:pPr>
    </w:p>
    <w:p>
      <w:pPr>
        <w:jc w:val="both"/>
        <w:ind w:left="2180" w:hanging="535"/>
        <w:spacing w:after="0" w:line="266" w:lineRule="auto"/>
        <w:tabs>
          <w:tab w:leader="none" w:pos="218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Pursuant to Section 2:7 DCC, any transaction entered into by a legal entity may be nullified by the legal entity itself or its liquidator in bankruptcy proceedings (</w:t>
      </w:r>
      <w:r>
        <w:rPr>
          <w:rFonts w:ascii="Times New Roman" w:cs="Times New Roman" w:eastAsia="Times New Roman" w:hAnsi="Times New Roman"/>
          <w:sz w:val="15"/>
          <w:szCs w:val="15"/>
          <w:i w:val="1"/>
          <w:iCs w:val="1"/>
          <w:color w:val="auto"/>
        </w:rPr>
        <w:t>curator</w:t>
      </w:r>
      <w:r>
        <w:rPr>
          <w:rFonts w:ascii="Times New Roman" w:cs="Times New Roman" w:eastAsia="Times New Roman" w:hAnsi="Times New Roman"/>
          <w:sz w:val="15"/>
          <w:szCs w:val="15"/>
          <w:color w:val="auto"/>
        </w:rPr>
        <w:t>) if the objects of that entity were transgressed by the transaction and the other party to the transaction knew or should have known this without independent investigation (</w:t>
      </w:r>
      <w:r>
        <w:rPr>
          <w:rFonts w:ascii="Times New Roman" w:cs="Times New Roman" w:eastAsia="Times New Roman" w:hAnsi="Times New Roman"/>
          <w:sz w:val="15"/>
          <w:szCs w:val="15"/>
          <w:i w:val="1"/>
          <w:iCs w:val="1"/>
          <w:color w:val="auto"/>
        </w:rPr>
        <w:t>wist of zonder eigen onderzoek moest weten</w:t>
      </w:r>
      <w:r>
        <w:rPr>
          <w:rFonts w:ascii="Times New Roman" w:cs="Times New Roman" w:eastAsia="Times New Roman" w:hAnsi="Times New Roman"/>
          <w:sz w:val="15"/>
          <w:szCs w:val="15"/>
          <w:color w:val="auto"/>
        </w:rPr>
        <w:t>). The Dutch Supreme Court (</w:t>
      </w:r>
      <w:r>
        <w:rPr>
          <w:rFonts w:ascii="Times New Roman" w:cs="Times New Roman" w:eastAsia="Times New Roman" w:hAnsi="Times New Roman"/>
          <w:sz w:val="15"/>
          <w:szCs w:val="15"/>
          <w:i w:val="1"/>
          <w:iCs w:val="1"/>
          <w:color w:val="auto"/>
        </w:rPr>
        <w:t>Hoge Raad der Nederlanden</w:t>
      </w:r>
      <w:r>
        <w:rPr>
          <w:rFonts w:ascii="Times New Roman" w:cs="Times New Roman" w:eastAsia="Times New Roman" w:hAnsi="Times New Roman"/>
          <w:sz w:val="15"/>
          <w:szCs w:val="15"/>
          <w:color w:val="auto"/>
        </w:rPr>
        <w:t>) has ruled that in determining whether the objects of a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292735</wp:posOffset>
            </wp:positionV>
            <wp:extent cx="7153275"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0720"/>
          </w:cols>
          <w:pgMar w:left="860" w:top="498" w:right="319" w:bottom="1440" w:gutter="0" w:footer="0" w:header="0"/>
        </w:sectPr>
      </w:pPr>
    </w:p>
    <w:bookmarkStart w:id="83" w:name="page84"/>
    <w:bookmarkEnd w:id="83"/>
    <w:p>
      <w:pPr>
        <w:ind w:left="2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2272665</wp:posOffset>
            </wp:positionH>
            <wp:positionV relativeFrom="page">
              <wp:posOffset>146685</wp:posOffset>
            </wp:positionV>
            <wp:extent cx="1109980" cy="1816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1109980" cy="181610"/>
                    </a:xfrm>
                    <a:prstGeom prst="rect">
                      <a:avLst/>
                    </a:prstGeom>
                    <a:noFill/>
                  </pic:spPr>
                </pic:pic>
              </a:graphicData>
            </a:graphic>
          </wp:anchor>
        </w:drawing>
        <w:t>5</w:t>
      </w:r>
    </w:p>
    <w:p>
      <w:pPr>
        <w:spacing w:after="0" w:line="284" w:lineRule="exact"/>
        <w:rPr>
          <w:sz w:val="20"/>
          <w:szCs w:val="20"/>
          <w:color w:val="auto"/>
        </w:rPr>
      </w:pPr>
    </w:p>
    <w:p>
      <w:pPr>
        <w:jc w:val="both"/>
        <w:ind w:left="1620"/>
        <w:spacing w:after="0" w:line="262" w:lineRule="auto"/>
        <w:rPr>
          <w:sz w:val="20"/>
          <w:szCs w:val="20"/>
          <w:color w:val="auto"/>
        </w:rPr>
      </w:pPr>
      <w:r>
        <w:rPr>
          <w:rFonts w:ascii="Times New Roman" w:cs="Times New Roman" w:eastAsia="Times New Roman" w:hAnsi="Times New Roman"/>
          <w:sz w:val="15"/>
          <w:szCs w:val="15"/>
          <w:color w:val="auto"/>
        </w:rPr>
        <w:t>entity are transgressed, not only the description of the objects in that legal entity's articles of association (</w:t>
      </w:r>
      <w:r>
        <w:rPr>
          <w:rFonts w:ascii="Times New Roman" w:cs="Times New Roman" w:eastAsia="Times New Roman" w:hAnsi="Times New Roman"/>
          <w:sz w:val="15"/>
          <w:szCs w:val="15"/>
          <w:i w:val="1"/>
          <w:iCs w:val="1"/>
          <w:color w:val="auto"/>
        </w:rPr>
        <w:t>statuten</w:t>
      </w:r>
      <w:r>
        <w:rPr>
          <w:rFonts w:ascii="Times New Roman" w:cs="Times New Roman" w:eastAsia="Times New Roman" w:hAnsi="Times New Roman"/>
          <w:sz w:val="15"/>
          <w:szCs w:val="15"/>
          <w:color w:val="auto"/>
        </w:rPr>
        <w:t>) is decisive, but all (relevant) circumstances must be taken into account, in particular whether the interests of the legal entity were served by the transaction. Based on the objects clause contained in the Current Articles, we have no reason to believe that, by issuing Registered Securities, the Company would transgress the description of the objects contained in its Articles of Association. However, we cannot assess whether there are other relevant circumstances that must be taken into account, in particular whether the interests of the Company are served by issuing Registered Securities since this is a matter of fact.</w:t>
      </w:r>
    </w:p>
    <w:p>
      <w:pPr>
        <w:spacing w:after="0" w:line="150" w:lineRule="exact"/>
        <w:rPr>
          <w:sz w:val="20"/>
          <w:szCs w:val="20"/>
          <w:color w:val="auto"/>
        </w:rPr>
      </w:pPr>
    </w:p>
    <w:p>
      <w:pPr>
        <w:ind w:left="1600" w:hanging="535"/>
        <w:spacing w:after="0" w:line="262" w:lineRule="auto"/>
        <w:tabs>
          <w:tab w:leader="none" w:pos="160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Pursuant to Section 2:98c DCC, a company such as the Company may grant loans (</w:t>
      </w:r>
      <w:r>
        <w:rPr>
          <w:rFonts w:ascii="Times New Roman" w:cs="Times New Roman" w:eastAsia="Times New Roman" w:hAnsi="Times New Roman"/>
          <w:sz w:val="15"/>
          <w:szCs w:val="15"/>
          <w:i w:val="1"/>
          <w:iCs w:val="1"/>
          <w:color w:val="auto"/>
        </w:rPr>
        <w:t>leningen verstrekken</w:t>
      </w:r>
      <w:r>
        <w:rPr>
          <w:rFonts w:ascii="Times New Roman" w:cs="Times New Roman" w:eastAsia="Times New Roman" w:hAnsi="Times New Roman"/>
          <w:sz w:val="15"/>
          <w:szCs w:val="15"/>
          <w:color w:val="auto"/>
        </w:rPr>
        <w:t>) only in accordance with the restrictions set out in Section 2:98c DCC, and may not provide security (</w:t>
      </w:r>
      <w:r>
        <w:rPr>
          <w:rFonts w:ascii="Times New Roman" w:cs="Times New Roman" w:eastAsia="Times New Roman" w:hAnsi="Times New Roman"/>
          <w:sz w:val="15"/>
          <w:szCs w:val="15"/>
          <w:i w:val="1"/>
          <w:iCs w:val="1"/>
          <w:color w:val="auto"/>
        </w:rPr>
        <w:t>zekerheid stellen</w:t>
      </w:r>
      <w:r>
        <w:rPr>
          <w:rFonts w:ascii="Times New Roman" w:cs="Times New Roman" w:eastAsia="Times New Roman" w:hAnsi="Times New Roman"/>
          <w:sz w:val="15"/>
          <w:szCs w:val="15"/>
          <w:color w:val="auto"/>
        </w:rPr>
        <w:t>), give a price guarantee (</w:t>
      </w:r>
      <w:r>
        <w:rPr>
          <w:rFonts w:ascii="Times New Roman" w:cs="Times New Roman" w:eastAsia="Times New Roman" w:hAnsi="Times New Roman"/>
          <w:sz w:val="15"/>
          <w:szCs w:val="15"/>
          <w:i w:val="1"/>
          <w:iCs w:val="1"/>
          <w:color w:val="auto"/>
        </w:rPr>
        <w:t>koersgarantie geven</w:t>
      </w:r>
      <w:r>
        <w:rPr>
          <w:rFonts w:ascii="Times New Roman" w:cs="Times New Roman" w:eastAsia="Times New Roman" w:hAnsi="Times New Roman"/>
          <w:sz w:val="15"/>
          <w:szCs w:val="15"/>
          <w:color w:val="auto"/>
        </w:rPr>
        <w:t>) or otherwise bind itself, whether jointly and severally or otherwise with or for third parties (</w:t>
      </w:r>
      <w:r>
        <w:rPr>
          <w:rFonts w:ascii="Times New Roman" w:cs="Times New Roman" w:eastAsia="Times New Roman" w:hAnsi="Times New Roman"/>
          <w:sz w:val="15"/>
          <w:szCs w:val="15"/>
          <w:i w:val="1"/>
          <w:iCs w:val="1"/>
          <w:color w:val="auto"/>
        </w:rPr>
        <w:t>zich op andere wijze sterk maken of zich hoofdelijk</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of anderszins naast of voor anderen verbinden</w:t>
      </w:r>
      <w:r>
        <w:rPr>
          <w:rFonts w:ascii="Times New Roman" w:cs="Times New Roman" w:eastAsia="Times New Roman" w:hAnsi="Times New Roman"/>
          <w:sz w:val="15"/>
          <w:szCs w:val="15"/>
          <w:color w:val="auto"/>
        </w:rPr>
        <w:t>) with a view to (</w:t>
      </w:r>
      <w:r>
        <w:rPr>
          <w:rFonts w:ascii="Times New Roman" w:cs="Times New Roman" w:eastAsia="Times New Roman" w:hAnsi="Times New Roman"/>
          <w:sz w:val="15"/>
          <w:szCs w:val="15"/>
          <w:i w:val="1"/>
          <w:iCs w:val="1"/>
          <w:color w:val="auto"/>
        </w:rPr>
        <w:t>met het oog op</w:t>
      </w:r>
      <w:r>
        <w:rPr>
          <w:rFonts w:ascii="Times New Roman" w:cs="Times New Roman" w:eastAsia="Times New Roman" w:hAnsi="Times New Roman"/>
          <w:sz w:val="15"/>
          <w:szCs w:val="15"/>
          <w:color w:val="auto"/>
        </w:rPr>
        <w:t>) the subscription or acquisition by third parties of shares in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its share capital or depository receipts. This prohibition also applies to its subsidiaries (</w:t>
      </w:r>
      <w:r>
        <w:rPr>
          <w:rFonts w:ascii="Times New Roman" w:cs="Times New Roman" w:eastAsia="Times New Roman" w:hAnsi="Times New Roman"/>
          <w:sz w:val="15"/>
          <w:szCs w:val="15"/>
          <w:i w:val="1"/>
          <w:iCs w:val="1"/>
          <w:color w:val="auto"/>
        </w:rPr>
        <w:t>dochtervennootschappen</w:t>
      </w:r>
      <w:r>
        <w:rPr>
          <w:rFonts w:ascii="Times New Roman" w:cs="Times New Roman" w:eastAsia="Times New Roman" w:hAnsi="Times New Roman"/>
          <w:sz w:val="15"/>
          <w:szCs w:val="15"/>
          <w:color w:val="auto"/>
        </w:rPr>
        <w:t>). It is generally assumed that a transaction entered into in violation of Section 2:98c DCC is null and void (</w:t>
      </w:r>
      <w:r>
        <w:rPr>
          <w:rFonts w:ascii="Times New Roman" w:cs="Times New Roman" w:eastAsia="Times New Roman" w:hAnsi="Times New Roman"/>
          <w:sz w:val="15"/>
          <w:szCs w:val="15"/>
          <w:i w:val="1"/>
          <w:iCs w:val="1"/>
          <w:color w:val="auto"/>
        </w:rPr>
        <w:t>nietig</w:t>
      </w:r>
      <w:r>
        <w:rPr>
          <w:rFonts w:ascii="Times New Roman" w:cs="Times New Roman" w:eastAsia="Times New Roman" w:hAnsi="Times New Roman"/>
          <w:sz w:val="15"/>
          <w:szCs w:val="15"/>
          <w:color w:val="auto"/>
        </w:rPr>
        <w:t>).</w:t>
      </w:r>
    </w:p>
    <w:p>
      <w:pPr>
        <w:spacing w:after="0" w:line="153" w:lineRule="exact"/>
        <w:rPr>
          <w:rFonts w:ascii="Times New Roman" w:cs="Times New Roman" w:eastAsia="Times New Roman" w:hAnsi="Times New Roman"/>
          <w:sz w:val="15"/>
          <w:szCs w:val="15"/>
          <w:color w:val="auto"/>
        </w:rPr>
      </w:pPr>
    </w:p>
    <w:p>
      <w:pPr>
        <w:ind w:left="1600" w:hanging="535"/>
        <w:spacing w:after="0"/>
        <w:tabs>
          <w:tab w:leader="none" w:pos="160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opinions expressed in this opinion letter may be limited or affected by:</w:t>
      </w:r>
    </w:p>
    <w:p>
      <w:pPr>
        <w:spacing w:after="0" w:line="193" w:lineRule="exact"/>
        <w:rPr>
          <w:rFonts w:ascii="Times New Roman" w:cs="Times New Roman" w:eastAsia="Times New Roman" w:hAnsi="Times New Roman"/>
          <w:sz w:val="15"/>
          <w:szCs w:val="15"/>
          <w:color w:val="auto"/>
        </w:rPr>
      </w:pPr>
    </w:p>
    <w:p>
      <w:pPr>
        <w:ind w:left="2160" w:hanging="547"/>
        <w:spacing w:after="0" w:line="289" w:lineRule="auto"/>
        <w:tabs>
          <w:tab w:leader="none" w:pos="2160" w:val="left"/>
        </w:tabs>
        <w:numPr>
          <w:ilvl w:val="1"/>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rules relating to Insolvency Proceedings or similar proceedings under a foreign law and other rules affecting creditors' rights generally;</w:t>
      </w:r>
    </w:p>
    <w:p>
      <w:pPr>
        <w:spacing w:after="0" w:line="128" w:lineRule="exact"/>
        <w:rPr>
          <w:rFonts w:ascii="Times New Roman" w:cs="Times New Roman" w:eastAsia="Times New Roman" w:hAnsi="Times New Roman"/>
          <w:sz w:val="15"/>
          <w:szCs w:val="15"/>
          <w:color w:val="auto"/>
        </w:rPr>
      </w:pPr>
    </w:p>
    <w:p>
      <w:pPr>
        <w:ind w:left="2160" w:right="20" w:hanging="547"/>
        <w:spacing w:after="0" w:line="294" w:lineRule="auto"/>
        <w:tabs>
          <w:tab w:leader="none" w:pos="2160" w:val="left"/>
        </w:tabs>
        <w:numPr>
          <w:ilvl w:val="1"/>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provisions of fraudulent preference and fraudulent conveyance (</w:t>
      </w:r>
      <w:r>
        <w:rPr>
          <w:rFonts w:ascii="Times New Roman" w:cs="Times New Roman" w:eastAsia="Times New Roman" w:hAnsi="Times New Roman"/>
          <w:sz w:val="15"/>
          <w:szCs w:val="15"/>
          <w:i w:val="1"/>
          <w:iCs w:val="1"/>
          <w:color w:val="auto"/>
        </w:rPr>
        <w:t>Actio Pauliana</w:t>
      </w:r>
      <w:r>
        <w:rPr>
          <w:rFonts w:ascii="Times New Roman" w:cs="Times New Roman" w:eastAsia="Times New Roman" w:hAnsi="Times New Roman"/>
          <w:sz w:val="15"/>
          <w:szCs w:val="15"/>
          <w:color w:val="auto"/>
        </w:rPr>
        <w:t>) and similar rights available in other jurisdictions to insolvency practitioners and insolvency office holders in bankruptcy proceedings or creditors;</w:t>
      </w:r>
    </w:p>
    <w:p>
      <w:pPr>
        <w:spacing w:after="0" w:line="125" w:lineRule="exact"/>
        <w:rPr>
          <w:rFonts w:ascii="Times New Roman" w:cs="Times New Roman" w:eastAsia="Times New Roman" w:hAnsi="Times New Roman"/>
          <w:sz w:val="15"/>
          <w:szCs w:val="15"/>
          <w:color w:val="auto"/>
        </w:rPr>
      </w:pPr>
    </w:p>
    <w:p>
      <w:pPr>
        <w:ind w:left="2160" w:hanging="547"/>
        <w:spacing w:after="0"/>
        <w:tabs>
          <w:tab w:leader="none" w:pos="2160" w:val="left"/>
        </w:tabs>
        <w:numPr>
          <w:ilvl w:val="1"/>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claims based on tort (</w:t>
      </w:r>
      <w:r>
        <w:rPr>
          <w:rFonts w:ascii="Times New Roman" w:cs="Times New Roman" w:eastAsia="Times New Roman" w:hAnsi="Times New Roman"/>
          <w:sz w:val="15"/>
          <w:szCs w:val="15"/>
          <w:i w:val="1"/>
          <w:iCs w:val="1"/>
          <w:color w:val="auto"/>
        </w:rPr>
        <w:t>onrechtmatige daad</w:t>
      </w:r>
      <w:r>
        <w:rPr>
          <w:rFonts w:ascii="Times New Roman" w:cs="Times New Roman" w:eastAsia="Times New Roman" w:hAnsi="Times New Roman"/>
          <w:sz w:val="15"/>
          <w:szCs w:val="15"/>
          <w:color w:val="auto"/>
        </w:rPr>
        <w:t>);</w:t>
      </w:r>
    </w:p>
    <w:p>
      <w:pPr>
        <w:spacing w:after="0" w:line="197" w:lineRule="exact"/>
        <w:rPr>
          <w:rFonts w:ascii="Times New Roman" w:cs="Times New Roman" w:eastAsia="Times New Roman" w:hAnsi="Times New Roman"/>
          <w:sz w:val="15"/>
          <w:szCs w:val="15"/>
          <w:color w:val="auto"/>
        </w:rPr>
      </w:pPr>
    </w:p>
    <w:p>
      <w:pPr>
        <w:ind w:left="2160" w:right="20" w:hanging="547"/>
        <w:spacing w:after="0" w:line="289" w:lineRule="auto"/>
        <w:tabs>
          <w:tab w:leader="none" w:pos="2160" w:val="left"/>
        </w:tabs>
        <w:numPr>
          <w:ilvl w:val="1"/>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sanctions and measures, including but not limited to those concerning export control, pursuant to European Union regulations, under the Dutch Sanctions Act 1977 (</w:t>
      </w:r>
      <w:r>
        <w:rPr>
          <w:rFonts w:ascii="Times New Roman" w:cs="Times New Roman" w:eastAsia="Times New Roman" w:hAnsi="Times New Roman"/>
          <w:sz w:val="15"/>
          <w:szCs w:val="15"/>
          <w:i w:val="1"/>
          <w:iCs w:val="1"/>
          <w:color w:val="auto"/>
        </w:rPr>
        <w:t>Sanctiewet 1977</w:t>
      </w:r>
      <w:r>
        <w:rPr>
          <w:rFonts w:ascii="Times New Roman" w:cs="Times New Roman" w:eastAsia="Times New Roman" w:hAnsi="Times New Roman"/>
          <w:sz w:val="15"/>
          <w:szCs w:val="15"/>
          <w:color w:val="auto"/>
        </w:rPr>
        <w:t>) or other legislation;</w:t>
      </w:r>
    </w:p>
    <w:p>
      <w:pPr>
        <w:spacing w:after="0" w:line="132" w:lineRule="exact"/>
        <w:rPr>
          <w:rFonts w:ascii="Times New Roman" w:cs="Times New Roman" w:eastAsia="Times New Roman" w:hAnsi="Times New Roman"/>
          <w:sz w:val="15"/>
          <w:szCs w:val="15"/>
          <w:color w:val="auto"/>
        </w:rPr>
      </w:pPr>
    </w:p>
    <w:p>
      <w:pPr>
        <w:ind w:left="2160" w:hanging="547"/>
        <w:spacing w:after="0"/>
        <w:tabs>
          <w:tab w:leader="none" w:pos="2160" w:val="left"/>
        </w:tabs>
        <w:numPr>
          <w:ilvl w:val="1"/>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Anti-Boycott Regulation, Anti Money Laundering Laws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320675</wp:posOffset>
            </wp:positionV>
            <wp:extent cx="7153275"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0140"/>
          </w:cols>
          <w:pgMar w:left="1440" w:top="498" w:right="319" w:bottom="1440" w:gutter="0" w:footer="0" w:header="0"/>
        </w:sectPr>
      </w:pPr>
    </w:p>
    <w:bookmarkStart w:id="84" w:name="page85"/>
    <w:bookmarkEnd w:id="84"/>
    <w:p>
      <w:pPr>
        <w:ind w:left="2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2272665</wp:posOffset>
            </wp:positionH>
            <wp:positionV relativeFrom="page">
              <wp:posOffset>146685</wp:posOffset>
            </wp:positionV>
            <wp:extent cx="1109980" cy="1816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1109980" cy="181610"/>
                    </a:xfrm>
                    <a:prstGeom prst="rect">
                      <a:avLst/>
                    </a:prstGeom>
                    <a:noFill/>
                  </pic:spPr>
                </pic:pic>
              </a:graphicData>
            </a:graphic>
          </wp:anchor>
        </w:drawing>
        <w:t>6</w:t>
      </w:r>
    </w:p>
    <w:p>
      <w:pPr>
        <w:spacing w:after="0" w:line="28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5"/>
          <w:szCs w:val="15"/>
          <w:color w:val="auto"/>
        </w:rPr>
        <w:t>related legislation;</w:t>
      </w:r>
    </w:p>
    <w:p>
      <w:pPr>
        <w:spacing w:after="0" w:line="193" w:lineRule="exact"/>
        <w:rPr>
          <w:sz w:val="20"/>
          <w:szCs w:val="20"/>
          <w:color w:val="auto"/>
        </w:rPr>
      </w:pPr>
    </w:p>
    <w:p>
      <w:pPr>
        <w:ind w:left="2160" w:hanging="547"/>
        <w:spacing w:after="0" w:line="289" w:lineRule="auto"/>
        <w:tabs>
          <w:tab w:leader="none" w:pos="2160" w:val="left"/>
        </w:tabs>
        <w:numPr>
          <w:ilvl w:val="1"/>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intervention, recovery or resolution measure by any regulatory or other authority or governmental body in relation to financial enterprises or their affiliated entities; and</w:t>
      </w:r>
    </w:p>
    <w:p>
      <w:pPr>
        <w:spacing w:after="0" w:line="128" w:lineRule="exact"/>
        <w:rPr>
          <w:rFonts w:ascii="Times New Roman" w:cs="Times New Roman" w:eastAsia="Times New Roman" w:hAnsi="Times New Roman"/>
          <w:sz w:val="15"/>
          <w:szCs w:val="15"/>
          <w:color w:val="auto"/>
        </w:rPr>
      </w:pPr>
    </w:p>
    <w:p>
      <w:pPr>
        <w:jc w:val="both"/>
        <w:ind w:left="2160" w:right="20" w:hanging="547"/>
        <w:spacing w:after="0" w:line="267" w:lineRule="auto"/>
        <w:tabs>
          <w:tab w:leader="none" w:pos="2160" w:val="left"/>
        </w:tabs>
        <w:numPr>
          <w:ilvl w:val="1"/>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rules of force majeure (</w:t>
      </w:r>
      <w:r>
        <w:rPr>
          <w:rFonts w:ascii="Times New Roman" w:cs="Times New Roman" w:eastAsia="Times New Roman" w:hAnsi="Times New Roman"/>
          <w:sz w:val="15"/>
          <w:szCs w:val="15"/>
          <w:i w:val="1"/>
          <w:iCs w:val="1"/>
          <w:color w:val="auto"/>
        </w:rPr>
        <w:t>niet toerekenbare tekortkoming</w:t>
      </w:r>
      <w:r>
        <w:rPr>
          <w:rFonts w:ascii="Times New Roman" w:cs="Times New Roman" w:eastAsia="Times New Roman" w:hAnsi="Times New Roman"/>
          <w:sz w:val="15"/>
          <w:szCs w:val="15"/>
          <w:color w:val="auto"/>
        </w:rPr>
        <w:t>), reasonableness and fairness (</w:t>
      </w:r>
      <w:r>
        <w:rPr>
          <w:rFonts w:ascii="Times New Roman" w:cs="Times New Roman" w:eastAsia="Times New Roman" w:hAnsi="Times New Roman"/>
          <w:sz w:val="15"/>
          <w:szCs w:val="15"/>
          <w:i w:val="1"/>
          <w:iCs w:val="1"/>
          <w:color w:val="auto"/>
        </w:rPr>
        <w:t>redelijkheid en billijkheid</w:t>
      </w:r>
      <w:r>
        <w:rPr>
          <w:rFonts w:ascii="Times New Roman" w:cs="Times New Roman" w:eastAsia="Times New Roman" w:hAnsi="Times New Roman"/>
          <w:sz w:val="15"/>
          <w:szCs w:val="15"/>
          <w:color w:val="auto"/>
        </w:rPr>
        <w:t>), suspension (</w:t>
      </w:r>
      <w:r>
        <w:rPr>
          <w:rFonts w:ascii="Times New Roman" w:cs="Times New Roman" w:eastAsia="Times New Roman" w:hAnsi="Times New Roman"/>
          <w:sz w:val="15"/>
          <w:szCs w:val="15"/>
          <w:i w:val="1"/>
          <w:iCs w:val="1"/>
          <w:color w:val="auto"/>
        </w:rPr>
        <w:t>opschorting</w:t>
      </w:r>
      <w:r>
        <w:rPr>
          <w:rFonts w:ascii="Times New Roman" w:cs="Times New Roman" w:eastAsia="Times New Roman" w:hAnsi="Times New Roman"/>
          <w:sz w:val="15"/>
          <w:szCs w:val="15"/>
          <w:color w:val="auto"/>
        </w:rPr>
        <w:t>), dissolution (</w:t>
      </w:r>
      <w:r>
        <w:rPr>
          <w:rFonts w:ascii="Times New Roman" w:cs="Times New Roman" w:eastAsia="Times New Roman" w:hAnsi="Times New Roman"/>
          <w:sz w:val="15"/>
          <w:szCs w:val="15"/>
          <w:i w:val="1"/>
          <w:iCs w:val="1"/>
          <w:color w:val="auto"/>
        </w:rPr>
        <w:t>ontbinding</w:t>
      </w:r>
      <w:r>
        <w:rPr>
          <w:rFonts w:ascii="Times New Roman" w:cs="Times New Roman" w:eastAsia="Times New Roman" w:hAnsi="Times New Roman"/>
          <w:sz w:val="15"/>
          <w:szCs w:val="15"/>
          <w:color w:val="auto"/>
        </w:rPr>
        <w:t>), unforeseen circumstances (</w:t>
      </w:r>
      <w:r>
        <w:rPr>
          <w:rFonts w:ascii="Times New Roman" w:cs="Times New Roman" w:eastAsia="Times New Roman" w:hAnsi="Times New Roman"/>
          <w:sz w:val="15"/>
          <w:szCs w:val="15"/>
          <w:i w:val="1"/>
          <w:iCs w:val="1"/>
          <w:color w:val="auto"/>
        </w:rPr>
        <w:t>onvoorziene omstandigheden</w:t>
      </w:r>
      <w:r>
        <w:rPr>
          <w:rFonts w:ascii="Times New Roman" w:cs="Times New Roman" w:eastAsia="Times New Roman" w:hAnsi="Times New Roman"/>
          <w:sz w:val="15"/>
          <w:szCs w:val="15"/>
          <w:color w:val="auto"/>
        </w:rPr>
        <w:t>) and vitiated consent (i.e., duress (</w:t>
      </w:r>
      <w:r>
        <w:rPr>
          <w:rFonts w:ascii="Times New Roman" w:cs="Times New Roman" w:eastAsia="Times New Roman" w:hAnsi="Times New Roman"/>
          <w:sz w:val="15"/>
          <w:szCs w:val="15"/>
          <w:i w:val="1"/>
          <w:iCs w:val="1"/>
          <w:color w:val="auto"/>
        </w:rPr>
        <w:t>bedreiging</w:t>
      </w:r>
      <w:r>
        <w:rPr>
          <w:rFonts w:ascii="Times New Roman" w:cs="Times New Roman" w:eastAsia="Times New Roman" w:hAnsi="Times New Roman"/>
          <w:sz w:val="15"/>
          <w:szCs w:val="15"/>
          <w:color w:val="auto"/>
        </w:rPr>
        <w:t>), fraud (</w:t>
      </w:r>
      <w:r>
        <w:rPr>
          <w:rFonts w:ascii="Times New Roman" w:cs="Times New Roman" w:eastAsia="Times New Roman" w:hAnsi="Times New Roman"/>
          <w:sz w:val="15"/>
          <w:szCs w:val="15"/>
          <w:i w:val="1"/>
          <w:iCs w:val="1"/>
          <w:color w:val="auto"/>
        </w:rPr>
        <w:t>bedrog</w:t>
      </w:r>
      <w:r>
        <w:rPr>
          <w:rFonts w:ascii="Times New Roman" w:cs="Times New Roman" w:eastAsia="Times New Roman" w:hAnsi="Times New Roman"/>
          <w:sz w:val="15"/>
          <w:szCs w:val="15"/>
          <w:color w:val="auto"/>
        </w:rPr>
        <w:t>), abuse of circumstances (</w:t>
      </w:r>
      <w:r>
        <w:rPr>
          <w:rFonts w:ascii="Times New Roman" w:cs="Times New Roman" w:eastAsia="Times New Roman" w:hAnsi="Times New Roman"/>
          <w:sz w:val="15"/>
          <w:szCs w:val="15"/>
          <w:i w:val="1"/>
          <w:iCs w:val="1"/>
          <w:color w:val="auto"/>
        </w:rPr>
        <w:t>misbruik van omstandigheden</w:t>
      </w:r>
      <w:r>
        <w:rPr>
          <w:rFonts w:ascii="Times New Roman" w:cs="Times New Roman" w:eastAsia="Times New Roman" w:hAnsi="Times New Roman"/>
          <w:sz w:val="15"/>
          <w:szCs w:val="15"/>
          <w:color w:val="auto"/>
        </w:rPr>
        <w:t>) and error (</w:t>
      </w:r>
      <w:r>
        <w:rPr>
          <w:rFonts w:ascii="Times New Roman" w:cs="Times New Roman" w:eastAsia="Times New Roman" w:hAnsi="Times New Roman"/>
          <w:sz w:val="15"/>
          <w:szCs w:val="15"/>
          <w:i w:val="1"/>
          <w:iCs w:val="1"/>
          <w:color w:val="auto"/>
        </w:rPr>
        <w:t>dwaling</w:t>
      </w:r>
      <w:r>
        <w:rPr>
          <w:rFonts w:ascii="Times New Roman" w:cs="Times New Roman" w:eastAsia="Times New Roman" w:hAnsi="Times New Roman"/>
          <w:sz w:val="15"/>
          <w:szCs w:val="15"/>
          <w:color w:val="auto"/>
        </w:rPr>
        <w:t>)) or a difference of intention (</w:t>
      </w:r>
      <w:r>
        <w:rPr>
          <w:rFonts w:ascii="Times New Roman" w:cs="Times New Roman" w:eastAsia="Times New Roman" w:hAnsi="Times New Roman"/>
          <w:sz w:val="15"/>
          <w:szCs w:val="15"/>
          <w:i w:val="1"/>
          <w:iCs w:val="1"/>
          <w:color w:val="auto"/>
        </w:rPr>
        <w:t>wil</w:t>
      </w:r>
      <w:r>
        <w:rPr>
          <w:rFonts w:ascii="Times New Roman" w:cs="Times New Roman" w:eastAsia="Times New Roman" w:hAnsi="Times New Roman"/>
          <w:sz w:val="15"/>
          <w:szCs w:val="15"/>
          <w:color w:val="auto"/>
        </w:rPr>
        <w:t>) and declaration (</w:t>
      </w:r>
      <w:r>
        <w:rPr>
          <w:rFonts w:ascii="Times New Roman" w:cs="Times New Roman" w:eastAsia="Times New Roman" w:hAnsi="Times New Roman"/>
          <w:sz w:val="15"/>
          <w:szCs w:val="15"/>
          <w:i w:val="1"/>
          <w:iCs w:val="1"/>
          <w:color w:val="auto"/>
        </w:rPr>
        <w:t>verklaring</w:t>
      </w:r>
      <w:r>
        <w:rPr>
          <w:rFonts w:ascii="Times New Roman" w:cs="Times New Roman" w:eastAsia="Times New Roman" w:hAnsi="Times New Roman"/>
          <w:sz w:val="15"/>
          <w:szCs w:val="15"/>
          <w:color w:val="auto"/>
        </w:rPr>
        <w:t>).</w:t>
      </w:r>
    </w:p>
    <w:p>
      <w:pPr>
        <w:spacing w:after="0" w:line="150" w:lineRule="exact"/>
        <w:rPr>
          <w:rFonts w:ascii="Times New Roman" w:cs="Times New Roman" w:eastAsia="Times New Roman" w:hAnsi="Times New Roman"/>
          <w:sz w:val="15"/>
          <w:szCs w:val="15"/>
          <w:color w:val="auto"/>
        </w:rPr>
      </w:pPr>
    </w:p>
    <w:p>
      <w:pPr>
        <w:jc w:val="both"/>
        <w:ind w:left="1600" w:hanging="535"/>
        <w:spacing w:after="0" w:line="271" w:lineRule="auto"/>
        <w:tabs>
          <w:tab w:leader="none" w:pos="160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 "non-assessable" has no equivalent in the Dutch language and for purposes of this opinion letter such term should be interpreted to mean that a holder of an Ordinary Share shall not by reason of merely being such a holder be subject to assessment or calls by the Company or its creditors for further payment on such Ordinary Share.</w:t>
      </w:r>
    </w:p>
    <w:p>
      <w:pPr>
        <w:spacing w:after="0" w:line="146" w:lineRule="exact"/>
        <w:rPr>
          <w:rFonts w:ascii="Times New Roman" w:cs="Times New Roman" w:eastAsia="Times New Roman" w:hAnsi="Times New Roman"/>
          <w:sz w:val="15"/>
          <w:szCs w:val="15"/>
          <w:color w:val="auto"/>
        </w:rPr>
      </w:pPr>
    </w:p>
    <w:p>
      <w:pPr>
        <w:ind w:left="1600" w:hanging="535"/>
        <w:spacing w:after="0" w:line="289" w:lineRule="auto"/>
        <w:tabs>
          <w:tab w:leader="none" w:pos="160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opinion letter does not purport to express any opinion or view on the operational rules and procedures of any clearing or settlement system or agency.</w:t>
      </w:r>
    </w:p>
    <w:p>
      <w:pPr>
        <w:spacing w:after="0" w:line="133" w:lineRule="exact"/>
        <w:rPr>
          <w:sz w:val="20"/>
          <w:szCs w:val="20"/>
          <w:color w:val="auto"/>
        </w:rPr>
      </w:pPr>
    </w:p>
    <w:p>
      <w:pPr>
        <w:jc w:val="both"/>
        <w:ind w:left="1060"/>
        <w:spacing w:after="0" w:line="271" w:lineRule="auto"/>
        <w:rPr>
          <w:sz w:val="20"/>
          <w:szCs w:val="20"/>
          <w:color w:val="auto"/>
        </w:rPr>
      </w:pPr>
      <w:r>
        <w:rPr>
          <w:rFonts w:ascii="Times New Roman" w:cs="Times New Roman" w:eastAsia="Times New Roman" w:hAnsi="Times New Roman"/>
          <w:sz w:val="15"/>
          <w:szCs w:val="15"/>
          <w:color w:val="auto"/>
        </w:rPr>
        <w:t>We consent to the filing of this opinion letter as an exhibit to the Registration Statement and also consent to the reference to NautaDutilh in the Registration Statement under the caption "Legal Matters". In giving this consent we do not admit or imply that we are a person whose consent is required under Section 7 of the United States Securities Act of 1933, as amended, or any rules and regulations promulgated thereunder.</w:t>
      </w:r>
    </w:p>
    <w:p>
      <w:pPr>
        <w:spacing w:after="0" w:line="14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color w:val="auto"/>
        </w:rPr>
        <w:t>Sincerely yours,</w:t>
      </w:r>
    </w:p>
    <w:p>
      <w:pPr>
        <w:spacing w:after="0" w:line="19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color w:val="auto"/>
        </w:rPr>
        <w:t>/s/ NautaDutilh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320675</wp:posOffset>
            </wp:positionV>
            <wp:extent cx="7153275"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0140"/>
          </w:cols>
          <w:pgMar w:left="1440" w:top="498" w:right="319" w:bottom="1440" w:gutter="0" w:footer="0" w:header="0"/>
        </w:sectPr>
      </w:pPr>
    </w:p>
    <w:bookmarkStart w:id="85" w:name="page86"/>
    <w:bookmarkEnd w:id="85"/>
    <w:p>
      <w:pPr>
        <w:ind w:left="27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2272665</wp:posOffset>
            </wp:positionH>
            <wp:positionV relativeFrom="page">
              <wp:posOffset>146685</wp:posOffset>
            </wp:positionV>
            <wp:extent cx="1109980" cy="1816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1109980" cy="181610"/>
                    </a:xfrm>
                    <a:prstGeom prst="rect">
                      <a:avLst/>
                    </a:prstGeom>
                    <a:noFill/>
                  </pic:spPr>
                </pic:pic>
              </a:graphicData>
            </a:graphic>
          </wp:anchor>
        </w:drawing>
        <w:t>7</w:t>
      </w:r>
    </w:p>
    <w:p>
      <w:pPr>
        <w:spacing w:after="0" w:line="28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5"/>
          <w:szCs w:val="15"/>
          <w:b w:val="1"/>
          <w:bCs w:val="1"/>
          <w:color w:val="auto"/>
        </w:rPr>
        <w:t>EXHIBIT A</w:t>
      </w:r>
    </w:p>
    <w:p>
      <w:pPr>
        <w:spacing w:after="0" w:line="193"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15"/>
          <w:szCs w:val="15"/>
          <w:b w:val="1"/>
          <w:bCs w:val="1"/>
          <w:color w:val="auto"/>
        </w:rPr>
        <w:t>LIST OF DEFINITIONS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Anti Money Laundering Laws</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Anti-Boycott Regulation</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Articles of Association</w:t>
      </w:r>
      <w:r>
        <w:rPr>
          <w:rFonts w:ascii="Times New Roman" w:cs="Times New Roman" w:eastAsia="Times New Roman" w:hAnsi="Times New Roman"/>
          <w:sz w:val="15"/>
          <w:szCs w:val="15"/>
          <w:color w:val="auto"/>
        </w:rPr>
        <w: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Bankruptcy Code</w:t>
      </w:r>
      <w:r>
        <w:rPr>
          <w:rFonts w:ascii="Times New Roman" w:cs="Times New Roman" w:eastAsia="Times New Roman" w:hAnsi="Times New Roman"/>
          <w:sz w:val="15"/>
          <w:szCs w:val="15"/>
          <w:color w:val="auto"/>
        </w:rPr>
        <w: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Commercial Register</w:t>
      </w:r>
      <w:r>
        <w:rPr>
          <w:rFonts w:ascii="Times New Roman" w:cs="Times New Roman" w:eastAsia="Times New Roman" w:hAnsi="Times New Roman"/>
          <w:sz w:val="15"/>
          <w:szCs w:val="15"/>
          <w:color w:val="auto"/>
        </w:rPr>
        <w: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Corporate Documents</w:t>
      </w:r>
      <w:r>
        <w:rPr>
          <w:rFonts w:ascii="Times New Roman" w:cs="Times New Roman" w:eastAsia="Times New Roman" w:hAnsi="Times New Roman"/>
          <w:sz w:val="15"/>
          <w:szCs w:val="15"/>
          <w:color w:val="auto"/>
        </w:rPr>
        <w: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Current Articles</w:t>
      </w:r>
      <w:r>
        <w:rPr>
          <w:rFonts w:ascii="Times New Roman" w:cs="Times New Roman" w:eastAsia="Times New Roman" w:hAnsi="Times New Roman"/>
          <w:sz w:val="15"/>
          <w:szCs w:val="15"/>
          <w:color w:val="auto"/>
        </w:rPr>
        <w:t>"</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DCC</w:t>
      </w:r>
      <w:r>
        <w:rPr>
          <w:rFonts w:ascii="Times New Roman" w:cs="Times New Roman" w:eastAsia="Times New Roman" w:hAnsi="Times New Roman"/>
          <w:sz w:val="15"/>
          <w:szCs w:val="15"/>
          <w:color w:val="auto"/>
        </w:rPr>
        <w: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Debt Securities</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5"/>
          <w:szCs w:val="15"/>
          <w:color w:val="auto"/>
        </w:rPr>
        <w:t>The European Anti-Money Laundering Directives, as implemented in the Netherlands in the Money Laundering and Terrorist Financing Prevention Act (</w:t>
      </w:r>
      <w:r>
        <w:rPr>
          <w:rFonts w:ascii="Times New Roman" w:cs="Times New Roman" w:eastAsia="Times New Roman" w:hAnsi="Times New Roman"/>
          <w:sz w:val="15"/>
          <w:szCs w:val="15"/>
          <w:i w:val="1"/>
          <w:iCs w:val="1"/>
          <w:color w:val="auto"/>
        </w:rPr>
        <w:t>Wet ter voorkoming van witwassen en financieren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van terrorisme</w:t>
      </w:r>
      <w:r>
        <w:rPr>
          <w:rFonts w:ascii="Times New Roman" w:cs="Times New Roman" w:eastAsia="Times New Roman" w:hAnsi="Times New Roman"/>
          <w:sz w:val="15"/>
          <w:szCs w:val="15"/>
          <w:color w:val="auto"/>
        </w:rPr>
        <w:t>) and the Dutch Criminal Code (</w:t>
      </w:r>
      <w:r>
        <w:rPr>
          <w:rFonts w:ascii="Times New Roman" w:cs="Times New Roman" w:eastAsia="Times New Roman" w:hAnsi="Times New Roman"/>
          <w:sz w:val="15"/>
          <w:szCs w:val="15"/>
          <w:i w:val="1"/>
          <w:iCs w:val="1"/>
          <w:color w:val="auto"/>
        </w:rPr>
        <w:t>Wetboek van Strafrecht</w:t>
      </w:r>
      <w:r>
        <w:rPr>
          <w:rFonts w:ascii="Times New Roman" w:cs="Times New Roman" w:eastAsia="Times New Roman" w:hAnsi="Times New Roman"/>
          <w:sz w:val="15"/>
          <w:szCs w:val="15"/>
          <w:color w:val="auto"/>
        </w:rPr>
        <w:t>).</w:t>
      </w:r>
    </w:p>
    <w:p>
      <w:pPr>
        <w:spacing w:after="0" w:line="5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5"/>
          <w:szCs w:val="15"/>
          <w:color w:val="auto"/>
        </w:rPr>
        <w:t>The Council Regulation (EC) No 2271/96 of 22 November 1996 on protecting against the effects of the extra-territorial application of legislation adopted by a third country, and actions based thereon or resulting therefrom.</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Company's articles of association (</w:t>
      </w:r>
      <w:r>
        <w:rPr>
          <w:rFonts w:ascii="Times New Roman" w:cs="Times New Roman" w:eastAsia="Times New Roman" w:hAnsi="Times New Roman"/>
          <w:sz w:val="15"/>
          <w:szCs w:val="15"/>
          <w:i w:val="1"/>
          <w:iCs w:val="1"/>
          <w:color w:val="auto"/>
        </w:rPr>
        <w:t>statuten</w:t>
      </w:r>
      <w:r>
        <w:rPr>
          <w:rFonts w:ascii="Times New Roman" w:cs="Times New Roman" w:eastAsia="Times New Roman" w:hAnsi="Times New Roman"/>
          <w:sz w:val="15"/>
          <w:szCs w:val="15"/>
          <w:color w:val="auto"/>
        </w:rPr>
        <w:t>) as they read from time to time.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Dutch Bankruptcy Code (</w:t>
      </w:r>
      <w:r>
        <w:rPr>
          <w:rFonts w:ascii="Times New Roman" w:cs="Times New Roman" w:eastAsia="Times New Roman" w:hAnsi="Times New Roman"/>
          <w:sz w:val="15"/>
          <w:szCs w:val="15"/>
          <w:i w:val="1"/>
          <w:iCs w:val="1"/>
          <w:color w:val="auto"/>
        </w:rPr>
        <w:t>Faillissementswet</w:t>
      </w:r>
      <w:r>
        <w:rPr>
          <w:rFonts w:ascii="Times New Roman" w:cs="Times New Roman" w:eastAsia="Times New Roman" w:hAnsi="Times New Roman"/>
          <w:sz w:val="15"/>
          <w:szCs w:val="15"/>
          <w:color w:val="auto"/>
        </w:rPr>
        <w: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Dutch Commercial Register (</w:t>
      </w:r>
      <w:r>
        <w:rPr>
          <w:rFonts w:ascii="Times New Roman" w:cs="Times New Roman" w:eastAsia="Times New Roman" w:hAnsi="Times New Roman"/>
          <w:sz w:val="15"/>
          <w:szCs w:val="15"/>
          <w:i w:val="1"/>
          <w:iCs w:val="1"/>
          <w:color w:val="auto"/>
        </w:rPr>
        <w:t>handelsregister</w:t>
      </w:r>
      <w:r>
        <w:rPr>
          <w:rFonts w:ascii="Times New Roman" w:cs="Times New Roman" w:eastAsia="Times New Roman" w:hAnsi="Times New Roman"/>
          <w:sz w:val="15"/>
          <w:szCs w:val="15"/>
          <w:color w:val="auto"/>
        </w:rPr>
        <w:t>).</w:t>
      </w:r>
    </w:p>
    <w:p>
      <w:pPr>
        <w:spacing w:after="0" w:line="102"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5"/>
          <w:szCs w:val="15"/>
          <w:color w:val="auto"/>
        </w:rPr>
        <w:t>Immatics N.V., a public company with limited liability (</w:t>
      </w:r>
      <w:r>
        <w:rPr>
          <w:rFonts w:ascii="Times New Roman" w:cs="Times New Roman" w:eastAsia="Times New Roman" w:hAnsi="Times New Roman"/>
          <w:sz w:val="15"/>
          <w:szCs w:val="15"/>
          <w:i w:val="1"/>
          <w:iCs w:val="1"/>
          <w:color w:val="auto"/>
        </w:rPr>
        <w:t>naamloze vennootschap</w:t>
      </w:r>
      <w:r>
        <w:rPr>
          <w:rFonts w:ascii="Times New Roman" w:cs="Times New Roman" w:eastAsia="Times New Roman" w:hAnsi="Times New Roman"/>
          <w:sz w:val="15"/>
          <w:szCs w:val="15"/>
          <w:color w:val="auto"/>
        </w:rPr>
        <w:t>), registered with the Commercial Register under number 77595726.</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Deed of Incorporation, the Deed of Conversion and the Current Articles.</w:t>
      </w:r>
    </w:p>
    <w:p>
      <w:pPr>
        <w:spacing w:after="0" w:line="10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5"/>
          <w:szCs w:val="15"/>
          <w:color w:val="auto"/>
        </w:rPr>
        <w:t>The Articles of Association as contained in the Deed of Conversion and as they read as of July 1, 2021 pursuant to the transitional provision previously included in the Articles of Association as article 51.</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Dutch Civil Code (</w:t>
      </w:r>
      <w:r>
        <w:rPr>
          <w:rFonts w:ascii="Times New Roman" w:cs="Times New Roman" w:eastAsia="Times New Roman" w:hAnsi="Times New Roman"/>
          <w:sz w:val="15"/>
          <w:szCs w:val="15"/>
          <w:i w:val="1"/>
          <w:iCs w:val="1"/>
          <w:color w:val="auto"/>
        </w:rPr>
        <w:t>Burgerlijk Wetboek</w:t>
      </w:r>
      <w:r>
        <w:rPr>
          <w:rFonts w:ascii="Times New Roman" w:cs="Times New Roman" w:eastAsia="Times New Roman" w:hAnsi="Times New Roman"/>
          <w:sz w:val="15"/>
          <w:szCs w:val="15"/>
          <w:color w:val="auto"/>
        </w:rPr>
        <w: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One or more series of debt securities issuable by the Company and registered pursuant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-3154680</wp:posOffset>
            </wp:positionH>
            <wp:positionV relativeFrom="paragraph">
              <wp:posOffset>233680</wp:posOffset>
            </wp:positionV>
            <wp:extent cx="715327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2">
            <w:col w:w="3240" w:space="720"/>
            <w:col w:w="6300"/>
          </w:cols>
          <w:pgMar w:left="1320" w:top="498" w:right="31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17"/>
        </w:trPr>
        <w:tc>
          <w:tcPr>
            <w:tcW w:w="3200" w:type="dxa"/>
            <w:vAlign w:val="bottom"/>
          </w:tcPr>
          <w:p>
            <w:pPr>
              <w:spacing w:after="0"/>
              <w:rPr>
                <w:sz w:val="18"/>
                <w:szCs w:val="18"/>
                <w:color w:val="auto"/>
              </w:rPr>
            </w:pPr>
          </w:p>
        </w:tc>
        <w:tc>
          <w:tcPr>
            <w:tcW w:w="806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8</w:t>
            </w:r>
          </w:p>
        </w:tc>
      </w:tr>
      <w:tr>
        <w:trPr>
          <w:trHeight w:val="510"/>
        </w:trPr>
        <w:tc>
          <w:tcPr>
            <w:tcW w:w="3200" w:type="dxa"/>
            <w:vAlign w:val="bottom"/>
          </w:tcPr>
          <w:p>
            <w:pPr>
              <w:spacing w:after="0"/>
              <w:rPr>
                <w:sz w:val="24"/>
                <w:szCs w:val="24"/>
                <w:color w:val="auto"/>
              </w:rPr>
            </w:pPr>
          </w:p>
        </w:tc>
        <w:tc>
          <w:tcPr>
            <w:tcW w:w="8060" w:type="dxa"/>
            <w:vAlign w:val="bottom"/>
          </w:tcPr>
          <w:p>
            <w:pPr>
              <w:ind w:left="1760"/>
              <w:spacing w:after="0"/>
              <w:rPr>
                <w:sz w:val="20"/>
                <w:szCs w:val="20"/>
                <w:color w:val="auto"/>
              </w:rPr>
            </w:pPr>
            <w:r>
              <w:rPr>
                <w:rFonts w:ascii="Times New Roman" w:cs="Times New Roman" w:eastAsia="Times New Roman" w:hAnsi="Times New Roman"/>
                <w:sz w:val="15"/>
                <w:szCs w:val="15"/>
                <w:color w:val="auto"/>
              </w:rPr>
              <w:t>Registration Statement.</w:t>
            </w:r>
          </w:p>
        </w:tc>
      </w:tr>
      <w:tr>
        <w:trPr>
          <w:trHeight w:val="274"/>
        </w:trPr>
        <w:tc>
          <w:tcPr>
            <w:tcW w:w="3200" w:type="dxa"/>
            <w:vAlign w:val="bottom"/>
          </w:tcPr>
          <w:p>
            <w:pPr>
              <w:ind w:left="10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Deed of Conversion</w:t>
            </w:r>
            <w:r>
              <w:rPr>
                <w:rFonts w:ascii="Times New Roman" w:cs="Times New Roman" w:eastAsia="Times New Roman" w:hAnsi="Times New Roman"/>
                <w:sz w:val="15"/>
                <w:szCs w:val="15"/>
                <w:color w:val="auto"/>
              </w:rPr>
              <w:t>"</w:t>
            </w:r>
          </w:p>
        </w:tc>
        <w:tc>
          <w:tcPr>
            <w:tcW w:w="8060" w:type="dxa"/>
            <w:vAlign w:val="bottom"/>
          </w:tcPr>
          <w:p>
            <w:pPr>
              <w:ind w:left="1760"/>
              <w:spacing w:after="0"/>
              <w:rPr>
                <w:sz w:val="20"/>
                <w:szCs w:val="20"/>
                <w:color w:val="auto"/>
              </w:rPr>
            </w:pPr>
            <w:r>
              <w:rPr>
                <w:rFonts w:ascii="Times New Roman" w:cs="Times New Roman" w:eastAsia="Times New Roman" w:hAnsi="Times New Roman"/>
                <w:sz w:val="15"/>
                <w:szCs w:val="15"/>
                <w:color w:val="auto"/>
              </w:rPr>
              <w:t>The deed of conversion and amendment to the Articles of Association dated 1 July 2020.</w:t>
            </w:r>
          </w:p>
        </w:tc>
      </w:tr>
      <w:tr>
        <w:trPr>
          <w:trHeight w:val="274"/>
        </w:trPr>
        <w:tc>
          <w:tcPr>
            <w:tcW w:w="3200" w:type="dxa"/>
            <w:vAlign w:val="bottom"/>
          </w:tcPr>
          <w:p>
            <w:pPr>
              <w:ind w:left="10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Deed of Incorporation</w:t>
            </w:r>
            <w:r>
              <w:rPr>
                <w:rFonts w:ascii="Times New Roman" w:cs="Times New Roman" w:eastAsia="Times New Roman" w:hAnsi="Times New Roman"/>
                <w:sz w:val="15"/>
                <w:szCs w:val="15"/>
                <w:color w:val="auto"/>
              </w:rPr>
              <w:t>"</w:t>
            </w:r>
          </w:p>
        </w:tc>
        <w:tc>
          <w:tcPr>
            <w:tcW w:w="8060" w:type="dxa"/>
            <w:vAlign w:val="bottom"/>
          </w:tcPr>
          <w:p>
            <w:pPr>
              <w:ind w:left="1760"/>
              <w:spacing w:after="0"/>
              <w:rPr>
                <w:sz w:val="20"/>
                <w:szCs w:val="20"/>
                <w:color w:val="auto"/>
              </w:rPr>
            </w:pPr>
            <w:r>
              <w:rPr>
                <w:rFonts w:ascii="Times New Roman" w:cs="Times New Roman" w:eastAsia="Times New Roman" w:hAnsi="Times New Roman"/>
                <w:sz w:val="15"/>
                <w:szCs w:val="15"/>
                <w:color w:val="auto"/>
              </w:rPr>
              <w:t>The Company's deed of incorporation (</w:t>
            </w:r>
            <w:r>
              <w:rPr>
                <w:rFonts w:ascii="Times New Roman" w:cs="Times New Roman" w:eastAsia="Times New Roman" w:hAnsi="Times New Roman"/>
                <w:sz w:val="15"/>
                <w:szCs w:val="15"/>
                <w:i w:val="1"/>
                <w:iCs w:val="1"/>
                <w:color w:val="auto"/>
              </w:rPr>
              <w:t>akte van oprichting</w:t>
            </w:r>
            <w:r>
              <w:rPr>
                <w:rFonts w:ascii="Times New Roman" w:cs="Times New Roman" w:eastAsia="Times New Roman" w:hAnsi="Times New Roman"/>
                <w:sz w:val="15"/>
                <w:szCs w:val="15"/>
                <w:color w:val="auto"/>
              </w:rPr>
              <w:t>) dated 10 March 2020.</w:t>
            </w:r>
          </w:p>
        </w:tc>
      </w:tr>
      <w:tr>
        <w:trPr>
          <w:trHeight w:val="259"/>
        </w:trPr>
        <w:tc>
          <w:tcPr>
            <w:tcW w:w="3200" w:type="dxa"/>
            <w:vAlign w:val="bottom"/>
          </w:tcPr>
          <w:p>
            <w:pPr>
              <w:ind w:left="10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eIDAS Regulation</w:t>
            </w:r>
            <w:r>
              <w:rPr>
                <w:rFonts w:ascii="Times New Roman" w:cs="Times New Roman" w:eastAsia="Times New Roman" w:hAnsi="Times New Roman"/>
                <w:sz w:val="15"/>
                <w:szCs w:val="15"/>
                <w:color w:val="auto"/>
              </w:rPr>
              <w:t>"</w:t>
            </w:r>
          </w:p>
        </w:tc>
        <w:tc>
          <w:tcPr>
            <w:tcW w:w="8060" w:type="dxa"/>
            <w:vAlign w:val="bottom"/>
          </w:tcPr>
          <w:p>
            <w:pPr>
              <w:ind w:left="1760"/>
              <w:spacing w:after="0"/>
              <w:rPr>
                <w:sz w:val="20"/>
                <w:szCs w:val="20"/>
                <w:color w:val="auto"/>
              </w:rPr>
            </w:pPr>
            <w:r>
              <w:rPr>
                <w:rFonts w:ascii="Times New Roman" w:cs="Times New Roman" w:eastAsia="Times New Roman" w:hAnsi="Times New Roman"/>
                <w:sz w:val="15"/>
                <w:szCs w:val="15"/>
                <w:color w:val="auto"/>
              </w:rPr>
              <w:t>Regulation (EU) No 910/2014 of the European Parliament and of the Council of 23 July 2014 on</w:t>
            </w:r>
          </w:p>
        </w:tc>
      </w:tr>
      <w:tr>
        <w:trPr>
          <w:trHeight w:val="183"/>
        </w:trPr>
        <w:tc>
          <w:tcPr>
            <w:tcW w:w="3200" w:type="dxa"/>
            <w:vAlign w:val="bottom"/>
          </w:tcPr>
          <w:p>
            <w:pPr>
              <w:spacing w:after="0"/>
              <w:rPr>
                <w:sz w:val="15"/>
                <w:szCs w:val="15"/>
                <w:color w:val="auto"/>
              </w:rPr>
            </w:pPr>
          </w:p>
        </w:tc>
        <w:tc>
          <w:tcPr>
            <w:tcW w:w="8060" w:type="dxa"/>
            <w:vAlign w:val="bottom"/>
          </w:tcPr>
          <w:p>
            <w:pPr>
              <w:ind w:left="1760"/>
              <w:spacing w:after="0"/>
              <w:rPr>
                <w:sz w:val="20"/>
                <w:szCs w:val="20"/>
                <w:color w:val="auto"/>
              </w:rPr>
            </w:pPr>
            <w:r>
              <w:rPr>
                <w:rFonts w:ascii="Times New Roman" w:cs="Times New Roman" w:eastAsia="Times New Roman" w:hAnsi="Times New Roman"/>
                <w:sz w:val="15"/>
                <w:szCs w:val="15"/>
                <w:color w:val="auto"/>
              </w:rPr>
              <w:t>electronic identification and trust services for electronic transactions in the internal market and</w:t>
            </w:r>
          </w:p>
        </w:tc>
      </w:tr>
      <w:tr>
        <w:trPr>
          <w:trHeight w:val="198"/>
        </w:trPr>
        <w:tc>
          <w:tcPr>
            <w:tcW w:w="3200" w:type="dxa"/>
            <w:vAlign w:val="bottom"/>
          </w:tcPr>
          <w:p>
            <w:pPr>
              <w:spacing w:after="0"/>
              <w:rPr>
                <w:sz w:val="17"/>
                <w:szCs w:val="17"/>
                <w:color w:val="auto"/>
              </w:rPr>
            </w:pPr>
          </w:p>
        </w:tc>
        <w:tc>
          <w:tcPr>
            <w:tcW w:w="8060" w:type="dxa"/>
            <w:vAlign w:val="bottom"/>
          </w:tcPr>
          <w:p>
            <w:pPr>
              <w:ind w:left="1760"/>
              <w:spacing w:after="0"/>
              <w:rPr>
                <w:sz w:val="20"/>
                <w:szCs w:val="20"/>
                <w:color w:val="auto"/>
              </w:rPr>
            </w:pPr>
            <w:r>
              <w:rPr>
                <w:rFonts w:ascii="Times New Roman" w:cs="Times New Roman" w:eastAsia="Times New Roman" w:hAnsi="Times New Roman"/>
                <w:sz w:val="15"/>
                <w:szCs w:val="15"/>
                <w:color w:val="auto"/>
              </w:rPr>
              <w:t>repealing Directive 1999/93/EC.</w:t>
            </w:r>
          </w:p>
        </w:tc>
      </w:tr>
      <w:tr>
        <w:trPr>
          <w:trHeight w:val="259"/>
        </w:trPr>
        <w:tc>
          <w:tcPr>
            <w:tcW w:w="3200" w:type="dxa"/>
            <w:vAlign w:val="bottom"/>
          </w:tcPr>
          <w:p>
            <w:pPr>
              <w:ind w:left="10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Insolvency Proceedings</w:t>
            </w:r>
            <w:r>
              <w:rPr>
                <w:rFonts w:ascii="Times New Roman" w:cs="Times New Roman" w:eastAsia="Times New Roman" w:hAnsi="Times New Roman"/>
                <w:sz w:val="15"/>
                <w:szCs w:val="15"/>
                <w:color w:val="auto"/>
              </w:rPr>
              <w:t>"</w:t>
            </w:r>
          </w:p>
        </w:tc>
        <w:tc>
          <w:tcPr>
            <w:tcW w:w="8060" w:type="dxa"/>
            <w:vAlign w:val="bottom"/>
          </w:tcPr>
          <w:p>
            <w:pPr>
              <w:ind w:left="1760"/>
              <w:spacing w:after="0"/>
              <w:rPr>
                <w:sz w:val="20"/>
                <w:szCs w:val="20"/>
                <w:color w:val="auto"/>
              </w:rPr>
            </w:pPr>
            <w:r>
              <w:rPr>
                <w:rFonts w:ascii="Times New Roman" w:cs="Times New Roman" w:eastAsia="Times New Roman" w:hAnsi="Times New Roman"/>
                <w:sz w:val="15"/>
                <w:szCs w:val="15"/>
                <w:color w:val="auto"/>
              </w:rPr>
              <w:t>Any insolvency proceedings within the meaning of Regulation (EU) 2015/848 of the European</w:t>
            </w:r>
          </w:p>
        </w:tc>
      </w:tr>
      <w:tr>
        <w:trPr>
          <w:trHeight w:val="183"/>
        </w:trPr>
        <w:tc>
          <w:tcPr>
            <w:tcW w:w="3200" w:type="dxa"/>
            <w:vAlign w:val="bottom"/>
          </w:tcPr>
          <w:p>
            <w:pPr>
              <w:spacing w:after="0"/>
              <w:rPr>
                <w:sz w:val="15"/>
                <w:szCs w:val="15"/>
                <w:color w:val="auto"/>
              </w:rPr>
            </w:pPr>
          </w:p>
        </w:tc>
        <w:tc>
          <w:tcPr>
            <w:tcW w:w="8060" w:type="dxa"/>
            <w:vAlign w:val="bottom"/>
          </w:tcPr>
          <w:p>
            <w:pPr>
              <w:ind w:left="1760"/>
              <w:spacing w:after="0"/>
              <w:rPr>
                <w:sz w:val="20"/>
                <w:szCs w:val="20"/>
                <w:color w:val="auto"/>
              </w:rPr>
            </w:pPr>
            <w:r>
              <w:rPr>
                <w:rFonts w:ascii="Times New Roman" w:cs="Times New Roman" w:eastAsia="Times New Roman" w:hAnsi="Times New Roman"/>
                <w:sz w:val="15"/>
                <w:szCs w:val="15"/>
                <w:color w:val="auto"/>
              </w:rPr>
              <w:t>Parliament and of the Council of 20 May 2015 on insolvency proceedings (recast), as amended by</w:t>
            </w:r>
          </w:p>
        </w:tc>
      </w:tr>
      <w:tr>
        <w:trPr>
          <w:trHeight w:val="183"/>
        </w:trPr>
        <w:tc>
          <w:tcPr>
            <w:tcW w:w="3200" w:type="dxa"/>
            <w:vAlign w:val="bottom"/>
          </w:tcPr>
          <w:p>
            <w:pPr>
              <w:spacing w:after="0"/>
              <w:rPr>
                <w:sz w:val="15"/>
                <w:szCs w:val="15"/>
                <w:color w:val="auto"/>
              </w:rPr>
            </w:pPr>
          </w:p>
        </w:tc>
        <w:tc>
          <w:tcPr>
            <w:tcW w:w="8060" w:type="dxa"/>
            <w:vAlign w:val="bottom"/>
          </w:tcPr>
          <w:p>
            <w:pPr>
              <w:ind w:left="1760"/>
              <w:spacing w:after="0"/>
              <w:rPr>
                <w:sz w:val="20"/>
                <w:szCs w:val="20"/>
                <w:color w:val="auto"/>
              </w:rPr>
            </w:pPr>
            <w:r>
              <w:rPr>
                <w:rFonts w:ascii="Times New Roman" w:cs="Times New Roman" w:eastAsia="Times New Roman" w:hAnsi="Times New Roman"/>
                <w:sz w:val="15"/>
                <w:szCs w:val="15"/>
                <w:color w:val="auto"/>
              </w:rPr>
              <w:t>Regulation (EU) 2021/2260 of the European Parliament and of the Counsel of 15 December 2021,</w:t>
            </w:r>
          </w:p>
        </w:tc>
      </w:tr>
      <w:tr>
        <w:trPr>
          <w:trHeight w:val="179"/>
        </w:trPr>
        <w:tc>
          <w:tcPr>
            <w:tcW w:w="3200" w:type="dxa"/>
            <w:vAlign w:val="bottom"/>
          </w:tcPr>
          <w:p>
            <w:pPr>
              <w:spacing w:after="0"/>
              <w:rPr>
                <w:sz w:val="15"/>
                <w:szCs w:val="15"/>
                <w:color w:val="auto"/>
              </w:rPr>
            </w:pPr>
          </w:p>
        </w:tc>
        <w:tc>
          <w:tcPr>
            <w:tcW w:w="8060" w:type="dxa"/>
            <w:vAlign w:val="bottom"/>
          </w:tcPr>
          <w:p>
            <w:pPr>
              <w:ind w:left="1760"/>
              <w:spacing w:after="0"/>
              <w:rPr>
                <w:sz w:val="20"/>
                <w:szCs w:val="20"/>
                <w:color w:val="auto"/>
              </w:rPr>
            </w:pPr>
            <w:r>
              <w:rPr>
                <w:rFonts w:ascii="Times New Roman" w:cs="Times New Roman" w:eastAsia="Times New Roman" w:hAnsi="Times New Roman"/>
                <w:sz w:val="15"/>
                <w:szCs w:val="15"/>
                <w:color w:val="auto"/>
              </w:rPr>
              <w:t>listed  in  Annex  A  thereto  and  any  statutory  proceedings  for  the  restructuring  of  debts</w:t>
            </w:r>
          </w:p>
        </w:tc>
      </w:tr>
      <w:tr>
        <w:trPr>
          <w:trHeight w:val="202"/>
        </w:trPr>
        <w:tc>
          <w:tcPr>
            <w:tcW w:w="3200" w:type="dxa"/>
            <w:vAlign w:val="bottom"/>
          </w:tcPr>
          <w:p>
            <w:pPr>
              <w:spacing w:after="0"/>
              <w:rPr>
                <w:sz w:val="17"/>
                <w:szCs w:val="17"/>
                <w:color w:val="auto"/>
              </w:rPr>
            </w:pPr>
          </w:p>
        </w:tc>
        <w:tc>
          <w:tcPr>
            <w:tcW w:w="8060" w:type="dxa"/>
            <w:vAlign w:val="bottom"/>
          </w:tcPr>
          <w:p>
            <w:pPr>
              <w:ind w:left="17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akkoordprocedure</w:t>
            </w:r>
            <w:r>
              <w:rPr>
                <w:rFonts w:ascii="Times New Roman" w:cs="Times New Roman" w:eastAsia="Times New Roman" w:hAnsi="Times New Roman"/>
                <w:sz w:val="15"/>
                <w:szCs w:val="15"/>
                <w:color w:val="auto"/>
              </w:rPr>
              <w:t>) pursuant to the Bankruptcy Code.</w:t>
            </w:r>
          </w:p>
        </w:tc>
      </w:tr>
      <w:tr>
        <w:trPr>
          <w:trHeight w:val="274"/>
        </w:trPr>
        <w:tc>
          <w:tcPr>
            <w:tcW w:w="3200" w:type="dxa"/>
            <w:vAlign w:val="bottom"/>
          </w:tcPr>
          <w:p>
            <w:pPr>
              <w:ind w:left="10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NautaDutilh</w:t>
            </w:r>
            <w:r>
              <w:rPr>
                <w:rFonts w:ascii="Times New Roman" w:cs="Times New Roman" w:eastAsia="Times New Roman" w:hAnsi="Times New Roman"/>
                <w:sz w:val="15"/>
                <w:szCs w:val="15"/>
                <w:color w:val="auto"/>
              </w:rPr>
              <w:t>"</w:t>
            </w:r>
          </w:p>
        </w:tc>
        <w:tc>
          <w:tcPr>
            <w:tcW w:w="8060" w:type="dxa"/>
            <w:vAlign w:val="bottom"/>
          </w:tcPr>
          <w:p>
            <w:pPr>
              <w:ind w:left="1760"/>
              <w:spacing w:after="0"/>
              <w:rPr>
                <w:sz w:val="20"/>
                <w:szCs w:val="20"/>
                <w:color w:val="auto"/>
              </w:rPr>
            </w:pPr>
            <w:r>
              <w:rPr>
                <w:rFonts w:ascii="Times New Roman" w:cs="Times New Roman" w:eastAsia="Times New Roman" w:hAnsi="Times New Roman"/>
                <w:sz w:val="15"/>
                <w:szCs w:val="15"/>
                <w:color w:val="auto"/>
              </w:rPr>
              <w:t>NautaDutilh N.V.</w:t>
            </w:r>
          </w:p>
        </w:tc>
      </w:tr>
      <w:tr>
        <w:trPr>
          <w:trHeight w:val="274"/>
        </w:trPr>
        <w:tc>
          <w:tcPr>
            <w:tcW w:w="3200" w:type="dxa"/>
            <w:vAlign w:val="bottom"/>
          </w:tcPr>
          <w:p>
            <w:pPr>
              <w:ind w:left="10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the Netherlands</w:t>
            </w:r>
            <w:r>
              <w:rPr>
                <w:rFonts w:ascii="Times New Roman" w:cs="Times New Roman" w:eastAsia="Times New Roman" w:hAnsi="Times New Roman"/>
                <w:sz w:val="15"/>
                <w:szCs w:val="15"/>
                <w:color w:val="auto"/>
              </w:rPr>
              <w:t>"</w:t>
            </w:r>
          </w:p>
        </w:tc>
        <w:tc>
          <w:tcPr>
            <w:tcW w:w="8060" w:type="dxa"/>
            <w:vAlign w:val="bottom"/>
          </w:tcPr>
          <w:p>
            <w:pPr>
              <w:ind w:left="1760"/>
              <w:spacing w:after="0"/>
              <w:rPr>
                <w:sz w:val="20"/>
                <w:szCs w:val="20"/>
                <w:color w:val="auto"/>
              </w:rPr>
            </w:pPr>
            <w:r>
              <w:rPr>
                <w:rFonts w:ascii="Times New Roman" w:cs="Times New Roman" w:eastAsia="Times New Roman" w:hAnsi="Times New Roman"/>
                <w:sz w:val="15"/>
                <w:szCs w:val="15"/>
                <w:color w:val="auto"/>
              </w:rPr>
              <w:t>The European territory of the Kingdom of the Netherlands and "</w:t>
            </w:r>
            <w:r>
              <w:rPr>
                <w:rFonts w:ascii="Times New Roman" w:cs="Times New Roman" w:eastAsia="Times New Roman" w:hAnsi="Times New Roman"/>
                <w:sz w:val="15"/>
                <w:szCs w:val="15"/>
                <w:b w:val="1"/>
                <w:bCs w:val="1"/>
                <w:color w:val="auto"/>
              </w:rPr>
              <w:t>Dutch</w:t>
            </w:r>
            <w:r>
              <w:rPr>
                <w:rFonts w:ascii="Times New Roman" w:cs="Times New Roman" w:eastAsia="Times New Roman" w:hAnsi="Times New Roman"/>
                <w:sz w:val="15"/>
                <w:szCs w:val="15"/>
                <w:color w:val="auto"/>
              </w:rPr>
              <w:t>" is in or from the Netherlands.</w:t>
            </w:r>
          </w:p>
        </w:tc>
      </w:tr>
      <w:tr>
        <w:trPr>
          <w:trHeight w:val="274"/>
        </w:trPr>
        <w:tc>
          <w:tcPr>
            <w:tcW w:w="3200" w:type="dxa"/>
            <w:vAlign w:val="bottom"/>
          </w:tcPr>
          <w:p>
            <w:pPr>
              <w:ind w:left="10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Ordinary Shares</w:t>
            </w:r>
            <w:r>
              <w:rPr>
                <w:rFonts w:ascii="Times New Roman" w:cs="Times New Roman" w:eastAsia="Times New Roman" w:hAnsi="Times New Roman"/>
                <w:sz w:val="15"/>
                <w:szCs w:val="15"/>
                <w:color w:val="auto"/>
              </w:rPr>
              <w:t>"</w:t>
            </w:r>
          </w:p>
        </w:tc>
        <w:tc>
          <w:tcPr>
            <w:tcW w:w="8060" w:type="dxa"/>
            <w:vAlign w:val="bottom"/>
          </w:tcPr>
          <w:p>
            <w:pPr>
              <w:ind w:left="1760"/>
              <w:spacing w:after="0"/>
              <w:rPr>
                <w:sz w:val="20"/>
                <w:szCs w:val="20"/>
                <w:color w:val="auto"/>
              </w:rPr>
            </w:pPr>
            <w:r>
              <w:rPr>
                <w:rFonts w:ascii="Times New Roman" w:cs="Times New Roman" w:eastAsia="Times New Roman" w:hAnsi="Times New Roman"/>
                <w:sz w:val="15"/>
                <w:szCs w:val="15"/>
                <w:color w:val="auto"/>
              </w:rPr>
              <w:t>Ordinary shares in the Company's capital, with a nominal value of EUR 0.01 each.</w:t>
            </w:r>
          </w:p>
        </w:tc>
      </w:tr>
      <w:tr>
        <w:trPr>
          <w:trHeight w:val="259"/>
        </w:trPr>
        <w:tc>
          <w:tcPr>
            <w:tcW w:w="3200" w:type="dxa"/>
            <w:vAlign w:val="bottom"/>
          </w:tcPr>
          <w:p>
            <w:pPr>
              <w:ind w:left="10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PRIIPs Regulation</w:t>
            </w:r>
            <w:r>
              <w:rPr>
                <w:rFonts w:ascii="Times New Roman" w:cs="Times New Roman" w:eastAsia="Times New Roman" w:hAnsi="Times New Roman"/>
                <w:sz w:val="15"/>
                <w:szCs w:val="15"/>
                <w:color w:val="auto"/>
              </w:rPr>
              <w:t>"</w:t>
            </w:r>
          </w:p>
        </w:tc>
        <w:tc>
          <w:tcPr>
            <w:tcW w:w="8060" w:type="dxa"/>
            <w:vAlign w:val="bottom"/>
          </w:tcPr>
          <w:p>
            <w:pPr>
              <w:ind w:left="1760"/>
              <w:spacing w:after="0"/>
              <w:rPr>
                <w:sz w:val="20"/>
                <w:szCs w:val="20"/>
                <w:color w:val="auto"/>
              </w:rPr>
            </w:pPr>
            <w:r>
              <w:rPr>
                <w:rFonts w:ascii="Times New Roman" w:cs="Times New Roman" w:eastAsia="Times New Roman" w:hAnsi="Times New Roman"/>
                <w:sz w:val="15"/>
                <w:szCs w:val="15"/>
                <w:color w:val="auto"/>
              </w:rPr>
              <w:t>Regulation (EU) No 1286/2014 of the European Parliament and of the Council of 26 November 2014</w:t>
            </w:r>
          </w:p>
        </w:tc>
      </w:tr>
      <w:tr>
        <w:trPr>
          <w:trHeight w:val="198"/>
        </w:trPr>
        <w:tc>
          <w:tcPr>
            <w:tcW w:w="3200" w:type="dxa"/>
            <w:vAlign w:val="bottom"/>
          </w:tcPr>
          <w:p>
            <w:pPr>
              <w:spacing w:after="0"/>
              <w:rPr>
                <w:sz w:val="17"/>
                <w:szCs w:val="17"/>
                <w:color w:val="auto"/>
              </w:rPr>
            </w:pPr>
          </w:p>
        </w:tc>
        <w:tc>
          <w:tcPr>
            <w:tcW w:w="8060" w:type="dxa"/>
            <w:vAlign w:val="bottom"/>
          </w:tcPr>
          <w:p>
            <w:pPr>
              <w:ind w:left="1760"/>
              <w:spacing w:after="0"/>
              <w:rPr>
                <w:sz w:val="20"/>
                <w:szCs w:val="20"/>
                <w:color w:val="auto"/>
              </w:rPr>
            </w:pPr>
            <w:r>
              <w:rPr>
                <w:rFonts w:ascii="Times New Roman" w:cs="Times New Roman" w:eastAsia="Times New Roman" w:hAnsi="Times New Roman"/>
                <w:sz w:val="15"/>
                <w:szCs w:val="15"/>
                <w:color w:val="auto"/>
              </w:rPr>
              <w:t>on key information documents for packaged retail and insurance-based investment products (PRIIPs).</w:t>
            </w:r>
          </w:p>
        </w:tc>
      </w:tr>
      <w:tr>
        <w:trPr>
          <w:trHeight w:val="259"/>
        </w:trPr>
        <w:tc>
          <w:tcPr>
            <w:tcW w:w="3200" w:type="dxa"/>
            <w:vAlign w:val="bottom"/>
          </w:tcPr>
          <w:p>
            <w:pPr>
              <w:ind w:left="10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Prospectus Regulation</w:t>
            </w:r>
            <w:r>
              <w:rPr>
                <w:rFonts w:ascii="Times New Roman" w:cs="Times New Roman" w:eastAsia="Times New Roman" w:hAnsi="Times New Roman"/>
                <w:sz w:val="15"/>
                <w:szCs w:val="15"/>
                <w:color w:val="auto"/>
              </w:rPr>
              <w:t>"</w:t>
            </w:r>
          </w:p>
        </w:tc>
        <w:tc>
          <w:tcPr>
            <w:tcW w:w="8060" w:type="dxa"/>
            <w:vAlign w:val="bottom"/>
          </w:tcPr>
          <w:p>
            <w:pPr>
              <w:ind w:left="1760"/>
              <w:spacing w:after="0"/>
              <w:rPr>
                <w:sz w:val="20"/>
                <w:szCs w:val="20"/>
                <w:color w:val="auto"/>
              </w:rPr>
            </w:pPr>
            <w:r>
              <w:rPr>
                <w:rFonts w:ascii="Times New Roman" w:cs="Times New Roman" w:eastAsia="Times New Roman" w:hAnsi="Times New Roman"/>
                <w:sz w:val="15"/>
                <w:szCs w:val="15"/>
                <w:color w:val="auto"/>
              </w:rPr>
              <w:t>Regulation (EU) 2017/1129 of the European Parliament and of the Council of 14 June 2017 on the</w:t>
            </w:r>
          </w:p>
        </w:tc>
      </w:tr>
      <w:tr>
        <w:trPr>
          <w:trHeight w:val="198"/>
        </w:trPr>
        <w:tc>
          <w:tcPr>
            <w:tcW w:w="3200" w:type="dxa"/>
            <w:vAlign w:val="bottom"/>
          </w:tcPr>
          <w:p>
            <w:pPr>
              <w:spacing w:after="0"/>
              <w:rPr>
                <w:sz w:val="17"/>
                <w:szCs w:val="17"/>
                <w:color w:val="auto"/>
              </w:rPr>
            </w:pPr>
          </w:p>
        </w:tc>
        <w:tc>
          <w:tcPr>
            <w:tcW w:w="8060" w:type="dxa"/>
            <w:vAlign w:val="bottom"/>
          </w:tcPr>
          <w:p>
            <w:pPr>
              <w:ind w:left="1760"/>
              <w:spacing w:after="0"/>
              <w:rPr>
                <w:sz w:val="20"/>
                <w:szCs w:val="20"/>
                <w:color w:val="auto"/>
              </w:rPr>
            </w:pPr>
            <w:r>
              <w:rPr>
                <w:rFonts w:ascii="Times New Roman" w:cs="Times New Roman" w:eastAsia="Times New Roman" w:hAnsi="Times New Roman"/>
                <w:sz w:val="15"/>
                <w:szCs w:val="15"/>
                <w:color w:val="auto"/>
              </w:rPr>
              <w:t>prospectus to be published when securities are offered to the public or admitted to trading on</w:t>
            </w:r>
          </w:p>
        </w:tc>
      </w:tr>
      <w:tr>
        <w:trPr>
          <w:trHeight w:val="342"/>
        </w:trPr>
        <w:tc>
          <w:tcPr>
            <w:tcW w:w="320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11260"/>
          </w:cols>
          <w:pgMar w:left="320" w:top="498" w:right="319" w:bottom="1440" w:gutter="0" w:footer="0" w:header="0"/>
        </w:sectPr>
      </w:pPr>
      <w:r>
        <w:rPr>
          <w:sz w:val="20"/>
          <w:szCs w:val="20"/>
          <w:color w:val="auto"/>
        </w:rPr>
        <w:drawing>
          <wp:anchor simplePos="0" relativeHeight="251657728" behindDoc="1" locked="0" layoutInCell="0" allowOverlap="1">
            <wp:simplePos x="0" y="0"/>
            <wp:positionH relativeFrom="page">
              <wp:posOffset>2272665</wp:posOffset>
            </wp:positionH>
            <wp:positionV relativeFrom="page">
              <wp:posOffset>146685</wp:posOffset>
            </wp:positionV>
            <wp:extent cx="1109980" cy="1816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1109980" cy="181610"/>
                    </a:xfrm>
                    <a:prstGeom prst="rect">
                      <a:avLst/>
                    </a:prstGeom>
                    <a:noFill/>
                  </pic:spPr>
                </pic:pic>
              </a:graphicData>
            </a:graphic>
          </wp:anchor>
        </w:drawing>
      </w:r>
    </w:p>
    <w:bookmarkStart w:id="87" w:name="page88"/>
    <w:bookmarkEnd w:id="87"/>
    <w:tbl>
      <w:tblPr>
        <w:tblLayout w:type="fixed"/>
        <w:tblInd w:w="0" w:type="dxa"/>
        <w:tblCellMar>
          <w:top w:w="0" w:type="dxa"/>
          <w:left w:w="0" w:type="dxa"/>
          <w:bottom w:w="0" w:type="dxa"/>
          <w:right w:w="0" w:type="dxa"/>
        </w:tblCellMar>
      </w:tblPr>
      <w:tr>
        <w:trPr>
          <w:trHeight w:val="217"/>
        </w:trPr>
        <w:tc>
          <w:tcPr>
            <w:tcW w:w="3180" w:type="dxa"/>
            <w:vAlign w:val="bottom"/>
          </w:tcPr>
          <w:p>
            <w:pPr>
              <w:spacing w:after="0"/>
              <w:rPr>
                <w:sz w:val="18"/>
                <w:szCs w:val="18"/>
                <w:color w:val="auto"/>
              </w:rPr>
            </w:pPr>
          </w:p>
        </w:tc>
        <w:tc>
          <w:tcPr>
            <w:tcW w:w="21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9</w:t>
            </w:r>
          </w:p>
        </w:tc>
        <w:tc>
          <w:tcPr>
            <w:tcW w:w="5940" w:type="dxa"/>
            <w:vAlign w:val="bottom"/>
          </w:tcPr>
          <w:p>
            <w:pPr>
              <w:spacing w:after="0"/>
              <w:rPr>
                <w:sz w:val="18"/>
                <w:szCs w:val="18"/>
                <w:color w:val="auto"/>
              </w:rPr>
            </w:pPr>
          </w:p>
        </w:tc>
      </w:tr>
      <w:tr>
        <w:trPr>
          <w:trHeight w:val="510"/>
        </w:trPr>
        <w:tc>
          <w:tcPr>
            <w:tcW w:w="3180" w:type="dxa"/>
            <w:vAlign w:val="bottom"/>
          </w:tcPr>
          <w:p>
            <w:pPr>
              <w:spacing w:after="0"/>
              <w:rPr>
                <w:sz w:val="24"/>
                <w:szCs w:val="24"/>
                <w:color w:val="auto"/>
              </w:rPr>
            </w:pPr>
          </w:p>
        </w:tc>
        <w:tc>
          <w:tcPr>
            <w:tcW w:w="8080" w:type="dxa"/>
            <w:vAlign w:val="bottom"/>
            <w:gridSpan w:val="2"/>
          </w:tcPr>
          <w:p>
            <w:pPr>
              <w:ind w:left="1780"/>
              <w:spacing w:after="0"/>
              <w:rPr>
                <w:sz w:val="20"/>
                <w:szCs w:val="20"/>
                <w:color w:val="auto"/>
              </w:rPr>
            </w:pPr>
            <w:r>
              <w:rPr>
                <w:rFonts w:ascii="Times New Roman" w:cs="Times New Roman" w:eastAsia="Times New Roman" w:hAnsi="Times New Roman"/>
                <w:sz w:val="15"/>
                <w:szCs w:val="15"/>
                <w:color w:val="auto"/>
              </w:rPr>
              <w:t>a regulated market, and repealing Directive 2003/71/EC.</w:t>
            </w:r>
          </w:p>
        </w:tc>
      </w:tr>
      <w:tr>
        <w:trPr>
          <w:trHeight w:val="259"/>
        </w:trPr>
        <w:tc>
          <w:tcPr>
            <w:tcW w:w="3180" w:type="dxa"/>
            <w:vAlign w:val="bottom"/>
          </w:tcPr>
          <w:p>
            <w:pPr>
              <w:ind w:left="10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Purchase Contracts</w:t>
            </w:r>
            <w:r>
              <w:rPr>
                <w:rFonts w:ascii="Times New Roman" w:cs="Times New Roman" w:eastAsia="Times New Roman" w:hAnsi="Times New Roman"/>
                <w:sz w:val="15"/>
                <w:szCs w:val="15"/>
                <w:color w:val="auto"/>
              </w:rPr>
              <w:t>"</w:t>
            </w:r>
          </w:p>
        </w:tc>
        <w:tc>
          <w:tcPr>
            <w:tcW w:w="8080" w:type="dxa"/>
            <w:vAlign w:val="bottom"/>
            <w:gridSpan w:val="2"/>
          </w:tcPr>
          <w:p>
            <w:pPr>
              <w:ind w:left="1780"/>
              <w:spacing w:after="0"/>
              <w:rPr>
                <w:sz w:val="20"/>
                <w:szCs w:val="20"/>
                <w:color w:val="auto"/>
              </w:rPr>
            </w:pPr>
            <w:r>
              <w:rPr>
                <w:rFonts w:ascii="Times New Roman" w:cs="Times New Roman" w:eastAsia="Times New Roman" w:hAnsi="Times New Roman"/>
                <w:sz w:val="15"/>
                <w:szCs w:val="15"/>
                <w:color w:val="auto"/>
              </w:rPr>
              <w:t>One or more series of purchase contracts issuable by the Company and registered pursuant to the</w:t>
            </w:r>
          </w:p>
        </w:tc>
      </w:tr>
      <w:tr>
        <w:trPr>
          <w:trHeight w:val="183"/>
        </w:trPr>
        <w:tc>
          <w:tcPr>
            <w:tcW w:w="3180" w:type="dxa"/>
            <w:vAlign w:val="bottom"/>
          </w:tcPr>
          <w:p>
            <w:pPr>
              <w:spacing w:after="0"/>
              <w:rPr>
                <w:sz w:val="15"/>
                <w:szCs w:val="15"/>
                <w:color w:val="auto"/>
              </w:rPr>
            </w:pPr>
          </w:p>
        </w:tc>
        <w:tc>
          <w:tcPr>
            <w:tcW w:w="8080" w:type="dxa"/>
            <w:vAlign w:val="bottom"/>
            <w:gridSpan w:val="2"/>
          </w:tcPr>
          <w:p>
            <w:pPr>
              <w:ind w:left="1780"/>
              <w:spacing w:after="0"/>
              <w:rPr>
                <w:sz w:val="20"/>
                <w:szCs w:val="20"/>
                <w:color w:val="auto"/>
              </w:rPr>
            </w:pPr>
            <w:r>
              <w:rPr>
                <w:rFonts w:ascii="Times New Roman" w:cs="Times New Roman" w:eastAsia="Times New Roman" w:hAnsi="Times New Roman"/>
                <w:sz w:val="15"/>
                <w:szCs w:val="15"/>
                <w:color w:val="auto"/>
              </w:rPr>
              <w:t>Registration Statement, for the purchase or sale of Debt Securities, Registered Shares or other</w:t>
            </w:r>
          </w:p>
        </w:tc>
      </w:tr>
      <w:tr>
        <w:trPr>
          <w:trHeight w:val="198"/>
        </w:trPr>
        <w:tc>
          <w:tcPr>
            <w:tcW w:w="3180" w:type="dxa"/>
            <w:vAlign w:val="bottom"/>
          </w:tcPr>
          <w:p>
            <w:pPr>
              <w:spacing w:after="0"/>
              <w:rPr>
                <w:sz w:val="17"/>
                <w:szCs w:val="17"/>
                <w:color w:val="auto"/>
              </w:rPr>
            </w:pPr>
          </w:p>
        </w:tc>
        <w:tc>
          <w:tcPr>
            <w:tcW w:w="8080" w:type="dxa"/>
            <w:vAlign w:val="bottom"/>
            <w:gridSpan w:val="2"/>
          </w:tcPr>
          <w:p>
            <w:pPr>
              <w:ind w:left="1780"/>
              <w:spacing w:after="0"/>
              <w:rPr>
                <w:sz w:val="20"/>
                <w:szCs w:val="20"/>
                <w:color w:val="auto"/>
              </w:rPr>
            </w:pPr>
            <w:r>
              <w:rPr>
                <w:rFonts w:ascii="Times New Roman" w:cs="Times New Roman" w:eastAsia="Times New Roman" w:hAnsi="Times New Roman"/>
                <w:sz w:val="15"/>
                <w:szCs w:val="15"/>
                <w:color w:val="auto"/>
              </w:rPr>
              <w:t>securities as specified in the applicable prospectus supplement.</w:t>
            </w:r>
          </w:p>
        </w:tc>
      </w:tr>
      <w:tr>
        <w:trPr>
          <w:trHeight w:val="274"/>
        </w:trPr>
        <w:tc>
          <w:tcPr>
            <w:tcW w:w="3180" w:type="dxa"/>
            <w:vAlign w:val="bottom"/>
          </w:tcPr>
          <w:p>
            <w:pPr>
              <w:ind w:left="10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Registered Securities</w:t>
            </w:r>
            <w:r>
              <w:rPr>
                <w:rFonts w:ascii="Times New Roman" w:cs="Times New Roman" w:eastAsia="Times New Roman" w:hAnsi="Times New Roman"/>
                <w:sz w:val="15"/>
                <w:szCs w:val="15"/>
                <w:color w:val="auto"/>
              </w:rPr>
              <w:t>"</w:t>
            </w:r>
          </w:p>
        </w:tc>
        <w:tc>
          <w:tcPr>
            <w:tcW w:w="8080" w:type="dxa"/>
            <w:vAlign w:val="bottom"/>
            <w:gridSpan w:val="2"/>
          </w:tcPr>
          <w:p>
            <w:pPr>
              <w:ind w:left="1780"/>
              <w:spacing w:after="0"/>
              <w:rPr>
                <w:sz w:val="20"/>
                <w:szCs w:val="20"/>
                <w:color w:val="auto"/>
              </w:rPr>
            </w:pPr>
            <w:r>
              <w:rPr>
                <w:rFonts w:ascii="Times New Roman" w:cs="Times New Roman" w:eastAsia="Times New Roman" w:hAnsi="Times New Roman"/>
                <w:sz w:val="15"/>
                <w:szCs w:val="15"/>
                <w:color w:val="auto"/>
              </w:rPr>
              <w:t>The Debt Securities, Purchase Contracts, Registered Shares, Subscription Rights, Units and Warrants.</w:t>
            </w:r>
          </w:p>
        </w:tc>
      </w:tr>
      <w:tr>
        <w:trPr>
          <w:trHeight w:val="274"/>
        </w:trPr>
        <w:tc>
          <w:tcPr>
            <w:tcW w:w="3180" w:type="dxa"/>
            <w:vAlign w:val="bottom"/>
          </w:tcPr>
          <w:p>
            <w:pPr>
              <w:ind w:left="10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Registered Shares</w:t>
            </w:r>
            <w:r>
              <w:rPr>
                <w:rFonts w:ascii="Times New Roman" w:cs="Times New Roman" w:eastAsia="Times New Roman" w:hAnsi="Times New Roman"/>
                <w:sz w:val="15"/>
                <w:szCs w:val="15"/>
                <w:color w:val="auto"/>
              </w:rPr>
              <w:t>"</w:t>
            </w:r>
          </w:p>
        </w:tc>
        <w:tc>
          <w:tcPr>
            <w:tcW w:w="8080" w:type="dxa"/>
            <w:vAlign w:val="bottom"/>
            <w:gridSpan w:val="2"/>
          </w:tcPr>
          <w:p>
            <w:pPr>
              <w:ind w:left="1780"/>
              <w:spacing w:after="0"/>
              <w:rPr>
                <w:sz w:val="20"/>
                <w:szCs w:val="20"/>
                <w:color w:val="auto"/>
              </w:rPr>
            </w:pPr>
            <w:r>
              <w:rPr>
                <w:rFonts w:ascii="Times New Roman" w:cs="Times New Roman" w:eastAsia="Times New Roman" w:hAnsi="Times New Roman"/>
                <w:sz w:val="15"/>
                <w:szCs w:val="15"/>
                <w:color w:val="auto"/>
              </w:rPr>
              <w:t>The following Ordinary Shares:</w:t>
            </w:r>
          </w:p>
        </w:tc>
      </w:tr>
      <w:tr>
        <w:trPr>
          <w:trHeight w:val="351"/>
        </w:trPr>
        <w:tc>
          <w:tcPr>
            <w:tcW w:w="3180" w:type="dxa"/>
            <w:vAlign w:val="bottom"/>
          </w:tcPr>
          <w:p>
            <w:pPr>
              <w:spacing w:after="0"/>
              <w:rPr>
                <w:sz w:val="24"/>
                <w:szCs w:val="24"/>
                <w:color w:val="auto"/>
              </w:rPr>
            </w:pPr>
          </w:p>
        </w:tc>
        <w:tc>
          <w:tcPr>
            <w:tcW w:w="2140" w:type="dxa"/>
            <w:vAlign w:val="bottom"/>
          </w:tcPr>
          <w:p>
            <w:pPr>
              <w:ind w:left="1820"/>
              <w:spacing w:after="0"/>
              <w:rPr>
                <w:sz w:val="20"/>
                <w:szCs w:val="20"/>
                <w:color w:val="auto"/>
              </w:rPr>
            </w:pPr>
            <w:r>
              <w:rPr>
                <w:rFonts w:ascii="Times New Roman" w:cs="Times New Roman" w:eastAsia="Times New Roman" w:hAnsi="Times New Roman"/>
                <w:sz w:val="15"/>
                <w:szCs w:val="15"/>
                <w:b w:val="1"/>
                <w:bCs w:val="1"/>
                <w:color w:val="auto"/>
              </w:rPr>
              <w:t>a.</w:t>
            </w:r>
          </w:p>
        </w:tc>
        <w:tc>
          <w:tcPr>
            <w:tcW w:w="5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the Ordinary Shares registered pursuant to the Registration Statement, including Ordinary</w:t>
            </w:r>
          </w:p>
        </w:tc>
      </w:tr>
      <w:tr>
        <w:trPr>
          <w:trHeight w:val="183"/>
        </w:trPr>
        <w:tc>
          <w:tcPr>
            <w:tcW w:w="31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5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Shares issuable under the Sales Agreement, dated October 10, 2024 between the Company</w:t>
            </w:r>
          </w:p>
        </w:tc>
      </w:tr>
      <w:tr>
        <w:trPr>
          <w:trHeight w:val="183"/>
        </w:trPr>
        <w:tc>
          <w:tcPr>
            <w:tcW w:w="31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5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and Leerink Partners LLC, relating to the offer and sale from time to time of Ordinary Shares</w:t>
            </w:r>
          </w:p>
        </w:tc>
      </w:tr>
      <w:tr>
        <w:trPr>
          <w:trHeight w:val="198"/>
        </w:trPr>
        <w:tc>
          <w:tcPr>
            <w:tcW w:w="31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9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having an aggregate offering price of $150,000,000; and</w:t>
            </w:r>
          </w:p>
        </w:tc>
      </w:tr>
      <w:tr>
        <w:trPr>
          <w:trHeight w:val="351"/>
        </w:trPr>
        <w:tc>
          <w:tcPr>
            <w:tcW w:w="3180" w:type="dxa"/>
            <w:vAlign w:val="bottom"/>
          </w:tcPr>
          <w:p>
            <w:pPr>
              <w:spacing w:after="0"/>
              <w:rPr>
                <w:sz w:val="24"/>
                <w:szCs w:val="24"/>
                <w:color w:val="auto"/>
              </w:rPr>
            </w:pPr>
          </w:p>
        </w:tc>
        <w:tc>
          <w:tcPr>
            <w:tcW w:w="2140" w:type="dxa"/>
            <w:vAlign w:val="bottom"/>
          </w:tcPr>
          <w:p>
            <w:pPr>
              <w:ind w:left="1820"/>
              <w:spacing w:after="0"/>
              <w:rPr>
                <w:sz w:val="20"/>
                <w:szCs w:val="20"/>
                <w:color w:val="auto"/>
              </w:rPr>
            </w:pPr>
            <w:r>
              <w:rPr>
                <w:rFonts w:ascii="Times New Roman" w:cs="Times New Roman" w:eastAsia="Times New Roman" w:hAnsi="Times New Roman"/>
                <w:sz w:val="15"/>
                <w:szCs w:val="15"/>
                <w:b w:val="1"/>
                <w:bCs w:val="1"/>
                <w:color w:val="auto"/>
              </w:rPr>
              <w:t>b.</w:t>
            </w:r>
          </w:p>
        </w:tc>
        <w:tc>
          <w:tcPr>
            <w:tcW w:w="5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the Ordinary Shares issuable pursuant to the conversion, exchange or exercise of other</w:t>
            </w:r>
          </w:p>
        </w:tc>
      </w:tr>
      <w:tr>
        <w:trPr>
          <w:trHeight w:val="198"/>
        </w:trPr>
        <w:tc>
          <w:tcPr>
            <w:tcW w:w="31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9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Registered Securities.</w:t>
            </w:r>
          </w:p>
        </w:tc>
      </w:tr>
      <w:tr>
        <w:trPr>
          <w:trHeight w:val="259"/>
        </w:trPr>
        <w:tc>
          <w:tcPr>
            <w:tcW w:w="3180" w:type="dxa"/>
            <w:vAlign w:val="bottom"/>
          </w:tcPr>
          <w:p>
            <w:pPr>
              <w:ind w:left="10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Registration Statement</w:t>
            </w:r>
            <w:r>
              <w:rPr>
                <w:rFonts w:ascii="Times New Roman" w:cs="Times New Roman" w:eastAsia="Times New Roman" w:hAnsi="Times New Roman"/>
                <w:sz w:val="15"/>
                <w:szCs w:val="15"/>
                <w:color w:val="auto"/>
              </w:rPr>
              <w:t>"</w:t>
            </w:r>
          </w:p>
        </w:tc>
        <w:tc>
          <w:tcPr>
            <w:tcW w:w="8080" w:type="dxa"/>
            <w:vAlign w:val="bottom"/>
            <w:gridSpan w:val="2"/>
          </w:tcPr>
          <w:p>
            <w:pPr>
              <w:ind w:left="1780"/>
              <w:spacing w:after="0"/>
              <w:rPr>
                <w:sz w:val="20"/>
                <w:szCs w:val="20"/>
                <w:color w:val="auto"/>
              </w:rPr>
            </w:pPr>
            <w:r>
              <w:rPr>
                <w:rFonts w:ascii="Times New Roman" w:cs="Times New Roman" w:eastAsia="Times New Roman" w:hAnsi="Times New Roman"/>
                <w:sz w:val="15"/>
                <w:szCs w:val="15"/>
                <w:color w:val="auto"/>
              </w:rPr>
              <w:t>The Company's registration statement on Form F-3 filed or to be filed with the SEC in the form</w:t>
            </w:r>
          </w:p>
        </w:tc>
      </w:tr>
      <w:tr>
        <w:trPr>
          <w:trHeight w:val="198"/>
        </w:trPr>
        <w:tc>
          <w:tcPr>
            <w:tcW w:w="3180" w:type="dxa"/>
            <w:vAlign w:val="bottom"/>
          </w:tcPr>
          <w:p>
            <w:pPr>
              <w:spacing w:after="0"/>
              <w:rPr>
                <w:sz w:val="17"/>
                <w:szCs w:val="17"/>
                <w:color w:val="auto"/>
              </w:rPr>
            </w:pPr>
          </w:p>
        </w:tc>
        <w:tc>
          <w:tcPr>
            <w:tcW w:w="8080" w:type="dxa"/>
            <w:vAlign w:val="bottom"/>
            <w:gridSpan w:val="2"/>
          </w:tcPr>
          <w:p>
            <w:pPr>
              <w:ind w:left="1780"/>
              <w:spacing w:after="0"/>
              <w:rPr>
                <w:sz w:val="20"/>
                <w:szCs w:val="20"/>
                <w:color w:val="auto"/>
              </w:rPr>
            </w:pPr>
            <w:r>
              <w:rPr>
                <w:rFonts w:ascii="Times New Roman" w:cs="Times New Roman" w:eastAsia="Times New Roman" w:hAnsi="Times New Roman"/>
                <w:sz w:val="15"/>
                <w:szCs w:val="15"/>
                <w:color w:val="auto"/>
              </w:rPr>
              <w:t>reviewed by us.</w:t>
            </w:r>
          </w:p>
        </w:tc>
      </w:tr>
      <w:tr>
        <w:trPr>
          <w:trHeight w:val="274"/>
        </w:trPr>
        <w:tc>
          <w:tcPr>
            <w:tcW w:w="3180" w:type="dxa"/>
            <w:vAlign w:val="bottom"/>
          </w:tcPr>
          <w:p>
            <w:pPr>
              <w:ind w:left="10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Relevant Moment</w:t>
            </w:r>
            <w:r>
              <w:rPr>
                <w:rFonts w:ascii="Times New Roman" w:cs="Times New Roman" w:eastAsia="Times New Roman" w:hAnsi="Times New Roman"/>
                <w:sz w:val="15"/>
                <w:szCs w:val="15"/>
                <w:color w:val="auto"/>
              </w:rPr>
              <w:t>"</w:t>
            </w:r>
          </w:p>
        </w:tc>
        <w:tc>
          <w:tcPr>
            <w:tcW w:w="8080" w:type="dxa"/>
            <w:vAlign w:val="bottom"/>
            <w:gridSpan w:val="2"/>
          </w:tcPr>
          <w:p>
            <w:pPr>
              <w:ind w:left="1780"/>
              <w:spacing w:after="0"/>
              <w:rPr>
                <w:sz w:val="20"/>
                <w:szCs w:val="20"/>
                <w:color w:val="auto"/>
              </w:rPr>
            </w:pPr>
            <w:r>
              <w:rPr>
                <w:rFonts w:ascii="Times New Roman" w:cs="Times New Roman" w:eastAsia="Times New Roman" w:hAnsi="Times New Roman"/>
                <w:sz w:val="15"/>
                <w:szCs w:val="15"/>
                <w:color w:val="auto"/>
              </w:rPr>
              <w:t>Each time when one or more Registered Securities are issued by the Company.</w:t>
            </w:r>
          </w:p>
        </w:tc>
      </w:tr>
      <w:tr>
        <w:trPr>
          <w:trHeight w:val="274"/>
        </w:trPr>
        <w:tc>
          <w:tcPr>
            <w:tcW w:w="3180" w:type="dxa"/>
            <w:vAlign w:val="bottom"/>
          </w:tcPr>
          <w:p>
            <w:pPr>
              <w:ind w:left="10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SEC</w:t>
            </w:r>
            <w:r>
              <w:rPr>
                <w:rFonts w:ascii="Times New Roman" w:cs="Times New Roman" w:eastAsia="Times New Roman" w:hAnsi="Times New Roman"/>
                <w:sz w:val="15"/>
                <w:szCs w:val="15"/>
                <w:color w:val="auto"/>
              </w:rPr>
              <w:t>"</w:t>
            </w:r>
          </w:p>
        </w:tc>
        <w:tc>
          <w:tcPr>
            <w:tcW w:w="8080" w:type="dxa"/>
            <w:vAlign w:val="bottom"/>
            <w:gridSpan w:val="2"/>
          </w:tcPr>
          <w:p>
            <w:pPr>
              <w:ind w:left="1780"/>
              <w:spacing w:after="0"/>
              <w:rPr>
                <w:sz w:val="20"/>
                <w:szCs w:val="20"/>
                <w:color w:val="auto"/>
              </w:rPr>
            </w:pPr>
            <w:r>
              <w:rPr>
                <w:rFonts w:ascii="Times New Roman" w:cs="Times New Roman" w:eastAsia="Times New Roman" w:hAnsi="Times New Roman"/>
                <w:sz w:val="15"/>
                <w:szCs w:val="15"/>
                <w:color w:val="auto"/>
              </w:rPr>
              <w:t>The United States Securities and Exchange Commission.</w:t>
            </w:r>
          </w:p>
        </w:tc>
      </w:tr>
      <w:tr>
        <w:trPr>
          <w:trHeight w:val="259"/>
        </w:trPr>
        <w:tc>
          <w:tcPr>
            <w:tcW w:w="3180" w:type="dxa"/>
            <w:vAlign w:val="bottom"/>
          </w:tcPr>
          <w:p>
            <w:pPr>
              <w:ind w:left="10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Subscription Rights</w:t>
            </w:r>
            <w:r>
              <w:rPr>
                <w:rFonts w:ascii="Times New Roman" w:cs="Times New Roman" w:eastAsia="Times New Roman" w:hAnsi="Times New Roman"/>
                <w:sz w:val="15"/>
                <w:szCs w:val="15"/>
                <w:color w:val="auto"/>
              </w:rPr>
              <w:t>"</w:t>
            </w:r>
          </w:p>
        </w:tc>
        <w:tc>
          <w:tcPr>
            <w:tcW w:w="8080" w:type="dxa"/>
            <w:vAlign w:val="bottom"/>
            <w:gridSpan w:val="2"/>
          </w:tcPr>
          <w:p>
            <w:pPr>
              <w:ind w:left="1780"/>
              <w:spacing w:after="0"/>
              <w:rPr>
                <w:sz w:val="20"/>
                <w:szCs w:val="20"/>
                <w:color w:val="auto"/>
              </w:rPr>
            </w:pPr>
            <w:r>
              <w:rPr>
                <w:rFonts w:ascii="Times New Roman" w:cs="Times New Roman" w:eastAsia="Times New Roman" w:hAnsi="Times New Roman"/>
                <w:sz w:val="15"/>
                <w:szCs w:val="15"/>
                <w:color w:val="auto"/>
              </w:rPr>
              <w:t>One or more series of subscription rights issuable by the Company and registered pursuant to the</w:t>
            </w:r>
          </w:p>
        </w:tc>
      </w:tr>
      <w:tr>
        <w:trPr>
          <w:trHeight w:val="198"/>
        </w:trPr>
        <w:tc>
          <w:tcPr>
            <w:tcW w:w="3180" w:type="dxa"/>
            <w:vAlign w:val="bottom"/>
          </w:tcPr>
          <w:p>
            <w:pPr>
              <w:spacing w:after="0"/>
              <w:rPr>
                <w:sz w:val="17"/>
                <w:szCs w:val="17"/>
                <w:color w:val="auto"/>
              </w:rPr>
            </w:pPr>
          </w:p>
        </w:tc>
        <w:tc>
          <w:tcPr>
            <w:tcW w:w="8080" w:type="dxa"/>
            <w:vAlign w:val="bottom"/>
            <w:gridSpan w:val="2"/>
          </w:tcPr>
          <w:p>
            <w:pPr>
              <w:ind w:left="1780"/>
              <w:spacing w:after="0"/>
              <w:rPr>
                <w:sz w:val="20"/>
                <w:szCs w:val="20"/>
                <w:color w:val="auto"/>
              </w:rPr>
            </w:pPr>
            <w:r>
              <w:rPr>
                <w:rFonts w:ascii="Times New Roman" w:cs="Times New Roman" w:eastAsia="Times New Roman" w:hAnsi="Times New Roman"/>
                <w:sz w:val="15"/>
                <w:szCs w:val="15"/>
                <w:color w:val="auto"/>
              </w:rPr>
              <w:t>Registration Statement, for the purchase of Debt</w:t>
            </w:r>
          </w:p>
        </w:tc>
      </w:tr>
      <w:tr>
        <w:trPr>
          <w:trHeight w:val="342"/>
        </w:trPr>
        <w:tc>
          <w:tcPr>
            <w:tcW w:w="31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11260"/>
          </w:cols>
          <w:pgMar w:left="320" w:top="498" w:right="319" w:bottom="1440" w:gutter="0" w:footer="0" w:header="0"/>
        </w:sectPr>
      </w:pPr>
      <w:r>
        <w:rPr>
          <w:sz w:val="20"/>
          <w:szCs w:val="20"/>
          <w:color w:val="auto"/>
        </w:rPr>
        <w:drawing>
          <wp:anchor simplePos="0" relativeHeight="251657728" behindDoc="1" locked="0" layoutInCell="0" allowOverlap="1">
            <wp:simplePos x="0" y="0"/>
            <wp:positionH relativeFrom="page">
              <wp:posOffset>2272665</wp:posOffset>
            </wp:positionH>
            <wp:positionV relativeFrom="page">
              <wp:posOffset>146685</wp:posOffset>
            </wp:positionV>
            <wp:extent cx="1109980" cy="1816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clrChange>
                        <a:clrFrom>
                          <a:srgbClr val="FFFFFF"/>
                        </a:clrFrom>
                        <a:clrTo>
                          <a:srgbClr val="FFFFFF">
                            <a:alpha val="0"/>
                          </a:srgbClr>
                        </a:clrTo>
                      </a:clrChange>
                      <a:extLst>
                        <a:ext uri="{28A0092B-C50C-407E-A947-70E740481C1C}"/>
                      </a:extLst>
                    </a:blip>
                    <a:srcRect/>
                    <a:stretch>
                      <a:fillRect/>
                    </a:stretch>
                  </pic:blipFill>
                  <pic:spPr bwMode="auto">
                    <a:xfrm>
                      <a:off x="0" y="0"/>
                      <a:ext cx="1109980" cy="181610"/>
                    </a:xfrm>
                    <a:prstGeom prst="rect">
                      <a:avLst/>
                    </a:prstGeom>
                    <a:noFill/>
                  </pic:spPr>
                </pic:pic>
              </a:graphicData>
            </a:graphic>
          </wp:anchor>
        </w:drawing>
      </w:r>
    </w:p>
    <w:bookmarkStart w:id="88" w:name="page89"/>
    <w:bookmarkEnd w:id="88"/>
    <w:tbl>
      <w:tblPr>
        <w:tblLayout w:type="fixed"/>
        <w:tblInd w:w="0" w:type="dxa"/>
        <w:tblCellMar>
          <w:top w:w="0" w:type="dxa"/>
          <w:left w:w="0" w:type="dxa"/>
          <w:bottom w:w="0" w:type="dxa"/>
          <w:right w:w="0" w:type="dxa"/>
        </w:tblCellMar>
      </w:tblPr>
      <w:tr>
        <w:trPr>
          <w:trHeight w:val="217"/>
        </w:trPr>
        <w:tc>
          <w:tcPr>
            <w:tcW w:w="2740" w:type="dxa"/>
            <w:vAlign w:val="bottom"/>
          </w:tcPr>
          <w:p>
            <w:pPr>
              <w:spacing w:after="0"/>
              <w:rPr>
                <w:sz w:val="18"/>
                <w:szCs w:val="18"/>
                <w:color w:val="auto"/>
              </w:rPr>
            </w:pPr>
          </w:p>
        </w:tc>
        <w:tc>
          <w:tcPr>
            <w:tcW w:w="85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10</w:t>
            </w:r>
          </w:p>
        </w:tc>
      </w:tr>
      <w:tr>
        <w:trPr>
          <w:trHeight w:val="510"/>
        </w:trPr>
        <w:tc>
          <w:tcPr>
            <w:tcW w:w="2740" w:type="dxa"/>
            <w:vAlign w:val="bottom"/>
          </w:tcPr>
          <w:p>
            <w:pPr>
              <w:spacing w:after="0"/>
              <w:rPr>
                <w:sz w:val="24"/>
                <w:szCs w:val="24"/>
                <w:color w:val="auto"/>
              </w:rPr>
            </w:pPr>
          </w:p>
        </w:tc>
        <w:tc>
          <w:tcPr>
            <w:tcW w:w="8520" w:type="dxa"/>
            <w:vAlign w:val="bottom"/>
          </w:tcPr>
          <w:p>
            <w:pPr>
              <w:ind w:left="2220"/>
              <w:spacing w:after="0"/>
              <w:rPr>
                <w:sz w:val="20"/>
                <w:szCs w:val="20"/>
                <w:color w:val="auto"/>
              </w:rPr>
            </w:pPr>
            <w:r>
              <w:rPr>
                <w:rFonts w:ascii="Times New Roman" w:cs="Times New Roman" w:eastAsia="Times New Roman" w:hAnsi="Times New Roman"/>
                <w:sz w:val="15"/>
                <w:szCs w:val="15"/>
                <w:color w:val="auto"/>
              </w:rPr>
              <w:t>Securities, Registered Shares or securities as specified in the applicable prospectus supplement.</w:t>
            </w:r>
          </w:p>
        </w:tc>
      </w:tr>
      <w:tr>
        <w:trPr>
          <w:trHeight w:val="259"/>
        </w:trPr>
        <w:tc>
          <w:tcPr>
            <w:tcW w:w="2740" w:type="dxa"/>
            <w:vAlign w:val="bottom"/>
          </w:tcPr>
          <w:p>
            <w:pPr>
              <w:ind w:left="10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Units</w:t>
            </w:r>
            <w:r>
              <w:rPr>
                <w:rFonts w:ascii="Times New Roman" w:cs="Times New Roman" w:eastAsia="Times New Roman" w:hAnsi="Times New Roman"/>
                <w:sz w:val="15"/>
                <w:szCs w:val="15"/>
                <w:color w:val="auto"/>
              </w:rPr>
              <w:t>"</w:t>
            </w:r>
          </w:p>
        </w:tc>
        <w:tc>
          <w:tcPr>
            <w:tcW w:w="8520" w:type="dxa"/>
            <w:vAlign w:val="bottom"/>
          </w:tcPr>
          <w:p>
            <w:pPr>
              <w:ind w:left="2220"/>
              <w:spacing w:after="0"/>
              <w:rPr>
                <w:sz w:val="20"/>
                <w:szCs w:val="20"/>
                <w:color w:val="auto"/>
              </w:rPr>
            </w:pPr>
            <w:r>
              <w:rPr>
                <w:rFonts w:ascii="Times New Roman" w:cs="Times New Roman" w:eastAsia="Times New Roman" w:hAnsi="Times New Roman"/>
                <w:sz w:val="15"/>
                <w:szCs w:val="15"/>
                <w:color w:val="auto"/>
              </w:rPr>
              <w:t>One or more series of units issuable by the Company and registered pursuant to the Registration</w:t>
            </w:r>
          </w:p>
        </w:tc>
      </w:tr>
      <w:tr>
        <w:trPr>
          <w:trHeight w:val="183"/>
        </w:trPr>
        <w:tc>
          <w:tcPr>
            <w:tcW w:w="2740" w:type="dxa"/>
            <w:vAlign w:val="bottom"/>
          </w:tcPr>
          <w:p>
            <w:pPr>
              <w:spacing w:after="0"/>
              <w:rPr>
                <w:sz w:val="15"/>
                <w:szCs w:val="15"/>
                <w:color w:val="auto"/>
              </w:rPr>
            </w:pPr>
          </w:p>
        </w:tc>
        <w:tc>
          <w:tcPr>
            <w:tcW w:w="8520" w:type="dxa"/>
            <w:vAlign w:val="bottom"/>
          </w:tcPr>
          <w:p>
            <w:pPr>
              <w:ind w:left="2220"/>
              <w:spacing w:after="0"/>
              <w:rPr>
                <w:sz w:val="20"/>
                <w:szCs w:val="20"/>
                <w:color w:val="auto"/>
              </w:rPr>
            </w:pPr>
            <w:r>
              <w:rPr>
                <w:rFonts w:ascii="Times New Roman" w:cs="Times New Roman" w:eastAsia="Times New Roman" w:hAnsi="Times New Roman"/>
                <w:sz w:val="15"/>
                <w:szCs w:val="15"/>
                <w:color w:val="auto"/>
              </w:rPr>
              <w:t>Statement consisting of one or more Debt Securities, Purchase Contracts, Registered Shares, Warrants</w:t>
            </w:r>
          </w:p>
        </w:tc>
      </w:tr>
      <w:tr>
        <w:trPr>
          <w:trHeight w:val="198"/>
        </w:trPr>
        <w:tc>
          <w:tcPr>
            <w:tcW w:w="2740" w:type="dxa"/>
            <w:vAlign w:val="bottom"/>
          </w:tcPr>
          <w:p>
            <w:pPr>
              <w:spacing w:after="0"/>
              <w:rPr>
                <w:sz w:val="17"/>
                <w:szCs w:val="17"/>
                <w:color w:val="auto"/>
              </w:rPr>
            </w:pPr>
          </w:p>
        </w:tc>
        <w:tc>
          <w:tcPr>
            <w:tcW w:w="8520" w:type="dxa"/>
            <w:vAlign w:val="bottom"/>
          </w:tcPr>
          <w:p>
            <w:pPr>
              <w:ind w:left="2220"/>
              <w:spacing w:after="0"/>
              <w:rPr>
                <w:sz w:val="20"/>
                <w:szCs w:val="20"/>
                <w:color w:val="auto"/>
              </w:rPr>
            </w:pPr>
            <w:r>
              <w:rPr>
                <w:rFonts w:ascii="Times New Roman" w:cs="Times New Roman" w:eastAsia="Times New Roman" w:hAnsi="Times New Roman"/>
                <w:sz w:val="15"/>
                <w:szCs w:val="15"/>
                <w:color w:val="auto"/>
              </w:rPr>
              <w:t>or any combination of such securities as specified in the applicable prospectus supplement.</w:t>
            </w:r>
          </w:p>
        </w:tc>
      </w:tr>
      <w:tr>
        <w:trPr>
          <w:trHeight w:val="259"/>
        </w:trPr>
        <w:tc>
          <w:tcPr>
            <w:tcW w:w="2740" w:type="dxa"/>
            <w:vAlign w:val="bottom"/>
          </w:tcPr>
          <w:p>
            <w:pPr>
              <w:ind w:left="10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Warrants</w:t>
            </w:r>
            <w:r>
              <w:rPr>
                <w:rFonts w:ascii="Times New Roman" w:cs="Times New Roman" w:eastAsia="Times New Roman" w:hAnsi="Times New Roman"/>
                <w:sz w:val="15"/>
                <w:szCs w:val="15"/>
                <w:color w:val="auto"/>
              </w:rPr>
              <w:t>"</w:t>
            </w:r>
          </w:p>
        </w:tc>
        <w:tc>
          <w:tcPr>
            <w:tcW w:w="8520" w:type="dxa"/>
            <w:vAlign w:val="bottom"/>
          </w:tcPr>
          <w:p>
            <w:pPr>
              <w:ind w:left="2220"/>
              <w:spacing w:after="0"/>
              <w:rPr>
                <w:sz w:val="20"/>
                <w:szCs w:val="20"/>
                <w:color w:val="auto"/>
              </w:rPr>
            </w:pPr>
            <w:r>
              <w:rPr>
                <w:rFonts w:ascii="Times New Roman" w:cs="Times New Roman" w:eastAsia="Times New Roman" w:hAnsi="Times New Roman"/>
                <w:sz w:val="15"/>
                <w:szCs w:val="15"/>
                <w:color w:val="auto"/>
              </w:rPr>
              <w:t>One or more series of warrants issuable by the Company and registered pursuant to the Registration</w:t>
            </w:r>
          </w:p>
        </w:tc>
      </w:tr>
      <w:tr>
        <w:trPr>
          <w:trHeight w:val="183"/>
        </w:trPr>
        <w:tc>
          <w:tcPr>
            <w:tcW w:w="2740" w:type="dxa"/>
            <w:vAlign w:val="bottom"/>
          </w:tcPr>
          <w:p>
            <w:pPr>
              <w:spacing w:after="0"/>
              <w:rPr>
                <w:sz w:val="15"/>
                <w:szCs w:val="15"/>
                <w:color w:val="auto"/>
              </w:rPr>
            </w:pPr>
          </w:p>
        </w:tc>
        <w:tc>
          <w:tcPr>
            <w:tcW w:w="8520" w:type="dxa"/>
            <w:vAlign w:val="bottom"/>
          </w:tcPr>
          <w:p>
            <w:pPr>
              <w:ind w:left="2220"/>
              <w:spacing w:after="0"/>
              <w:rPr>
                <w:sz w:val="20"/>
                <w:szCs w:val="20"/>
                <w:color w:val="auto"/>
              </w:rPr>
            </w:pPr>
            <w:r>
              <w:rPr>
                <w:rFonts w:ascii="Times New Roman" w:cs="Times New Roman" w:eastAsia="Times New Roman" w:hAnsi="Times New Roman"/>
                <w:sz w:val="15"/>
                <w:szCs w:val="15"/>
                <w:color w:val="auto"/>
              </w:rPr>
              <w:t>Statement for the purchase of Debt Securities, Registered Shares or other securities as specified in the</w:t>
            </w:r>
          </w:p>
        </w:tc>
      </w:tr>
      <w:tr>
        <w:trPr>
          <w:trHeight w:val="198"/>
        </w:trPr>
        <w:tc>
          <w:tcPr>
            <w:tcW w:w="2740" w:type="dxa"/>
            <w:vAlign w:val="bottom"/>
          </w:tcPr>
          <w:p>
            <w:pPr>
              <w:spacing w:after="0"/>
              <w:rPr>
                <w:sz w:val="17"/>
                <w:szCs w:val="17"/>
                <w:color w:val="auto"/>
              </w:rPr>
            </w:pPr>
          </w:p>
        </w:tc>
        <w:tc>
          <w:tcPr>
            <w:tcW w:w="8520" w:type="dxa"/>
            <w:vAlign w:val="bottom"/>
          </w:tcPr>
          <w:p>
            <w:pPr>
              <w:ind w:left="2220"/>
              <w:spacing w:after="0"/>
              <w:rPr>
                <w:sz w:val="20"/>
                <w:szCs w:val="20"/>
                <w:color w:val="auto"/>
              </w:rPr>
            </w:pPr>
            <w:r>
              <w:rPr>
                <w:rFonts w:ascii="Times New Roman" w:cs="Times New Roman" w:eastAsia="Times New Roman" w:hAnsi="Times New Roman"/>
                <w:sz w:val="15"/>
                <w:szCs w:val="15"/>
                <w:color w:val="auto"/>
              </w:rPr>
              <w:t>applicable prospectus supplement.</w:t>
            </w:r>
          </w:p>
        </w:tc>
      </w:tr>
      <w:tr>
        <w:trPr>
          <w:trHeight w:val="342"/>
        </w:trPr>
        <w:tc>
          <w:tcPr>
            <w:tcW w:w="2740" w:type="dxa"/>
            <w:vAlign w:val="bottom"/>
            <w:tcBorders>
              <w:bottom w:val="single" w:sz="8" w:color="auto"/>
            </w:tcBorders>
          </w:tcPr>
          <w:p>
            <w:pPr>
              <w:spacing w:after="0"/>
              <w:rPr>
                <w:sz w:val="24"/>
                <w:szCs w:val="24"/>
                <w:color w:val="auto"/>
              </w:rPr>
            </w:pPr>
          </w:p>
        </w:tc>
        <w:tc>
          <w:tcPr>
            <w:tcW w:w="8520" w:type="dxa"/>
            <w:vAlign w:val="bottom"/>
            <w:tcBorders>
              <w:bottom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11260"/>
          </w:cols>
          <w:pgMar w:left="320" w:top="498" w:right="319" w:bottom="1440" w:gutter="0" w:footer="0" w:header="0"/>
        </w:sectPr>
      </w:pPr>
      <w:r>
        <w:rPr>
          <w:sz w:val="20"/>
          <w:szCs w:val="20"/>
          <w:color w:val="auto"/>
        </w:rPr>
        <w:drawing>
          <wp:anchor simplePos="0" relativeHeight="251657728" behindDoc="1" locked="0" layoutInCell="0" allowOverlap="1">
            <wp:simplePos x="0" y="0"/>
            <wp:positionH relativeFrom="page">
              <wp:posOffset>2272665</wp:posOffset>
            </wp:positionH>
            <wp:positionV relativeFrom="page">
              <wp:posOffset>146685</wp:posOffset>
            </wp:positionV>
            <wp:extent cx="1109980" cy="1816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1109980" cy="181610"/>
                    </a:xfrm>
                    <a:prstGeom prst="rect">
                      <a:avLst/>
                    </a:prstGeom>
                    <a:noFill/>
                  </pic:spPr>
                </pic:pic>
              </a:graphicData>
            </a:graphic>
          </wp:anchor>
        </w:drawing>
      </w:r>
    </w:p>
    <w:bookmarkStart w:id="89" w:name="page90"/>
    <w:bookmarkEnd w:id="89"/>
    <w:p>
      <w:pPr>
        <w:jc w:val="right"/>
        <w:spacing w:after="0"/>
        <w:rPr>
          <w:sz w:val="20"/>
          <w:szCs w:val="20"/>
          <w:color w:val="auto"/>
        </w:rPr>
      </w:pPr>
      <w:r>
        <w:rPr>
          <w:rFonts w:ascii="Arial" w:cs="Arial" w:eastAsia="Arial" w:hAnsi="Arial"/>
          <w:sz w:val="15"/>
          <w:szCs w:val="15"/>
          <w:b w:val="1"/>
          <w:bCs w:val="1"/>
          <w:color w:val="auto"/>
        </w:rPr>
        <w:t>Exhibit 5.2</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OPINION OF DAVIS POLK &amp; WARDWELL LLP</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March 27, 2025</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Immatics N.V.</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Paul-Ehrlich-Straße 15</w:t>
      </w:r>
    </w:p>
    <w:p>
      <w:pPr>
        <w:spacing w:after="0" w:line="238" w:lineRule="auto"/>
        <w:rPr>
          <w:sz w:val="20"/>
          <w:szCs w:val="20"/>
          <w:color w:val="auto"/>
        </w:rPr>
      </w:pPr>
      <w:r>
        <w:rPr>
          <w:rFonts w:ascii="Arial" w:cs="Arial" w:eastAsia="Arial" w:hAnsi="Arial"/>
          <w:sz w:val="15"/>
          <w:szCs w:val="15"/>
          <w:color w:val="auto"/>
        </w:rPr>
        <w:t>72076 Tübingen</w:t>
      </w:r>
    </w:p>
    <w:p>
      <w:pPr>
        <w:spacing w:after="0"/>
        <w:rPr>
          <w:sz w:val="20"/>
          <w:szCs w:val="20"/>
          <w:color w:val="auto"/>
        </w:rPr>
      </w:pPr>
      <w:r>
        <w:rPr>
          <w:rFonts w:ascii="Arial" w:cs="Arial" w:eastAsia="Arial" w:hAnsi="Arial"/>
          <w:sz w:val="15"/>
          <w:szCs w:val="15"/>
          <w:color w:val="auto"/>
        </w:rPr>
        <w:t>Federal Republic of Germany</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Ladies and Gentlemen:</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Immatics N.V., a </w:t>
      </w:r>
      <w:r>
        <w:rPr>
          <w:rFonts w:ascii="Arial" w:cs="Arial" w:eastAsia="Arial" w:hAnsi="Arial"/>
          <w:sz w:val="15"/>
          <w:szCs w:val="15"/>
          <w:i w:val="1"/>
          <w:iCs w:val="1"/>
          <w:color w:val="auto"/>
        </w:rPr>
        <w:t>naamloze vennootschap</w:t>
      </w:r>
      <w:r>
        <w:rPr>
          <w:rFonts w:ascii="Arial" w:cs="Arial" w:eastAsia="Arial" w:hAnsi="Arial"/>
          <w:sz w:val="15"/>
          <w:szCs w:val="15"/>
          <w:color w:val="auto"/>
        </w:rPr>
        <w:t xml:space="preserve"> organized under the laws of the Netherlands (the “</w:t>
      </w:r>
      <w:r>
        <w:rPr>
          <w:rFonts w:ascii="Arial" w:cs="Arial" w:eastAsia="Arial" w:hAnsi="Arial"/>
          <w:sz w:val="15"/>
          <w:szCs w:val="15"/>
          <w:b w:val="1"/>
          <w:bCs w:val="1"/>
          <w:color w:val="auto"/>
        </w:rPr>
        <w:t>Company</w:t>
      </w:r>
      <w:r>
        <w:rPr>
          <w:rFonts w:ascii="Arial" w:cs="Arial" w:eastAsia="Arial" w:hAnsi="Arial"/>
          <w:sz w:val="15"/>
          <w:szCs w:val="15"/>
          <w:color w:val="auto"/>
        </w:rPr>
        <w:t>”) is filing with the Securities and Exchange Commission a</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Registration Statement on Form F-3 (the “</w:t>
      </w:r>
      <w:r>
        <w:rPr>
          <w:rFonts w:ascii="Arial" w:cs="Arial" w:eastAsia="Arial" w:hAnsi="Arial"/>
          <w:sz w:val="15"/>
          <w:szCs w:val="15"/>
          <w:b w:val="1"/>
          <w:bCs w:val="1"/>
          <w:color w:val="auto"/>
        </w:rPr>
        <w:t>Registration Statement</w:t>
      </w:r>
      <w:r>
        <w:rPr>
          <w:rFonts w:ascii="Arial" w:cs="Arial" w:eastAsia="Arial" w:hAnsi="Arial"/>
          <w:sz w:val="15"/>
          <w:szCs w:val="15"/>
          <w:color w:val="auto"/>
        </w:rPr>
        <w:t>”) for the purpose of registering under the Securities Act of 1933, as amended (the “</w:t>
      </w:r>
      <w:r>
        <w:rPr>
          <w:rFonts w:ascii="Arial" w:cs="Arial" w:eastAsia="Arial" w:hAnsi="Arial"/>
          <w:sz w:val="15"/>
          <w:szCs w:val="15"/>
          <w:b w:val="1"/>
          <w:bCs w:val="1"/>
          <w:color w:val="auto"/>
        </w:rPr>
        <w:t>Securities</w:t>
      </w:r>
    </w:p>
    <w:p>
      <w:pPr>
        <w:spacing w:after="0" w:line="238" w:lineRule="auto"/>
        <w:rPr>
          <w:sz w:val="20"/>
          <w:szCs w:val="20"/>
          <w:color w:val="auto"/>
        </w:rPr>
      </w:pPr>
      <w:r>
        <w:rPr>
          <w:rFonts w:ascii="Arial" w:cs="Arial" w:eastAsia="Arial" w:hAnsi="Arial"/>
          <w:sz w:val="15"/>
          <w:szCs w:val="15"/>
          <w:b w:val="1"/>
          <w:bCs w:val="1"/>
          <w:color w:val="auto"/>
        </w:rPr>
        <w:t>Act</w:t>
      </w:r>
      <w:r>
        <w:rPr>
          <w:rFonts w:ascii="Arial" w:cs="Arial" w:eastAsia="Arial" w:hAnsi="Arial"/>
          <w:sz w:val="15"/>
          <w:szCs w:val="15"/>
          <w:color w:val="auto"/>
        </w:rPr>
        <w:t>”), (a) ordinary shares, nominal value €0.01 per share (the “</w:t>
      </w:r>
      <w:r>
        <w:rPr>
          <w:rFonts w:ascii="Arial" w:cs="Arial" w:eastAsia="Arial" w:hAnsi="Arial"/>
          <w:sz w:val="15"/>
          <w:szCs w:val="15"/>
          <w:b w:val="1"/>
          <w:bCs w:val="1"/>
          <w:color w:val="auto"/>
        </w:rPr>
        <w:t>Ordinary Shares</w:t>
      </w:r>
      <w:r>
        <w:rPr>
          <w:rFonts w:ascii="Arial" w:cs="Arial" w:eastAsia="Arial" w:hAnsi="Arial"/>
          <w:sz w:val="15"/>
          <w:szCs w:val="15"/>
          <w:color w:val="auto"/>
        </w:rPr>
        <w:t>”) of the Company; (b) the Company’s debt securities (the “</w:t>
      </w:r>
      <w:r>
        <w:rPr>
          <w:rFonts w:ascii="Arial" w:cs="Arial" w:eastAsia="Arial" w:hAnsi="Arial"/>
          <w:sz w:val="15"/>
          <w:szCs w:val="15"/>
          <w:b w:val="1"/>
          <w:bCs w:val="1"/>
          <w:color w:val="auto"/>
        </w:rPr>
        <w:t>Debt Securities</w:t>
      </w:r>
      <w:r>
        <w:rPr>
          <w:rFonts w:ascii="Arial" w:cs="Arial" w:eastAsia="Arial" w:hAnsi="Arial"/>
          <w:sz w:val="15"/>
          <w:szCs w:val="15"/>
          <w:color w:val="auto"/>
        </w:rPr>
        <w:t>”), which</w:t>
      </w:r>
    </w:p>
    <w:p>
      <w:pPr>
        <w:spacing w:after="0"/>
        <w:rPr>
          <w:sz w:val="20"/>
          <w:szCs w:val="20"/>
          <w:color w:val="auto"/>
        </w:rPr>
      </w:pPr>
      <w:r>
        <w:rPr>
          <w:rFonts w:ascii="Arial" w:cs="Arial" w:eastAsia="Arial" w:hAnsi="Arial"/>
          <w:sz w:val="15"/>
          <w:szCs w:val="15"/>
          <w:color w:val="auto"/>
        </w:rPr>
        <w:t>may be issued pursuant to an indenture to be entered into between the Company and the trustee to be named therein (the “</w:t>
      </w:r>
      <w:r>
        <w:rPr>
          <w:rFonts w:ascii="Arial" w:cs="Arial" w:eastAsia="Arial" w:hAnsi="Arial"/>
          <w:sz w:val="15"/>
          <w:szCs w:val="15"/>
          <w:b w:val="1"/>
          <w:bCs w:val="1"/>
          <w:color w:val="auto"/>
        </w:rPr>
        <w:t>Trustee</w:t>
      </w:r>
      <w:r>
        <w:rPr>
          <w:rFonts w:ascii="Arial" w:cs="Arial" w:eastAsia="Arial" w:hAnsi="Arial"/>
          <w:sz w:val="15"/>
          <w:szCs w:val="15"/>
          <w:color w:val="auto"/>
        </w:rPr>
        <w:t>”) (the “</w:t>
      </w:r>
      <w:r>
        <w:rPr>
          <w:rFonts w:ascii="Arial" w:cs="Arial" w:eastAsia="Arial" w:hAnsi="Arial"/>
          <w:sz w:val="15"/>
          <w:szCs w:val="15"/>
          <w:b w:val="1"/>
          <w:bCs w:val="1"/>
          <w:color w:val="auto"/>
        </w:rPr>
        <w:t>Indenture</w:t>
      </w:r>
      <w:r>
        <w:rPr>
          <w:rFonts w:ascii="Arial" w:cs="Arial" w:eastAsia="Arial" w:hAnsi="Arial"/>
          <w:sz w:val="15"/>
          <w:szCs w:val="15"/>
          <w:color w:val="auto"/>
        </w:rPr>
        <w:t>”); (c) warrants of</w:t>
      </w:r>
    </w:p>
    <w:p>
      <w:pPr>
        <w:spacing w:after="0" w:line="238" w:lineRule="auto"/>
        <w:rPr>
          <w:sz w:val="20"/>
          <w:szCs w:val="20"/>
          <w:color w:val="auto"/>
        </w:rPr>
      </w:pPr>
      <w:r>
        <w:rPr>
          <w:rFonts w:ascii="Arial" w:cs="Arial" w:eastAsia="Arial" w:hAnsi="Arial"/>
          <w:sz w:val="15"/>
          <w:szCs w:val="15"/>
          <w:color w:val="auto"/>
        </w:rPr>
        <w:t>the Company (the “</w:t>
      </w:r>
      <w:r>
        <w:rPr>
          <w:rFonts w:ascii="Arial" w:cs="Arial" w:eastAsia="Arial" w:hAnsi="Arial"/>
          <w:sz w:val="15"/>
          <w:szCs w:val="15"/>
          <w:b w:val="1"/>
          <w:bCs w:val="1"/>
          <w:color w:val="auto"/>
        </w:rPr>
        <w:t>Warrants</w:t>
      </w:r>
      <w:r>
        <w:rPr>
          <w:rFonts w:ascii="Arial" w:cs="Arial" w:eastAsia="Arial" w:hAnsi="Arial"/>
          <w:sz w:val="15"/>
          <w:szCs w:val="15"/>
          <w:color w:val="auto"/>
        </w:rPr>
        <w:t>”), which may be issued pursuant to one or more warrant agreements to be entered into between the Company and the warrant agent to</w:t>
      </w:r>
    </w:p>
    <w:p>
      <w:pPr>
        <w:spacing w:after="0"/>
        <w:rPr>
          <w:sz w:val="20"/>
          <w:szCs w:val="20"/>
          <w:color w:val="auto"/>
        </w:rPr>
      </w:pPr>
      <w:r>
        <w:rPr>
          <w:rFonts w:ascii="Arial" w:cs="Arial" w:eastAsia="Arial" w:hAnsi="Arial"/>
          <w:sz w:val="15"/>
          <w:szCs w:val="15"/>
          <w:color w:val="auto"/>
        </w:rPr>
        <w:t>be named therein (the “</w:t>
      </w:r>
      <w:r>
        <w:rPr>
          <w:rFonts w:ascii="Arial" w:cs="Arial" w:eastAsia="Arial" w:hAnsi="Arial"/>
          <w:sz w:val="15"/>
          <w:szCs w:val="15"/>
          <w:b w:val="1"/>
          <w:bCs w:val="1"/>
          <w:color w:val="auto"/>
        </w:rPr>
        <w:t>Warrant Agent</w:t>
      </w:r>
      <w:r>
        <w:rPr>
          <w:rFonts w:ascii="Arial" w:cs="Arial" w:eastAsia="Arial" w:hAnsi="Arial"/>
          <w:sz w:val="15"/>
          <w:szCs w:val="15"/>
          <w:color w:val="auto"/>
        </w:rPr>
        <w:t>”) (each such warrant agreement, a “</w:t>
      </w:r>
      <w:r>
        <w:rPr>
          <w:rFonts w:ascii="Arial" w:cs="Arial" w:eastAsia="Arial" w:hAnsi="Arial"/>
          <w:sz w:val="15"/>
          <w:szCs w:val="15"/>
          <w:b w:val="1"/>
          <w:bCs w:val="1"/>
          <w:color w:val="auto"/>
        </w:rPr>
        <w:t>Warrant Agreement</w:t>
      </w:r>
      <w:r>
        <w:rPr>
          <w:rFonts w:ascii="Arial" w:cs="Arial" w:eastAsia="Arial" w:hAnsi="Arial"/>
          <w:sz w:val="15"/>
          <w:szCs w:val="15"/>
          <w:color w:val="auto"/>
        </w:rPr>
        <w:t>”); (d) purchase contracts (the “</w:t>
      </w:r>
      <w:r>
        <w:rPr>
          <w:rFonts w:ascii="Arial" w:cs="Arial" w:eastAsia="Arial" w:hAnsi="Arial"/>
          <w:sz w:val="15"/>
          <w:szCs w:val="15"/>
          <w:b w:val="1"/>
          <w:bCs w:val="1"/>
          <w:color w:val="auto"/>
        </w:rPr>
        <w:t>Purchase Contracts</w:t>
      </w:r>
      <w:r>
        <w:rPr>
          <w:rFonts w:ascii="Arial" w:cs="Arial" w:eastAsia="Arial" w:hAnsi="Arial"/>
          <w:sz w:val="15"/>
          <w:szCs w:val="15"/>
          <w:color w:val="auto"/>
        </w:rPr>
        <w:t>”), which may be</w:t>
      </w:r>
    </w:p>
    <w:p>
      <w:pPr>
        <w:spacing w:after="0" w:line="238" w:lineRule="auto"/>
        <w:rPr>
          <w:sz w:val="20"/>
          <w:szCs w:val="20"/>
          <w:color w:val="auto"/>
        </w:rPr>
      </w:pPr>
      <w:r>
        <w:rPr>
          <w:rFonts w:ascii="Arial" w:cs="Arial" w:eastAsia="Arial" w:hAnsi="Arial"/>
          <w:sz w:val="15"/>
          <w:szCs w:val="15"/>
          <w:color w:val="auto"/>
        </w:rPr>
        <w:t>issued pursuant to one or more purchase contract agreements to be entered into between the Company and the purchase contract agent to be named therein (the</w:t>
      </w: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Purchase Contract Agent</w:t>
      </w:r>
      <w:r>
        <w:rPr>
          <w:rFonts w:ascii="Arial" w:cs="Arial" w:eastAsia="Arial" w:hAnsi="Arial"/>
          <w:sz w:val="15"/>
          <w:szCs w:val="15"/>
          <w:color w:val="auto"/>
        </w:rPr>
        <w:t>”) (each such purchase contract agreement, a “</w:t>
      </w:r>
      <w:r>
        <w:rPr>
          <w:rFonts w:ascii="Arial" w:cs="Arial" w:eastAsia="Arial" w:hAnsi="Arial"/>
          <w:sz w:val="15"/>
          <w:szCs w:val="15"/>
          <w:b w:val="1"/>
          <w:bCs w:val="1"/>
          <w:color w:val="auto"/>
        </w:rPr>
        <w:t>Purchase Contract Agreement</w:t>
      </w:r>
      <w:r>
        <w:rPr>
          <w:rFonts w:ascii="Arial" w:cs="Arial" w:eastAsia="Arial" w:hAnsi="Arial"/>
          <w:sz w:val="15"/>
          <w:szCs w:val="15"/>
          <w:color w:val="auto"/>
        </w:rPr>
        <w:t>”); (e) units (the “</w:t>
      </w:r>
      <w:r>
        <w:rPr>
          <w:rFonts w:ascii="Arial" w:cs="Arial" w:eastAsia="Arial" w:hAnsi="Arial"/>
          <w:sz w:val="15"/>
          <w:szCs w:val="15"/>
          <w:b w:val="1"/>
          <w:bCs w:val="1"/>
          <w:color w:val="auto"/>
        </w:rPr>
        <w:t>Units</w:t>
      </w:r>
      <w:r>
        <w:rPr>
          <w:rFonts w:ascii="Arial" w:cs="Arial" w:eastAsia="Arial" w:hAnsi="Arial"/>
          <w:sz w:val="15"/>
          <w:szCs w:val="15"/>
          <w:color w:val="auto"/>
        </w:rPr>
        <w:t>”), which may be issued pursuant to</w:t>
      </w:r>
    </w:p>
    <w:p>
      <w:pPr>
        <w:spacing w:after="0" w:line="238" w:lineRule="auto"/>
        <w:rPr>
          <w:sz w:val="20"/>
          <w:szCs w:val="20"/>
          <w:color w:val="auto"/>
        </w:rPr>
      </w:pPr>
      <w:r>
        <w:rPr>
          <w:rFonts w:ascii="Arial" w:cs="Arial" w:eastAsia="Arial" w:hAnsi="Arial"/>
          <w:sz w:val="15"/>
          <w:szCs w:val="15"/>
          <w:color w:val="auto"/>
        </w:rPr>
        <w:t>one or more unit agreements to be entered into among the Company, a bank or trust company, as unit agent (the “</w:t>
      </w:r>
      <w:r>
        <w:rPr>
          <w:rFonts w:ascii="Arial" w:cs="Arial" w:eastAsia="Arial" w:hAnsi="Arial"/>
          <w:sz w:val="15"/>
          <w:szCs w:val="15"/>
          <w:b w:val="1"/>
          <w:bCs w:val="1"/>
          <w:color w:val="auto"/>
        </w:rPr>
        <w:t>Unit Agent</w:t>
      </w:r>
      <w:r>
        <w:rPr>
          <w:rFonts w:ascii="Arial" w:cs="Arial" w:eastAsia="Arial" w:hAnsi="Arial"/>
          <w:sz w:val="15"/>
          <w:szCs w:val="15"/>
          <w:color w:val="auto"/>
        </w:rPr>
        <w:t>”), and the holders from time to time of</w:t>
      </w:r>
    </w:p>
    <w:p>
      <w:pPr>
        <w:spacing w:after="0"/>
        <w:rPr>
          <w:sz w:val="20"/>
          <w:szCs w:val="20"/>
          <w:color w:val="auto"/>
        </w:rPr>
      </w:pPr>
      <w:r>
        <w:rPr>
          <w:rFonts w:ascii="Arial" w:cs="Arial" w:eastAsia="Arial" w:hAnsi="Arial"/>
          <w:sz w:val="15"/>
          <w:szCs w:val="15"/>
          <w:color w:val="auto"/>
        </w:rPr>
        <w:t>the Units (each such unit agreement, a “</w:t>
      </w:r>
      <w:r>
        <w:rPr>
          <w:rFonts w:ascii="Arial" w:cs="Arial" w:eastAsia="Arial" w:hAnsi="Arial"/>
          <w:sz w:val="15"/>
          <w:szCs w:val="15"/>
          <w:b w:val="1"/>
          <w:bCs w:val="1"/>
          <w:color w:val="auto"/>
        </w:rPr>
        <w:t>Unit Agreement</w:t>
      </w:r>
      <w:r>
        <w:rPr>
          <w:rFonts w:ascii="Arial" w:cs="Arial" w:eastAsia="Arial" w:hAnsi="Arial"/>
          <w:sz w:val="15"/>
          <w:szCs w:val="15"/>
          <w:color w:val="auto"/>
        </w:rPr>
        <w:t>”); and (f) subscription rights (the “</w:t>
      </w:r>
      <w:r>
        <w:rPr>
          <w:rFonts w:ascii="Arial" w:cs="Arial" w:eastAsia="Arial" w:hAnsi="Arial"/>
          <w:sz w:val="15"/>
          <w:szCs w:val="15"/>
          <w:b w:val="1"/>
          <w:bCs w:val="1"/>
          <w:color w:val="auto"/>
        </w:rPr>
        <w:t>Rights</w:t>
      </w:r>
      <w:r>
        <w:rPr>
          <w:rFonts w:ascii="Arial" w:cs="Arial" w:eastAsia="Arial" w:hAnsi="Arial"/>
          <w:sz w:val="15"/>
          <w:szCs w:val="15"/>
          <w:color w:val="auto"/>
        </w:rPr>
        <w:t>”), which may be issued pursuant to one or more subscription rights</w:t>
      </w:r>
    </w:p>
    <w:p>
      <w:pPr>
        <w:spacing w:after="0" w:line="238" w:lineRule="auto"/>
        <w:rPr>
          <w:sz w:val="20"/>
          <w:szCs w:val="20"/>
          <w:color w:val="auto"/>
        </w:rPr>
      </w:pPr>
      <w:r>
        <w:rPr>
          <w:rFonts w:ascii="Arial" w:cs="Arial" w:eastAsia="Arial" w:hAnsi="Arial"/>
          <w:sz w:val="15"/>
          <w:szCs w:val="15"/>
          <w:color w:val="auto"/>
        </w:rPr>
        <w:t>agreements to be entered into between the Company and the subscription agent to be named therein (the “</w:t>
      </w:r>
      <w:r>
        <w:rPr>
          <w:rFonts w:ascii="Arial" w:cs="Arial" w:eastAsia="Arial" w:hAnsi="Arial"/>
          <w:sz w:val="15"/>
          <w:szCs w:val="15"/>
          <w:b w:val="1"/>
          <w:bCs w:val="1"/>
          <w:color w:val="auto"/>
        </w:rPr>
        <w:t>Rights Agent</w:t>
      </w:r>
      <w:r>
        <w:rPr>
          <w:rFonts w:ascii="Arial" w:cs="Arial" w:eastAsia="Arial" w:hAnsi="Arial"/>
          <w:sz w:val="15"/>
          <w:szCs w:val="15"/>
          <w:color w:val="auto"/>
        </w:rPr>
        <w:t>”) (each such subscription rights agreement,</w:t>
      </w:r>
    </w:p>
    <w:p>
      <w:pPr>
        <w:spacing w:after="0"/>
        <w:rPr>
          <w:sz w:val="20"/>
          <w:szCs w:val="20"/>
          <w:color w:val="auto"/>
        </w:rPr>
      </w:pPr>
      <w:r>
        <w:rPr>
          <w:rFonts w:ascii="Arial" w:cs="Arial" w:eastAsia="Arial" w:hAnsi="Arial"/>
          <w:sz w:val="15"/>
          <w:szCs w:val="15"/>
          <w:color w:val="auto"/>
        </w:rPr>
        <w:t>a “</w:t>
      </w:r>
      <w:r>
        <w:rPr>
          <w:rFonts w:ascii="Arial" w:cs="Arial" w:eastAsia="Arial" w:hAnsi="Arial"/>
          <w:sz w:val="15"/>
          <w:szCs w:val="15"/>
          <w:b w:val="1"/>
          <w:bCs w:val="1"/>
          <w:color w:val="auto"/>
        </w:rPr>
        <w:t>Rights Agreement</w:t>
      </w:r>
      <w:r>
        <w:rPr>
          <w:rFonts w:ascii="Arial" w:cs="Arial" w:eastAsia="Arial" w:hAnsi="Arial"/>
          <w:sz w:val="15"/>
          <w:szCs w:val="15"/>
          <w:color w:val="auto"/>
        </w:rPr>
        <w:t>”).</w:t>
      </w:r>
    </w:p>
    <w:p>
      <w:pPr>
        <w:spacing w:after="0" w:line="156"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17" w:lineRule="exact"/>
        <w:rPr>
          <w:sz w:val="20"/>
          <w:szCs w:val="20"/>
          <w:color w:val="auto"/>
        </w:rPr>
      </w:pPr>
    </w:p>
    <w:p>
      <w:pPr>
        <w:ind w:right="200"/>
        <w:spacing w:after="0" w:line="247" w:lineRule="auto"/>
        <w:rPr>
          <w:sz w:val="20"/>
          <w:szCs w:val="20"/>
          <w:color w:val="auto"/>
        </w:rPr>
      </w:pPr>
      <w:r>
        <w:rPr>
          <w:rFonts w:ascii="Arial" w:cs="Arial" w:eastAsia="Arial" w:hAnsi="Arial"/>
          <w:sz w:val="15"/>
          <w:szCs w:val="15"/>
          <w:color w:val="auto"/>
        </w:rPr>
        <w:t>In rendering the opinions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 (v) 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Based upon the foregoing, and subject to the additional assumptions and qualifications set forth below, we advise you that, in our opinion:</w:t>
      </w:r>
    </w:p>
    <w:p>
      <w:pPr>
        <w:spacing w:after="0" w:line="170" w:lineRule="exact"/>
        <w:rPr>
          <w:sz w:val="20"/>
          <w:szCs w:val="20"/>
          <w:color w:val="auto"/>
        </w:rPr>
      </w:pPr>
    </w:p>
    <w:p>
      <w:pPr>
        <w:ind w:left="1080" w:right="80" w:hanging="540"/>
        <w:spacing w:after="0" w:line="246" w:lineRule="auto"/>
        <w:tabs>
          <w:tab w:leader="none" w:pos="1080" w:val="left"/>
        </w:tabs>
        <w:numPr>
          <w:ilvl w:val="0"/>
          <w:numId w:val="59"/>
        </w:numPr>
        <w:rPr>
          <w:rFonts w:ascii="Arial" w:cs="Arial" w:eastAsia="Arial" w:hAnsi="Arial"/>
          <w:sz w:val="15"/>
          <w:szCs w:val="15"/>
          <w:color w:val="auto"/>
        </w:rPr>
      </w:pPr>
      <w:r>
        <w:rPr>
          <w:rFonts w:ascii="Arial" w:cs="Arial" w:eastAsia="Arial" w:hAnsi="Arial"/>
          <w:sz w:val="15"/>
          <w:szCs w:val="15"/>
          <w:color w:val="auto"/>
        </w:rPr>
        <w:t>When the Indenture and any supplemental indenture to be entered into in connection with the issuance of any Debt Securities have been duly authorized, executed and delivered by the Trustee and the Company; the specific terms of a particular series of Debt Securities have been duly authorized and established in accordance with the Indenture; and such Debt Securities have been duly authorized, executed, authenticated, issued and delivered in accordance with the Indenture and the applicable underwriting or other agreement against payment therefor, such Debt Securities will constitute valid and binding obligations of the Company, enforceable in accordance with their terms, subject to applicable bankruptcy, insolvency and similar laws affecting creditors’ rights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53275"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60"/>
          </w:cols>
          <w:pgMar w:left="320" w:top="330" w:right="319" w:bottom="1440" w:gutter="0" w:footer="0" w:header="0"/>
        </w:sectPr>
      </w:pPr>
    </w:p>
    <w:bookmarkStart w:id="90" w:name="page91"/>
    <w:bookmarkEnd w:id="90"/>
    <w:p>
      <w:pPr>
        <w:ind w:left="540"/>
        <w:spacing w:after="0" w:line="244" w:lineRule="auto"/>
        <w:rPr>
          <w:sz w:val="20"/>
          <w:szCs w:val="20"/>
          <w:color w:val="auto"/>
        </w:rPr>
      </w:pPr>
      <w:r>
        <w:rPr>
          <w:rFonts w:ascii="Arial" w:cs="Arial" w:eastAsia="Arial" w:hAnsi="Arial"/>
          <w:sz w:val="15"/>
          <w:szCs w:val="15"/>
          <w:color w:val="auto"/>
        </w:rPr>
        <w:t>concepts of reasonableness and equitable principles of general applicability, and may be subject to possible judicial or regulatory actions giving effect to governmental actions or foreign laws affecting creditors’ rights, provided that we express no opinion as to (w) the enforceability of any waiver of rights under any usury or stay law, (x) the effect of fraudulent conveyance, fraudulent transfer or similar provision of applicable law on the conclusions expressed above, (y) the validity, legally binding effect or enforceability of any section of the Indenture that requires or relates to adjustments to the conversion rate at a rate or in an amount that a court would determine in the circumstances under applicable law to be commercially unreasonable or a penalty or forfeiture or (z) the validity, legally binding effect or enforceability of any provision that permits holders to collect any portion of stated principal amount upon acceleration of the Debt Securities to the extent determined to constitute unearned interest.</w:t>
      </w:r>
    </w:p>
    <w:p>
      <w:pPr>
        <w:spacing w:after="0" w:line="144" w:lineRule="exact"/>
        <w:rPr>
          <w:sz w:val="20"/>
          <w:szCs w:val="20"/>
          <w:color w:val="auto"/>
        </w:rPr>
      </w:pPr>
    </w:p>
    <w:p>
      <w:pPr>
        <w:ind w:left="540" w:right="40" w:hanging="540"/>
        <w:spacing w:after="0" w:line="244" w:lineRule="auto"/>
        <w:tabs>
          <w:tab w:leader="none" w:pos="5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When the Warrant Agreement to be entered into in connection with the issuance of any Warrants has been duly authorized, executed and delivered by the Warrant Agent and the Company; the specific terms of the Warrants have been duly authorized and established in accordance with the Warrant Agreement; and such Warrants have been duly authorized, executed, issued and delivered in accordance with the Warrant Agreement and the applicable underwriting or other agreement against payment therefor, such Warrants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and may be subject to possible judicial or regulatory actions giving effect to governmental actions or foreign laws affecting creditors’ rights.</w:t>
      </w:r>
    </w:p>
    <w:p>
      <w:pPr>
        <w:spacing w:after="0" w:line="143" w:lineRule="exact"/>
        <w:rPr>
          <w:rFonts w:ascii="Arial" w:cs="Arial" w:eastAsia="Arial" w:hAnsi="Arial"/>
          <w:sz w:val="15"/>
          <w:szCs w:val="15"/>
          <w:color w:val="auto"/>
        </w:rPr>
      </w:pPr>
    </w:p>
    <w:p>
      <w:pPr>
        <w:ind w:left="540" w:hanging="540"/>
        <w:spacing w:after="0" w:line="244" w:lineRule="auto"/>
        <w:tabs>
          <w:tab w:leader="none" w:pos="5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When the Purchase Contract Agreement to be entered into in connection with the issuance of any Purchase Contracts has been duly authorized, executed and delivered by the Purchase Contract Agent and the Company; the specific terms of the Purchase Contracts have been duly authorized and established in accordance with the Purchase Contract Agreement; and such Purchase Contracts have been duly authorized, executed, issued and delivered in accordance with the Purchase Contract Agreement and the applicable underwriting or other agreement against payment therefor, such Purchase Contracts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and may be subject to possible judicial or regulatory actions giving effect to governmental actions or foreign laws affecting creditors’ rights.</w:t>
      </w:r>
    </w:p>
    <w:p>
      <w:pPr>
        <w:spacing w:after="0" w:line="143" w:lineRule="exact"/>
        <w:rPr>
          <w:rFonts w:ascii="Arial" w:cs="Arial" w:eastAsia="Arial" w:hAnsi="Arial"/>
          <w:sz w:val="15"/>
          <w:szCs w:val="15"/>
          <w:color w:val="auto"/>
        </w:rPr>
      </w:pPr>
    </w:p>
    <w:p>
      <w:pPr>
        <w:ind w:left="540" w:hanging="540"/>
        <w:spacing w:after="0" w:line="244" w:lineRule="auto"/>
        <w:tabs>
          <w:tab w:leader="none" w:pos="5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When the Unit Agreement to be entered into in connection with the issuance of any Units has been duly authorized, executed and delivered by the Unit Agent and the Company; the specific terms of the Units have been duly authorized and established in accordance with the Unit Agreement; and such Units have been duly authorized, executed, issued and delivered in accordance with the Unit Agreement and the applicable underwriting or other agreement against payment therefor, such Units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and may be subject to possible judicial or regulatory actions giving effect to governmental actions or foreign laws affecting creditors’ rights.</w:t>
      </w:r>
    </w:p>
    <w:p>
      <w:pPr>
        <w:spacing w:after="0" w:line="143" w:lineRule="exact"/>
        <w:rPr>
          <w:rFonts w:ascii="Arial" w:cs="Arial" w:eastAsia="Arial" w:hAnsi="Arial"/>
          <w:sz w:val="15"/>
          <w:szCs w:val="15"/>
          <w:color w:val="auto"/>
        </w:rPr>
      </w:pPr>
    </w:p>
    <w:p>
      <w:pPr>
        <w:jc w:val="both"/>
        <w:ind w:left="540" w:right="60" w:hanging="540"/>
        <w:spacing w:after="0" w:line="251" w:lineRule="auto"/>
        <w:tabs>
          <w:tab w:leader="none" w:pos="5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When the Rights Agreement to be entered into in connection with the issuance of any Rights has been duly authorized, executed and delivered by the Rights Agent and the Company; the specific terms of the Rights have been duly authorized and established in accordance with the Rights Agreement; and such Rights have been duly authorized, executed, issued and delivered in accordance with the Rights Agreement and the applicable underwriting or other agreement against payment therefor, such Rights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262255</wp:posOffset>
            </wp:positionV>
            <wp:extent cx="715327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0700"/>
          </w:cols>
          <w:pgMar w:left="860" w:top="479" w:right="339" w:bottom="1440" w:gutter="0" w:footer="0" w:header="0"/>
        </w:sectPr>
      </w:pPr>
    </w:p>
    <w:bookmarkStart w:id="91" w:name="page92"/>
    <w:bookmarkEnd w:id="91"/>
    <w:p>
      <w:pPr>
        <w:ind w:left="1080" w:right="160"/>
        <w:spacing w:after="0" w:line="257" w:lineRule="auto"/>
        <w:rPr>
          <w:sz w:val="20"/>
          <w:szCs w:val="20"/>
          <w:color w:val="auto"/>
        </w:rPr>
      </w:pPr>
      <w:r>
        <w:rPr>
          <w:rFonts w:ascii="Arial" w:cs="Arial" w:eastAsia="Arial" w:hAnsi="Arial"/>
          <w:sz w:val="15"/>
          <w:szCs w:val="15"/>
          <w:color w:val="auto"/>
        </w:rPr>
        <w:t>constitute valid and binding obligations of the Company, enforceable in accordance with their terms, subject to applicable bankruptcy, insolvency and similar laws affecting creditors’ rights generally, concepts of reasonableness and equitable principles of general applicability, and may be subject to possible judicial or regulatory actions giving effect to governmental actions or foreign laws affecting creditors’ rights.</w:t>
      </w:r>
    </w:p>
    <w:p>
      <w:pPr>
        <w:spacing w:after="0" w:line="131"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In connection with the opinions expressed above, we have assumed that, at or prior to the time of the delivery of any such security, (i) the Board of Directors of the Company shall have duly established the terms of such security and the Board of Directors of the Company and, to the extent required under Dutch law, the shareholders of the Company shall have duly authorized the issuance and sale of such security and such authorization shall not have been modified or rescinded; (ii) the Company is, and shall remain, validly existing as a corporation in good standing (to the extent such concept exists) under the laws of the Netherlands; (iii) the Registration Statement shall have become effective and such effectiveness shall not have been terminated or rescinded; (iv) the Indenture, the Debt Securities, the Warrant Agreement, the Purchase Contract Agreement, the Unit Agreement and the Rights Agreement are each valid, binding and enforceable agreements of each party thereto (other than as expressly covered above in respect of the Company); and (v) there shall not have occurred any change in law affecting the validity or enforceability of such security. We have also assumed that the terms of any security whose terms are established subsequent to the date hereof and the issuance, execution, delivery and performance by the Company of any such security (a) are within its corporate powers, (b) do not contravene, or constitute a default under, the articles of association or other constitutive documents of the Company, (c) require no action by or in respect of, or filing with, any governmental body, agency or official and (d) do not contravene, or constitute a default under, any provision of applicable law or public policy or regulation or any judgment, injunction, order or decree or any agreement or other instrument binding upon the Company and (ii) any Warrant Agreement, Purchase Contract Agreement, Unit Agreement and Rights Agreement and any security issued pursuant to any such agreements will be governed by the laws of the State of New York.</w:t>
      </w:r>
    </w:p>
    <w:p>
      <w:pPr>
        <w:spacing w:after="0" w:line="148" w:lineRule="exact"/>
        <w:rPr>
          <w:sz w:val="20"/>
          <w:szCs w:val="20"/>
          <w:color w:val="auto"/>
        </w:rPr>
      </w:pPr>
    </w:p>
    <w:p>
      <w:pPr>
        <w:jc w:val="both"/>
        <w:ind w:right="40"/>
        <w:spacing w:after="0" w:line="257" w:lineRule="auto"/>
        <w:rPr>
          <w:sz w:val="20"/>
          <w:szCs w:val="20"/>
          <w:color w:val="auto"/>
        </w:rPr>
      </w:pPr>
      <w:r>
        <w:rPr>
          <w:rFonts w:ascii="Arial" w:cs="Arial" w:eastAsia="Arial" w:hAnsi="Arial"/>
          <w:sz w:val="15"/>
          <w:szCs w:val="15"/>
          <w:color w:val="auto"/>
        </w:rPr>
        <w:t>We are members of the Bar of the State of New York and the foregoing opinion is limited to the laws of the State of New York and the federal laws of the United States. Insofar as the foregoing opinion involves matters governed by the laws of the Netherlands, we have relied, without independent inquiry or investigation, on the opinion of NautaDutilh N.V. delivered to you today.</w:t>
      </w:r>
    </w:p>
    <w:p>
      <w:pPr>
        <w:spacing w:after="0" w:line="131" w:lineRule="exact"/>
        <w:rPr>
          <w:sz w:val="20"/>
          <w:szCs w:val="20"/>
          <w:color w:val="auto"/>
        </w:rPr>
      </w:pPr>
    </w:p>
    <w:p>
      <w:pPr>
        <w:ind w:right="60"/>
        <w:spacing w:after="0" w:line="257" w:lineRule="auto"/>
        <w:rPr>
          <w:sz w:val="20"/>
          <w:szCs w:val="20"/>
          <w:color w:val="auto"/>
        </w:rPr>
      </w:pPr>
      <w:r>
        <w:rPr>
          <w:rFonts w:ascii="Arial" w:cs="Arial" w:eastAsia="Arial" w:hAnsi="Arial"/>
          <w:sz w:val="15"/>
          <w:szCs w:val="15"/>
          <w:color w:val="auto"/>
        </w:rPr>
        <w:t>We hereby consent to the filing of this opinion as an exhibit to the Registration Statement referred to above and further consent to the reference to our name under the caption “Legal Matters” in the prospectus, which is a part of the Registration Statement. In giving this consent, we do not admit that we are in the category of persons whose consent is required under Section 7 of the Securities Act.</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auto"/>
        </w:rPr>
        <w:t>Very truly yours,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/s/ 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53275"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ectPr>
          <w:pgSz w:w="11900" w:h="16838" w:orient="portrait"/>
          <w:cols w:equalWidth="0" w:num="1">
            <w:col w:w="11240"/>
          </w:cols>
          <w:pgMar w:left="320" w:top="479"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5"/>
          <w:szCs w:val="15"/>
          <w:b w:val="1"/>
          <w:bCs w:val="1"/>
          <w:color w:val="auto"/>
        </w:rPr>
        <w:t>Exhibit 23.1</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CONSENT OF INDEPENDENT REGISTERED PUBLIC ACCOUNTING FIRM</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5"/>
          <w:szCs w:val="15"/>
          <w:color w:val="auto"/>
        </w:rPr>
        <w:t>We hereby consent to the incorporation by reference in this Registration Statement on Form F-3 of Immatics N.V. of our report dated March 27, 2025 relating to the financial statements and the effectiveness of internal control over financial reporting, which appears in Immatics N.V.’s Annual Report on Form 20-F for the year ended December 31, 2024. We also consent to the reference to us under the heading “Experts” in such Registration Statement.</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auto"/>
        </w:rPr>
        <w:t>Stuttgart, Germany</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March 27, 2025</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PricewaterhouseCoopers GmbH</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Wirtschaftsprüfungsgesellschaft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100" w:type="dxa"/>
            <w:vAlign w:val="bottom"/>
          </w:tcPr>
          <w:p>
            <w:pPr>
              <w:spacing w:after="0"/>
              <w:rPr>
                <w:sz w:val="20"/>
                <w:szCs w:val="20"/>
                <w:color w:val="auto"/>
              </w:rPr>
            </w:pPr>
            <w:r>
              <w:rPr>
                <w:rFonts w:ascii="Arial" w:cs="Arial" w:eastAsia="Arial" w:hAnsi="Arial"/>
                <w:sz w:val="15"/>
                <w:szCs w:val="15"/>
                <w:color w:val="auto"/>
              </w:rPr>
              <w:t>/s/ Stefanie Fink</w:t>
            </w:r>
          </w:p>
        </w:tc>
        <w:tc>
          <w:tcPr>
            <w:tcW w:w="9160" w:type="dxa"/>
            <w:vAlign w:val="bottom"/>
          </w:tcPr>
          <w:p>
            <w:pPr>
              <w:spacing w:after="0"/>
              <w:rPr>
                <w:sz w:val="14"/>
                <w:szCs w:val="14"/>
                <w:color w:val="auto"/>
              </w:rPr>
            </w:pPr>
          </w:p>
        </w:tc>
      </w:tr>
      <w:tr>
        <w:trPr>
          <w:trHeight w:val="171"/>
        </w:trPr>
        <w:tc>
          <w:tcPr>
            <w:tcW w:w="2100" w:type="dxa"/>
            <w:vAlign w:val="bottom"/>
          </w:tcPr>
          <w:p>
            <w:pPr>
              <w:spacing w:after="0" w:line="172" w:lineRule="exact"/>
              <w:rPr>
                <w:sz w:val="20"/>
                <w:szCs w:val="20"/>
                <w:color w:val="auto"/>
              </w:rPr>
            </w:pPr>
            <w:r>
              <w:rPr>
                <w:rFonts w:ascii="Arial" w:cs="Arial" w:eastAsia="Arial" w:hAnsi="Arial"/>
                <w:sz w:val="15"/>
                <w:szCs w:val="15"/>
                <w:color w:val="auto"/>
              </w:rPr>
              <w:t>Wirtschaftsprüferin</w:t>
            </w:r>
          </w:p>
        </w:tc>
        <w:tc>
          <w:tcPr>
            <w:tcW w:w="9160" w:type="dxa"/>
            <w:vAlign w:val="bottom"/>
          </w:tcPr>
          <w:p>
            <w:pPr>
              <w:ind w:left="480"/>
              <w:spacing w:after="0" w:line="172" w:lineRule="exact"/>
              <w:rPr>
                <w:sz w:val="20"/>
                <w:szCs w:val="20"/>
                <w:color w:val="auto"/>
              </w:rPr>
            </w:pPr>
            <w:r>
              <w:rPr>
                <w:rFonts w:ascii="Arial" w:cs="Arial" w:eastAsia="Arial" w:hAnsi="Arial"/>
                <w:sz w:val="15"/>
                <w:szCs w:val="15"/>
                <w:color w:val="auto"/>
              </w:rPr>
              <w:t>/s/ Jens Rosenberger</w:t>
            </w:r>
          </w:p>
        </w:tc>
      </w:tr>
      <w:tr>
        <w:trPr>
          <w:trHeight w:val="171"/>
        </w:trPr>
        <w:tc>
          <w:tcPr>
            <w:tcW w:w="2100" w:type="dxa"/>
            <w:vAlign w:val="bottom"/>
          </w:tcPr>
          <w:p>
            <w:pPr>
              <w:spacing w:after="0" w:line="172" w:lineRule="exact"/>
              <w:rPr>
                <w:sz w:val="20"/>
                <w:szCs w:val="20"/>
                <w:color w:val="auto"/>
              </w:rPr>
            </w:pPr>
            <w:r>
              <w:rPr>
                <w:rFonts w:ascii="Arial" w:cs="Arial" w:eastAsia="Arial" w:hAnsi="Arial"/>
                <w:sz w:val="15"/>
                <w:szCs w:val="15"/>
                <w:color w:val="auto"/>
              </w:rPr>
              <w:t>(German Public Auditor)</w:t>
            </w:r>
          </w:p>
        </w:tc>
        <w:tc>
          <w:tcPr>
            <w:tcW w:w="9160" w:type="dxa"/>
            <w:vAlign w:val="bottom"/>
          </w:tcPr>
          <w:p>
            <w:pPr>
              <w:ind w:left="480"/>
              <w:spacing w:after="0" w:line="172" w:lineRule="exact"/>
              <w:rPr>
                <w:sz w:val="20"/>
                <w:szCs w:val="20"/>
                <w:color w:val="auto"/>
              </w:rPr>
            </w:pPr>
            <w:r>
              <w:rPr>
                <w:rFonts w:ascii="Arial" w:cs="Arial" w:eastAsia="Arial" w:hAnsi="Arial"/>
                <w:sz w:val="15"/>
                <w:szCs w:val="15"/>
                <w:color w:val="auto"/>
              </w:rPr>
              <w:t>Wirtschaftsprüfer</w:t>
            </w:r>
          </w:p>
        </w:tc>
      </w:tr>
      <w:tr>
        <w:trPr>
          <w:trHeight w:val="200"/>
        </w:trPr>
        <w:tc>
          <w:tcPr>
            <w:tcW w:w="2100" w:type="dxa"/>
            <w:vAlign w:val="bottom"/>
          </w:tcPr>
          <w:p>
            <w:pPr>
              <w:spacing w:after="0"/>
              <w:rPr>
                <w:sz w:val="17"/>
                <w:szCs w:val="17"/>
                <w:color w:val="auto"/>
              </w:rPr>
            </w:pPr>
          </w:p>
        </w:tc>
        <w:tc>
          <w:tcPr>
            <w:tcW w:w="9160" w:type="dxa"/>
            <w:vAlign w:val="bottom"/>
          </w:tcPr>
          <w:p>
            <w:pPr>
              <w:ind w:left="480"/>
              <w:spacing w:after="0"/>
              <w:rPr>
                <w:sz w:val="20"/>
                <w:szCs w:val="20"/>
                <w:color w:val="auto"/>
              </w:rPr>
            </w:pPr>
            <w:r>
              <w:rPr>
                <w:rFonts w:ascii="Arial" w:cs="Arial" w:eastAsia="Arial" w:hAnsi="Arial"/>
                <w:sz w:val="15"/>
                <w:szCs w:val="15"/>
                <w:color w:val="auto"/>
              </w:rPr>
              <w:t>(German Public Auditor)</w:t>
            </w:r>
          </w:p>
        </w:tc>
      </w:tr>
      <w:tr>
        <w:trPr>
          <w:trHeight w:val="420"/>
        </w:trPr>
        <w:tc>
          <w:tcPr>
            <w:tcW w:w="21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330" w:right="319" w:bottom="1440" w:gutter="0" w:footer="0" w:header="0"/>
        </w:sectPr>
      </w:pPr>
    </w:p>
    <w:bookmarkStart w:id="93" w:name="page94"/>
    <w:bookmarkEnd w:id="93"/>
    <w:p>
      <w:pPr>
        <w:ind w:left="10469"/>
        <w:spacing w:after="0"/>
        <w:rPr>
          <w:sz w:val="20"/>
          <w:szCs w:val="20"/>
          <w:color w:val="auto"/>
        </w:rPr>
      </w:pPr>
      <w:r>
        <w:rPr>
          <w:rFonts w:ascii="Arial" w:cs="Arial" w:eastAsia="Arial" w:hAnsi="Arial"/>
          <w:sz w:val="15"/>
          <w:szCs w:val="15"/>
          <w:b w:val="1"/>
          <w:bCs w:val="1"/>
          <w:color w:val="auto"/>
        </w:rPr>
        <w:t>Exhibit 107</w:t>
      </w:r>
    </w:p>
    <w:p>
      <w:pPr>
        <w:spacing w:after="0" w:line="342" w:lineRule="exact"/>
        <w:rPr>
          <w:sz w:val="20"/>
          <w:szCs w:val="20"/>
          <w:color w:val="auto"/>
        </w:rPr>
      </w:pPr>
    </w:p>
    <w:p>
      <w:pPr>
        <w:ind w:left="4489"/>
        <w:spacing w:after="0"/>
        <w:rPr>
          <w:sz w:val="20"/>
          <w:szCs w:val="20"/>
          <w:color w:val="auto"/>
        </w:rPr>
      </w:pPr>
      <w:r>
        <w:rPr>
          <w:rFonts w:ascii="Arial" w:cs="Arial" w:eastAsia="Arial" w:hAnsi="Arial"/>
          <w:sz w:val="15"/>
          <w:szCs w:val="15"/>
          <w:b w:val="1"/>
          <w:bCs w:val="1"/>
          <w:color w:val="auto"/>
        </w:rPr>
        <w:t>Calculation of Filing Fee Tables</w:t>
      </w:r>
    </w:p>
    <w:p>
      <w:pPr>
        <w:spacing w:after="0" w:line="170" w:lineRule="exact"/>
        <w:rPr>
          <w:sz w:val="20"/>
          <w:szCs w:val="20"/>
          <w:color w:val="auto"/>
        </w:rPr>
      </w:pPr>
    </w:p>
    <w:p>
      <w:pPr>
        <w:ind w:left="5509"/>
        <w:spacing w:after="0"/>
        <w:rPr>
          <w:sz w:val="20"/>
          <w:szCs w:val="20"/>
          <w:color w:val="auto"/>
        </w:rPr>
      </w:pPr>
      <w:r>
        <w:rPr>
          <w:rFonts w:ascii="Arial" w:cs="Arial" w:eastAsia="Arial" w:hAnsi="Arial"/>
          <w:sz w:val="15"/>
          <w:szCs w:val="15"/>
          <w:b w:val="1"/>
          <w:bCs w:val="1"/>
          <w:color w:val="auto"/>
        </w:rPr>
        <w:t>F-3</w:t>
      </w:r>
    </w:p>
    <w:p>
      <w:pPr>
        <w:spacing w:after="0" w:line="13" w:lineRule="exact"/>
        <w:rPr>
          <w:sz w:val="20"/>
          <w:szCs w:val="20"/>
          <w:color w:val="auto"/>
        </w:rPr>
      </w:pPr>
    </w:p>
    <w:p>
      <w:pPr>
        <w:ind w:left="5209"/>
        <w:spacing w:after="0"/>
        <w:rPr>
          <w:sz w:val="20"/>
          <w:szCs w:val="20"/>
          <w:color w:val="auto"/>
        </w:rPr>
      </w:pPr>
      <w:r>
        <w:rPr>
          <w:rFonts w:ascii="Arial" w:cs="Arial" w:eastAsia="Arial" w:hAnsi="Arial"/>
          <w:sz w:val="15"/>
          <w:szCs w:val="15"/>
          <w:color w:val="auto"/>
        </w:rPr>
        <w:t>(Form Type)</w:t>
      </w:r>
    </w:p>
    <w:p>
      <w:pPr>
        <w:spacing w:after="0" w:line="156" w:lineRule="exact"/>
        <w:rPr>
          <w:sz w:val="20"/>
          <w:szCs w:val="20"/>
          <w:color w:val="auto"/>
        </w:rPr>
      </w:pPr>
    </w:p>
    <w:p>
      <w:pPr>
        <w:ind w:left="5149"/>
        <w:spacing w:after="0"/>
        <w:rPr>
          <w:sz w:val="20"/>
          <w:szCs w:val="20"/>
          <w:color w:val="auto"/>
        </w:rPr>
      </w:pPr>
      <w:r>
        <w:rPr>
          <w:rFonts w:ascii="Arial" w:cs="Arial" w:eastAsia="Arial" w:hAnsi="Arial"/>
          <w:sz w:val="15"/>
          <w:szCs w:val="15"/>
          <w:b w:val="1"/>
          <w:bCs w:val="1"/>
          <w:color w:val="auto"/>
        </w:rPr>
        <w:t>Immatics N.V.</w:t>
      </w:r>
    </w:p>
    <w:p>
      <w:pPr>
        <w:spacing w:after="0" w:line="13" w:lineRule="exact"/>
        <w:rPr>
          <w:sz w:val="20"/>
          <w:szCs w:val="20"/>
          <w:color w:val="auto"/>
        </w:rPr>
      </w:pPr>
    </w:p>
    <w:p>
      <w:pPr>
        <w:jc w:val="center"/>
        <w:ind w:right="71"/>
        <w:spacing w:after="0"/>
        <w:rPr>
          <w:sz w:val="20"/>
          <w:szCs w:val="20"/>
          <w:color w:val="auto"/>
        </w:rPr>
      </w:pPr>
      <w:r>
        <w:rPr>
          <w:rFonts w:ascii="Arial" w:cs="Arial" w:eastAsia="Arial" w:hAnsi="Arial"/>
          <w:sz w:val="15"/>
          <w:szCs w:val="15"/>
          <w:color w:val="auto"/>
        </w:rPr>
        <w:t>(Exact Name of Registrant as Specified in Its Charter)</w:t>
      </w:r>
    </w:p>
    <w:p>
      <w:pPr>
        <w:spacing w:after="0" w:line="156" w:lineRule="exact"/>
        <w:rPr>
          <w:sz w:val="20"/>
          <w:szCs w:val="20"/>
          <w:color w:val="auto"/>
        </w:rPr>
      </w:pPr>
    </w:p>
    <w:p>
      <w:pPr>
        <w:jc w:val="center"/>
        <w:ind w:right="71"/>
        <w:spacing w:after="0"/>
        <w:rPr>
          <w:sz w:val="20"/>
          <w:szCs w:val="20"/>
          <w:color w:val="auto"/>
        </w:rPr>
      </w:pPr>
      <w:r>
        <w:rPr>
          <w:rFonts w:ascii="Arial" w:cs="Arial" w:eastAsia="Arial" w:hAnsi="Arial"/>
          <w:sz w:val="15"/>
          <w:szCs w:val="15"/>
          <w:u w:val="single" w:color="auto"/>
          <w:color w:val="auto"/>
        </w:rPr>
        <w:t>Table 1: Newly Registered and Carry Forward Securities</w:t>
      </w:r>
    </w:p>
    <w:p>
      <w:pPr>
        <w:spacing w:after="0" w:line="165" w:lineRule="exact"/>
        <w:rPr>
          <w:sz w:val="20"/>
          <w:szCs w:val="20"/>
          <w:color w:val="auto"/>
        </w:rPr>
      </w:pPr>
    </w:p>
    <w:tbl>
      <w:tblPr>
        <w:tblLayout w:type="fixed"/>
        <w:tblInd w:w="19" w:type="dxa"/>
        <w:tblCellMar>
          <w:top w:w="0" w:type="dxa"/>
          <w:left w:w="0" w:type="dxa"/>
          <w:bottom w:w="0" w:type="dxa"/>
          <w:right w:w="0" w:type="dxa"/>
        </w:tblCellMar>
      </w:tblPr>
      <w:tr>
        <w:trPr>
          <w:trHeight w:val="179"/>
        </w:trPr>
        <w:tc>
          <w:tcPr>
            <w:tcW w:w="860" w:type="dxa"/>
            <w:vAlign w:val="bottom"/>
            <w:tcBorders>
              <w:top w:val="single" w:sz="8" w:color="auto"/>
              <w:left w:val="single" w:sz="8" w:color="auto"/>
              <w:right w:val="single" w:sz="8" w:color="auto"/>
            </w:tcBorders>
          </w:tcPr>
          <w:p>
            <w:pPr>
              <w:spacing w:after="0"/>
              <w:rPr>
                <w:sz w:val="15"/>
                <w:szCs w:val="15"/>
                <w:color w:val="auto"/>
              </w:rPr>
            </w:pPr>
          </w:p>
        </w:tc>
        <w:tc>
          <w:tcPr>
            <w:tcW w:w="940" w:type="dxa"/>
            <w:vAlign w:val="bottom"/>
            <w:tcBorders>
              <w:top w:val="single" w:sz="8" w:color="auto"/>
              <w:right w:val="single" w:sz="8" w:color="auto"/>
            </w:tcBorders>
          </w:tcPr>
          <w:p>
            <w:pPr>
              <w:spacing w:after="0"/>
              <w:rPr>
                <w:sz w:val="15"/>
                <w:szCs w:val="15"/>
                <w:color w:val="auto"/>
              </w:rPr>
            </w:pPr>
          </w:p>
        </w:tc>
        <w:tc>
          <w:tcPr>
            <w:tcW w:w="980" w:type="dxa"/>
            <w:vAlign w:val="bottom"/>
            <w:tcBorders>
              <w:top w:val="single" w:sz="8" w:color="auto"/>
              <w:right w:val="single" w:sz="8" w:color="auto"/>
            </w:tcBorders>
          </w:tcPr>
          <w:p>
            <w:pPr>
              <w:spacing w:after="0"/>
              <w:rPr>
                <w:sz w:val="15"/>
                <w:szCs w:val="15"/>
                <w:color w:val="auto"/>
              </w:rPr>
            </w:pPr>
          </w:p>
        </w:tc>
        <w:tc>
          <w:tcPr>
            <w:tcW w:w="900" w:type="dxa"/>
            <w:vAlign w:val="bottom"/>
            <w:tcBorders>
              <w:top w:val="single" w:sz="8" w:color="auto"/>
              <w:right w:val="single" w:sz="8" w:color="auto"/>
            </w:tcBorders>
          </w:tcPr>
          <w:p>
            <w:pPr>
              <w:spacing w:after="0"/>
              <w:rPr>
                <w:sz w:val="15"/>
                <w:szCs w:val="15"/>
                <w:color w:val="auto"/>
              </w:rPr>
            </w:pPr>
          </w:p>
        </w:tc>
        <w:tc>
          <w:tcPr>
            <w:tcW w:w="880" w:type="dxa"/>
            <w:vAlign w:val="bottom"/>
            <w:tcBorders>
              <w:top w:val="single" w:sz="8" w:color="auto"/>
              <w:right w:val="single" w:sz="8" w:color="auto"/>
            </w:tcBorders>
          </w:tcPr>
          <w:p>
            <w:pPr>
              <w:spacing w:after="0"/>
              <w:rPr>
                <w:sz w:val="15"/>
                <w:szCs w:val="15"/>
                <w:color w:val="auto"/>
              </w:rPr>
            </w:pPr>
          </w:p>
        </w:tc>
        <w:tc>
          <w:tcPr>
            <w:tcW w:w="800" w:type="dxa"/>
            <w:vAlign w:val="bottom"/>
            <w:tcBorders>
              <w:top w:val="single" w:sz="8" w:color="auto"/>
              <w:right w:val="single" w:sz="8" w:color="auto"/>
            </w:tcBorders>
          </w:tcPr>
          <w:p>
            <w:pPr>
              <w:spacing w:after="0"/>
              <w:rPr>
                <w:sz w:val="15"/>
                <w:szCs w:val="15"/>
                <w:color w:val="auto"/>
              </w:rPr>
            </w:pPr>
          </w:p>
        </w:tc>
        <w:tc>
          <w:tcPr>
            <w:tcW w:w="1080" w:type="dxa"/>
            <w:vAlign w:val="bottom"/>
            <w:tcBorders>
              <w:top w:val="single" w:sz="8" w:color="auto"/>
              <w:right w:val="single" w:sz="8" w:color="auto"/>
            </w:tcBorders>
          </w:tcPr>
          <w:p>
            <w:pPr>
              <w:spacing w:after="0"/>
              <w:rPr>
                <w:sz w:val="15"/>
                <w:szCs w:val="15"/>
                <w:color w:val="auto"/>
              </w:rPr>
            </w:pPr>
          </w:p>
        </w:tc>
        <w:tc>
          <w:tcPr>
            <w:tcW w:w="940" w:type="dxa"/>
            <w:vAlign w:val="bottom"/>
            <w:tcBorders>
              <w:top w:val="single" w:sz="8" w:color="auto"/>
              <w:right w:val="single" w:sz="8" w:color="auto"/>
            </w:tcBorders>
          </w:tcPr>
          <w:p>
            <w:pPr>
              <w:spacing w:after="0"/>
              <w:rPr>
                <w:sz w:val="15"/>
                <w:szCs w:val="15"/>
                <w:color w:val="auto"/>
              </w:rPr>
            </w:pPr>
          </w:p>
        </w:tc>
        <w:tc>
          <w:tcPr>
            <w:tcW w:w="940" w:type="dxa"/>
            <w:vAlign w:val="bottom"/>
            <w:tcBorders>
              <w:top w:val="single" w:sz="8" w:color="auto"/>
              <w:right w:val="single" w:sz="8" w:color="auto"/>
            </w:tcBorders>
          </w:tcPr>
          <w:p>
            <w:pPr>
              <w:spacing w:after="0"/>
              <w:rPr>
                <w:sz w:val="15"/>
                <w:szCs w:val="15"/>
                <w:color w:val="auto"/>
              </w:rPr>
            </w:pPr>
          </w:p>
        </w:tc>
        <w:tc>
          <w:tcPr>
            <w:tcW w:w="700" w:type="dxa"/>
            <w:vAlign w:val="bottom"/>
            <w:tcBorders>
              <w:top w:val="single" w:sz="8" w:color="auto"/>
              <w:right w:val="single" w:sz="8" w:color="auto"/>
            </w:tcBorders>
          </w:tcPr>
          <w:p>
            <w:pPr>
              <w:spacing w:after="0"/>
              <w:rPr>
                <w:sz w:val="15"/>
                <w:szCs w:val="15"/>
                <w:color w:val="auto"/>
              </w:rPr>
            </w:pPr>
          </w:p>
        </w:tc>
        <w:tc>
          <w:tcPr>
            <w:tcW w:w="700" w:type="dxa"/>
            <w:vAlign w:val="bottom"/>
            <w:tcBorders>
              <w:top w:val="single" w:sz="8" w:color="auto"/>
              <w:right w:val="single" w:sz="8" w:color="auto"/>
            </w:tcBorders>
          </w:tcPr>
          <w:p>
            <w:pPr>
              <w:spacing w:after="0"/>
              <w:rPr>
                <w:sz w:val="15"/>
                <w:szCs w:val="15"/>
                <w:color w:val="auto"/>
              </w:rPr>
            </w:pPr>
          </w:p>
        </w:tc>
        <w:tc>
          <w:tcPr>
            <w:tcW w:w="720" w:type="dxa"/>
            <w:vAlign w:val="bottom"/>
            <w:tcBorders>
              <w:top w:val="single" w:sz="8" w:color="auto"/>
              <w:right w:val="single" w:sz="8" w:color="auto"/>
            </w:tcBorders>
          </w:tcPr>
          <w:p>
            <w:pPr>
              <w:spacing w:after="0"/>
              <w:rPr>
                <w:sz w:val="15"/>
                <w:szCs w:val="15"/>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Filing Fee</w:t>
            </w:r>
          </w:p>
        </w:tc>
      </w:tr>
      <w:tr>
        <w:trPr>
          <w:trHeight w:val="171"/>
        </w:trPr>
        <w:tc>
          <w:tcPr>
            <w:tcW w:w="860" w:type="dxa"/>
            <w:vAlign w:val="bottom"/>
            <w:tcBorders>
              <w:left w:val="single" w:sz="8" w:color="auto"/>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rPr>
              <w:t>Previously</w:t>
            </w:r>
          </w:p>
        </w:tc>
      </w:tr>
      <w:tr>
        <w:trPr>
          <w:trHeight w:val="171"/>
        </w:trPr>
        <w:tc>
          <w:tcPr>
            <w:tcW w:w="860" w:type="dxa"/>
            <w:vAlign w:val="bottom"/>
            <w:tcBorders>
              <w:left w:val="single" w:sz="8" w:color="auto"/>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rPr>
              <w:t>Paid in</w:t>
            </w:r>
          </w:p>
        </w:tc>
      </w:tr>
      <w:tr>
        <w:trPr>
          <w:trHeight w:val="171"/>
        </w:trPr>
        <w:tc>
          <w:tcPr>
            <w:tcW w:w="860" w:type="dxa"/>
            <w:vAlign w:val="bottom"/>
            <w:tcBorders>
              <w:left w:val="single" w:sz="8" w:color="auto"/>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rPr>
              <w:t>Connection</w:t>
            </w:r>
          </w:p>
        </w:tc>
      </w:tr>
      <w:tr>
        <w:trPr>
          <w:trHeight w:val="171"/>
        </w:trPr>
        <w:tc>
          <w:tcPr>
            <w:tcW w:w="860" w:type="dxa"/>
            <w:vAlign w:val="bottom"/>
            <w:tcBorders>
              <w:left w:val="single" w:sz="8" w:color="auto"/>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w w:val="97"/>
              </w:rPr>
              <w:t>with</w:t>
            </w:r>
          </w:p>
        </w:tc>
      </w:tr>
      <w:tr>
        <w:trPr>
          <w:trHeight w:val="171"/>
        </w:trPr>
        <w:tc>
          <w:tcPr>
            <w:tcW w:w="860" w:type="dxa"/>
            <w:vAlign w:val="bottom"/>
            <w:tcBorders>
              <w:left w:val="single" w:sz="8" w:color="auto"/>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rPr>
              <w:t>Fee</w:t>
            </w:r>
          </w:p>
        </w:tc>
        <w:tc>
          <w:tcPr>
            <w:tcW w:w="88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rPr>
              <w:t>Proposed</w:t>
            </w:r>
          </w:p>
        </w:tc>
        <w:tc>
          <w:tcPr>
            <w:tcW w:w="108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rPr>
              <w:t>Carry</w:t>
            </w:r>
          </w:p>
        </w:tc>
        <w:tc>
          <w:tcPr>
            <w:tcW w:w="92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rPr>
              <w:t>Unsold</w:t>
            </w:r>
          </w:p>
        </w:tc>
      </w:tr>
      <w:tr>
        <w:trPr>
          <w:trHeight w:val="171"/>
        </w:trPr>
        <w:tc>
          <w:tcPr>
            <w:tcW w:w="860" w:type="dxa"/>
            <w:vAlign w:val="bottom"/>
            <w:tcBorders>
              <w:left w:val="single" w:sz="8" w:color="auto"/>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rPr>
              <w:t>Calculation</w:t>
            </w:r>
          </w:p>
        </w:tc>
        <w:tc>
          <w:tcPr>
            <w:tcW w:w="88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rPr>
              <w:t>Maximum</w:t>
            </w:r>
          </w:p>
        </w:tc>
        <w:tc>
          <w:tcPr>
            <w:tcW w:w="108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w w:val="98"/>
              </w:rPr>
              <w:t>Carry</w:t>
            </w:r>
          </w:p>
        </w:tc>
        <w:tc>
          <w:tcPr>
            <w:tcW w:w="70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w w:val="98"/>
              </w:rPr>
              <w:t>Carry</w:t>
            </w:r>
          </w:p>
        </w:tc>
        <w:tc>
          <w:tcPr>
            <w:tcW w:w="72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rPr>
              <w:t>Forward</w:t>
            </w:r>
          </w:p>
        </w:tc>
        <w:tc>
          <w:tcPr>
            <w:tcW w:w="92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rPr>
              <w:t>Securities</w:t>
            </w:r>
          </w:p>
        </w:tc>
      </w:tr>
      <w:tr>
        <w:trPr>
          <w:trHeight w:val="171"/>
        </w:trPr>
        <w:tc>
          <w:tcPr>
            <w:tcW w:w="860" w:type="dxa"/>
            <w:vAlign w:val="bottom"/>
            <w:tcBorders>
              <w:left w:val="single" w:sz="8" w:color="auto"/>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rPr>
              <w:t>or Carry</w:t>
            </w:r>
          </w:p>
        </w:tc>
        <w:tc>
          <w:tcPr>
            <w:tcW w:w="88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rPr>
              <w:t>Offering</w:t>
            </w:r>
          </w:p>
        </w:tc>
        <w:tc>
          <w:tcPr>
            <w:tcW w:w="108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rPr>
              <w:t>Maximum</w:t>
            </w:r>
          </w:p>
        </w:tc>
        <w:tc>
          <w:tcPr>
            <w:tcW w:w="94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w w:val="99"/>
              </w:rPr>
              <w:t>Amount of</w:t>
            </w:r>
          </w:p>
        </w:tc>
        <w:tc>
          <w:tcPr>
            <w:tcW w:w="70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rPr>
              <w:t>Forward</w:t>
            </w:r>
          </w:p>
        </w:tc>
        <w:tc>
          <w:tcPr>
            <w:tcW w:w="70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rPr>
              <w:t>Forward</w:t>
            </w:r>
          </w:p>
        </w:tc>
        <w:tc>
          <w:tcPr>
            <w:tcW w:w="72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w w:val="96"/>
              </w:rPr>
              <w:t>Initial</w:t>
            </w:r>
          </w:p>
        </w:tc>
        <w:tc>
          <w:tcPr>
            <w:tcW w:w="92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rPr>
              <w:t>to Be</w:t>
            </w:r>
          </w:p>
        </w:tc>
      </w:tr>
      <w:tr>
        <w:trPr>
          <w:trHeight w:val="171"/>
        </w:trPr>
        <w:tc>
          <w:tcPr>
            <w:tcW w:w="860" w:type="dxa"/>
            <w:vAlign w:val="bottom"/>
            <w:tcBorders>
              <w:left w:val="single" w:sz="8" w:color="auto"/>
              <w:right w:val="single" w:sz="8" w:color="auto"/>
            </w:tcBorders>
          </w:tcPr>
          <w:p>
            <w:pPr>
              <w:spacing w:after="0"/>
              <w:rPr>
                <w:sz w:val="14"/>
                <w:szCs w:val="14"/>
                <w:color w:val="auto"/>
              </w:rPr>
            </w:pPr>
          </w:p>
        </w:tc>
        <w:tc>
          <w:tcPr>
            <w:tcW w:w="94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rPr>
              <w:t>Security</w:t>
            </w:r>
          </w:p>
        </w:tc>
        <w:tc>
          <w:tcPr>
            <w:tcW w:w="98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rPr>
              <w:t>Security</w:t>
            </w:r>
          </w:p>
        </w:tc>
        <w:tc>
          <w:tcPr>
            <w:tcW w:w="90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rPr>
              <w:t>Forward</w:t>
            </w:r>
          </w:p>
        </w:tc>
        <w:tc>
          <w:tcPr>
            <w:tcW w:w="88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rPr>
              <w:t>Amount</w:t>
            </w:r>
          </w:p>
        </w:tc>
        <w:tc>
          <w:tcPr>
            <w:tcW w:w="80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w w:val="99"/>
              </w:rPr>
              <w:t>Price per</w:t>
            </w:r>
          </w:p>
        </w:tc>
        <w:tc>
          <w:tcPr>
            <w:tcW w:w="108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rPr>
              <w:t>Aggregate</w:t>
            </w:r>
          </w:p>
        </w:tc>
        <w:tc>
          <w:tcPr>
            <w:tcW w:w="94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w w:val="99"/>
              </w:rPr>
              <w:t>Registration</w:t>
            </w:r>
          </w:p>
        </w:tc>
        <w:tc>
          <w:tcPr>
            <w:tcW w:w="70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rPr>
              <w:t>Form</w:t>
            </w:r>
          </w:p>
        </w:tc>
        <w:tc>
          <w:tcPr>
            <w:tcW w:w="70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w w:val="99"/>
              </w:rPr>
              <w:t>File</w:t>
            </w:r>
          </w:p>
        </w:tc>
        <w:tc>
          <w:tcPr>
            <w:tcW w:w="72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rPr>
              <w:t>Effective</w:t>
            </w:r>
          </w:p>
        </w:tc>
        <w:tc>
          <w:tcPr>
            <w:tcW w:w="92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rPr>
              <w:t>Carried</w:t>
            </w:r>
          </w:p>
        </w:tc>
      </w:tr>
      <w:tr>
        <w:trPr>
          <w:trHeight w:val="198"/>
        </w:trPr>
        <w:tc>
          <w:tcPr>
            <w:tcW w:w="860" w:type="dxa"/>
            <w:vAlign w:val="bottom"/>
            <w:tcBorders>
              <w:left w:val="single" w:sz="8" w:color="auto"/>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5"/>
              </w:rPr>
              <w:t>Type</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Class Title</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Rule</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Registered</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Unit</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Offering Price</w:t>
            </w:r>
          </w:p>
        </w:tc>
        <w:tc>
          <w:tcPr>
            <w:tcW w:w="9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5"/>
                <w:szCs w:val="15"/>
                <w:color w:val="auto"/>
              </w:rPr>
              <w:t>Fee Rate</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Fee</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5"/>
              </w:rPr>
              <w:t>Type</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Number</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Date</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Forward</w:t>
            </w:r>
          </w:p>
        </w:tc>
      </w:tr>
      <w:tr>
        <w:trPr>
          <w:trHeight w:val="204"/>
        </w:trPr>
        <w:tc>
          <w:tcPr>
            <w:tcW w:w="860" w:type="dxa"/>
            <w:vAlign w:val="bottom"/>
            <w:tcBorders>
              <w:left w:val="single" w:sz="8" w:color="auto"/>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3"/>
          </w:tcPr>
          <w:p>
            <w:pPr>
              <w:jc w:val="center"/>
              <w:ind w:right="524"/>
              <w:spacing w:after="0"/>
              <w:rPr>
                <w:sz w:val="20"/>
                <w:szCs w:val="20"/>
                <w:color w:val="auto"/>
              </w:rPr>
            </w:pPr>
            <w:r>
              <w:rPr>
                <w:rFonts w:ascii="Arial" w:cs="Arial" w:eastAsia="Arial" w:hAnsi="Arial"/>
                <w:sz w:val="15"/>
                <w:szCs w:val="15"/>
                <w:color w:val="auto"/>
              </w:rPr>
              <w:t>Newly Registered Securities</w:t>
            </w:r>
          </w:p>
        </w:tc>
        <w:tc>
          <w:tcPr>
            <w:tcW w:w="9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r>
      <w:tr>
        <w:trPr>
          <w:trHeight w:val="164"/>
        </w:trPr>
        <w:tc>
          <w:tcPr>
            <w:tcW w:w="860" w:type="dxa"/>
            <w:vAlign w:val="bottom"/>
            <w:tcBorders>
              <w:left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Fees to</w:t>
            </w:r>
          </w:p>
        </w:tc>
        <w:tc>
          <w:tcPr>
            <w:tcW w:w="94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Equity</w:t>
            </w:r>
          </w:p>
        </w:tc>
        <w:tc>
          <w:tcPr>
            <w:tcW w:w="98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Ordinary</w:t>
            </w:r>
          </w:p>
        </w:tc>
        <w:tc>
          <w:tcPr>
            <w:tcW w:w="90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Rule</w:t>
            </w:r>
          </w:p>
        </w:tc>
        <w:tc>
          <w:tcPr>
            <w:tcW w:w="88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7"/>
              </w:rPr>
              <w:t>(1)</w:t>
            </w:r>
          </w:p>
        </w:tc>
        <w:tc>
          <w:tcPr>
            <w:tcW w:w="80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7"/>
              </w:rPr>
              <w:t>(1)</w:t>
            </w:r>
          </w:p>
        </w:tc>
        <w:tc>
          <w:tcPr>
            <w:tcW w:w="108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w:t>
            </w:r>
          </w:p>
        </w:tc>
        <w:tc>
          <w:tcPr>
            <w:tcW w:w="94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7"/>
              </w:rPr>
              <w:t>(1)</w:t>
            </w:r>
          </w:p>
        </w:tc>
        <w:tc>
          <w:tcPr>
            <w:tcW w:w="94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w:t>
            </w:r>
          </w:p>
        </w:tc>
        <w:tc>
          <w:tcPr>
            <w:tcW w:w="70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r>
      <w:tr>
        <w:trPr>
          <w:trHeight w:val="198"/>
        </w:trPr>
        <w:tc>
          <w:tcPr>
            <w:tcW w:w="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8"/>
              </w:rPr>
              <w:t>Be Paid</w:t>
            </w:r>
          </w:p>
        </w:tc>
        <w:tc>
          <w:tcPr>
            <w:tcW w:w="94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Shares</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457(o)</w:t>
            </w: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r>
      <w:tr>
        <w:trPr>
          <w:trHeight w:val="159"/>
        </w:trPr>
        <w:tc>
          <w:tcPr>
            <w:tcW w:w="860" w:type="dxa"/>
            <w:vAlign w:val="bottom"/>
            <w:tcBorders>
              <w:left w:val="single" w:sz="8" w:color="auto"/>
              <w:right w:val="single" w:sz="8" w:color="auto"/>
            </w:tcBorders>
          </w:tcPr>
          <w:p>
            <w:pPr>
              <w:spacing w:after="0"/>
              <w:rPr>
                <w:sz w:val="13"/>
                <w:szCs w:val="13"/>
                <w:color w:val="auto"/>
              </w:rPr>
            </w:pPr>
          </w:p>
        </w:tc>
        <w:tc>
          <w:tcPr>
            <w:tcW w:w="94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rPr>
              <w:t>Debt</w:t>
            </w:r>
          </w:p>
        </w:tc>
        <w:tc>
          <w:tcPr>
            <w:tcW w:w="98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rPr>
              <w:t>Debt</w:t>
            </w:r>
          </w:p>
        </w:tc>
        <w:tc>
          <w:tcPr>
            <w:tcW w:w="90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rPr>
              <w:t>Rule</w:t>
            </w:r>
          </w:p>
        </w:tc>
        <w:tc>
          <w:tcPr>
            <w:tcW w:w="88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w w:val="97"/>
              </w:rPr>
              <w:t>(1)</w:t>
            </w:r>
          </w:p>
        </w:tc>
        <w:tc>
          <w:tcPr>
            <w:tcW w:w="80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w w:val="97"/>
              </w:rPr>
              <w:t>(1)</w:t>
            </w:r>
          </w:p>
        </w:tc>
        <w:tc>
          <w:tcPr>
            <w:tcW w:w="108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rPr>
              <w:t>(1)</w:t>
            </w:r>
          </w:p>
        </w:tc>
        <w:tc>
          <w:tcPr>
            <w:tcW w:w="94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w w:val="97"/>
              </w:rPr>
              <w:t>(1)</w:t>
            </w:r>
          </w:p>
        </w:tc>
        <w:tc>
          <w:tcPr>
            <w:tcW w:w="94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rPr>
              <w:t>(1)</w:t>
            </w:r>
          </w:p>
        </w:tc>
        <w:tc>
          <w:tcPr>
            <w:tcW w:w="70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r>
      <w:tr>
        <w:trPr>
          <w:trHeight w:val="198"/>
        </w:trPr>
        <w:tc>
          <w:tcPr>
            <w:tcW w:w="860" w:type="dxa"/>
            <w:vAlign w:val="bottom"/>
            <w:tcBorders>
              <w:left w:val="single" w:sz="8" w:color="auto"/>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Securities</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457(o)</w:t>
            </w: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r>
      <w:tr>
        <w:trPr>
          <w:trHeight w:val="160"/>
        </w:trPr>
        <w:tc>
          <w:tcPr>
            <w:tcW w:w="860" w:type="dxa"/>
            <w:vAlign w:val="bottom"/>
            <w:tcBorders>
              <w:left w:val="single" w:sz="8" w:color="auto"/>
              <w:right w:val="single" w:sz="8" w:color="auto"/>
            </w:tcBorders>
          </w:tcPr>
          <w:p>
            <w:pPr>
              <w:spacing w:after="0"/>
              <w:rPr>
                <w:sz w:val="13"/>
                <w:szCs w:val="13"/>
                <w:color w:val="auto"/>
              </w:rPr>
            </w:pPr>
          </w:p>
        </w:tc>
        <w:tc>
          <w:tcPr>
            <w:tcW w:w="94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rPr>
              <w:t>Other</w:t>
            </w:r>
          </w:p>
        </w:tc>
        <w:tc>
          <w:tcPr>
            <w:tcW w:w="98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w w:val="98"/>
              </w:rPr>
              <w:t>Warrants</w:t>
            </w:r>
          </w:p>
        </w:tc>
        <w:tc>
          <w:tcPr>
            <w:tcW w:w="90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rPr>
              <w:t>Rule</w:t>
            </w:r>
          </w:p>
        </w:tc>
        <w:tc>
          <w:tcPr>
            <w:tcW w:w="88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w w:val="97"/>
              </w:rPr>
              <w:t>(1)</w:t>
            </w:r>
          </w:p>
        </w:tc>
        <w:tc>
          <w:tcPr>
            <w:tcW w:w="80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w w:val="97"/>
              </w:rPr>
              <w:t>(1)</w:t>
            </w:r>
          </w:p>
        </w:tc>
        <w:tc>
          <w:tcPr>
            <w:tcW w:w="108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rPr>
              <w:t>(1)</w:t>
            </w:r>
          </w:p>
        </w:tc>
        <w:tc>
          <w:tcPr>
            <w:tcW w:w="94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w w:val="97"/>
              </w:rPr>
              <w:t>(1)</w:t>
            </w:r>
          </w:p>
        </w:tc>
        <w:tc>
          <w:tcPr>
            <w:tcW w:w="94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rPr>
              <w:t>(1)</w:t>
            </w:r>
          </w:p>
        </w:tc>
        <w:tc>
          <w:tcPr>
            <w:tcW w:w="70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r>
      <w:tr>
        <w:trPr>
          <w:trHeight w:val="198"/>
        </w:trPr>
        <w:tc>
          <w:tcPr>
            <w:tcW w:w="860" w:type="dxa"/>
            <w:vAlign w:val="bottom"/>
            <w:tcBorders>
              <w:left w:val="single" w:sz="8" w:color="auto"/>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457(o)</w:t>
            </w: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r>
      <w:tr>
        <w:trPr>
          <w:trHeight w:val="160"/>
        </w:trPr>
        <w:tc>
          <w:tcPr>
            <w:tcW w:w="860" w:type="dxa"/>
            <w:vAlign w:val="bottom"/>
            <w:tcBorders>
              <w:left w:val="single" w:sz="8" w:color="auto"/>
              <w:right w:val="single" w:sz="8" w:color="auto"/>
            </w:tcBorders>
          </w:tcPr>
          <w:p>
            <w:pPr>
              <w:spacing w:after="0"/>
              <w:rPr>
                <w:sz w:val="13"/>
                <w:szCs w:val="13"/>
                <w:color w:val="auto"/>
              </w:rPr>
            </w:pPr>
          </w:p>
        </w:tc>
        <w:tc>
          <w:tcPr>
            <w:tcW w:w="94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rPr>
              <w:t>Other</w:t>
            </w:r>
          </w:p>
        </w:tc>
        <w:tc>
          <w:tcPr>
            <w:tcW w:w="98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rPr>
              <w:t>Subscription</w:t>
            </w:r>
          </w:p>
        </w:tc>
        <w:tc>
          <w:tcPr>
            <w:tcW w:w="90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rPr>
              <w:t>Rule</w:t>
            </w:r>
          </w:p>
        </w:tc>
        <w:tc>
          <w:tcPr>
            <w:tcW w:w="88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w w:val="97"/>
              </w:rPr>
              <w:t>(1)</w:t>
            </w:r>
          </w:p>
        </w:tc>
        <w:tc>
          <w:tcPr>
            <w:tcW w:w="80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w w:val="97"/>
              </w:rPr>
              <w:t>(1)</w:t>
            </w:r>
          </w:p>
        </w:tc>
        <w:tc>
          <w:tcPr>
            <w:tcW w:w="108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rPr>
              <w:t>(1)</w:t>
            </w:r>
          </w:p>
        </w:tc>
        <w:tc>
          <w:tcPr>
            <w:tcW w:w="94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w w:val="97"/>
              </w:rPr>
              <w:t>(1)</w:t>
            </w:r>
          </w:p>
        </w:tc>
        <w:tc>
          <w:tcPr>
            <w:tcW w:w="94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rPr>
              <w:t>(1)</w:t>
            </w:r>
          </w:p>
        </w:tc>
        <w:tc>
          <w:tcPr>
            <w:tcW w:w="70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r>
      <w:tr>
        <w:trPr>
          <w:trHeight w:val="198"/>
        </w:trPr>
        <w:tc>
          <w:tcPr>
            <w:tcW w:w="860" w:type="dxa"/>
            <w:vAlign w:val="bottom"/>
            <w:tcBorders>
              <w:left w:val="single" w:sz="8" w:color="auto"/>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Rights</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457(o)</w:t>
            </w: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r>
      <w:tr>
        <w:trPr>
          <w:trHeight w:val="160"/>
        </w:trPr>
        <w:tc>
          <w:tcPr>
            <w:tcW w:w="860" w:type="dxa"/>
            <w:vAlign w:val="bottom"/>
            <w:tcBorders>
              <w:left w:val="single" w:sz="8" w:color="auto"/>
              <w:right w:val="single" w:sz="8" w:color="auto"/>
            </w:tcBorders>
          </w:tcPr>
          <w:p>
            <w:pPr>
              <w:spacing w:after="0"/>
              <w:rPr>
                <w:sz w:val="13"/>
                <w:szCs w:val="13"/>
                <w:color w:val="auto"/>
              </w:rPr>
            </w:pPr>
          </w:p>
        </w:tc>
        <w:tc>
          <w:tcPr>
            <w:tcW w:w="94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rPr>
              <w:t>Other</w:t>
            </w:r>
          </w:p>
        </w:tc>
        <w:tc>
          <w:tcPr>
            <w:tcW w:w="98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rPr>
              <w:t>Purchase</w:t>
            </w:r>
          </w:p>
        </w:tc>
        <w:tc>
          <w:tcPr>
            <w:tcW w:w="90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rPr>
              <w:t>Rule</w:t>
            </w:r>
          </w:p>
        </w:tc>
        <w:tc>
          <w:tcPr>
            <w:tcW w:w="88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w w:val="97"/>
              </w:rPr>
              <w:t>(1)</w:t>
            </w:r>
          </w:p>
        </w:tc>
        <w:tc>
          <w:tcPr>
            <w:tcW w:w="80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w w:val="97"/>
              </w:rPr>
              <w:t>(1)</w:t>
            </w:r>
          </w:p>
        </w:tc>
        <w:tc>
          <w:tcPr>
            <w:tcW w:w="108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rPr>
              <w:t>(1)</w:t>
            </w:r>
          </w:p>
        </w:tc>
        <w:tc>
          <w:tcPr>
            <w:tcW w:w="94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w w:val="97"/>
              </w:rPr>
              <w:t>(1)</w:t>
            </w:r>
          </w:p>
        </w:tc>
        <w:tc>
          <w:tcPr>
            <w:tcW w:w="94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rPr>
              <w:t>(1)</w:t>
            </w:r>
          </w:p>
        </w:tc>
        <w:tc>
          <w:tcPr>
            <w:tcW w:w="70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r>
      <w:tr>
        <w:trPr>
          <w:trHeight w:val="198"/>
        </w:trPr>
        <w:tc>
          <w:tcPr>
            <w:tcW w:w="860" w:type="dxa"/>
            <w:vAlign w:val="bottom"/>
            <w:tcBorders>
              <w:left w:val="single" w:sz="8" w:color="auto"/>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Contracts</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457(o)</w:t>
            </w: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r>
      <w:tr>
        <w:trPr>
          <w:trHeight w:val="160"/>
        </w:trPr>
        <w:tc>
          <w:tcPr>
            <w:tcW w:w="860" w:type="dxa"/>
            <w:vAlign w:val="bottom"/>
            <w:tcBorders>
              <w:left w:val="single" w:sz="8" w:color="auto"/>
              <w:right w:val="single" w:sz="8" w:color="auto"/>
            </w:tcBorders>
          </w:tcPr>
          <w:p>
            <w:pPr>
              <w:spacing w:after="0"/>
              <w:rPr>
                <w:sz w:val="13"/>
                <w:szCs w:val="13"/>
                <w:color w:val="auto"/>
              </w:rPr>
            </w:pPr>
          </w:p>
        </w:tc>
        <w:tc>
          <w:tcPr>
            <w:tcW w:w="94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rPr>
              <w:t>Other</w:t>
            </w:r>
          </w:p>
        </w:tc>
        <w:tc>
          <w:tcPr>
            <w:tcW w:w="98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rPr>
              <w:t>Units</w:t>
            </w:r>
          </w:p>
        </w:tc>
        <w:tc>
          <w:tcPr>
            <w:tcW w:w="90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rPr>
              <w:t>Rule</w:t>
            </w:r>
          </w:p>
        </w:tc>
        <w:tc>
          <w:tcPr>
            <w:tcW w:w="88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w w:val="97"/>
              </w:rPr>
              <w:t>(1)</w:t>
            </w:r>
          </w:p>
        </w:tc>
        <w:tc>
          <w:tcPr>
            <w:tcW w:w="80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w w:val="97"/>
              </w:rPr>
              <w:t>(1)</w:t>
            </w:r>
          </w:p>
        </w:tc>
        <w:tc>
          <w:tcPr>
            <w:tcW w:w="108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rPr>
              <w:t>(1)</w:t>
            </w:r>
          </w:p>
        </w:tc>
        <w:tc>
          <w:tcPr>
            <w:tcW w:w="94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w w:val="97"/>
              </w:rPr>
              <w:t>(1)</w:t>
            </w:r>
          </w:p>
        </w:tc>
        <w:tc>
          <w:tcPr>
            <w:tcW w:w="94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rPr>
              <w:t>(1)</w:t>
            </w:r>
          </w:p>
        </w:tc>
        <w:tc>
          <w:tcPr>
            <w:tcW w:w="70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r>
      <w:tr>
        <w:trPr>
          <w:trHeight w:val="198"/>
        </w:trPr>
        <w:tc>
          <w:tcPr>
            <w:tcW w:w="860" w:type="dxa"/>
            <w:vAlign w:val="bottom"/>
            <w:tcBorders>
              <w:left w:val="single" w:sz="8" w:color="auto"/>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457(o)</w:t>
            </w: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r>
      <w:tr>
        <w:trPr>
          <w:trHeight w:val="160"/>
        </w:trPr>
        <w:tc>
          <w:tcPr>
            <w:tcW w:w="860" w:type="dxa"/>
            <w:vAlign w:val="bottom"/>
            <w:tcBorders>
              <w:left w:val="single" w:sz="8" w:color="auto"/>
              <w:right w:val="single" w:sz="8" w:color="auto"/>
            </w:tcBorders>
          </w:tcPr>
          <w:p>
            <w:pPr>
              <w:spacing w:after="0"/>
              <w:rPr>
                <w:sz w:val="13"/>
                <w:szCs w:val="13"/>
                <w:color w:val="auto"/>
              </w:rPr>
            </w:pPr>
          </w:p>
        </w:tc>
        <w:tc>
          <w:tcPr>
            <w:tcW w:w="94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rPr>
              <w:t>Unallocated</w:t>
            </w:r>
          </w:p>
        </w:tc>
        <w:tc>
          <w:tcPr>
            <w:tcW w:w="98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rPr>
              <w:t>Rule</w:t>
            </w:r>
          </w:p>
        </w:tc>
        <w:tc>
          <w:tcPr>
            <w:tcW w:w="88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w w:val="97"/>
              </w:rPr>
              <w:t>(1)</w:t>
            </w:r>
          </w:p>
        </w:tc>
        <w:tc>
          <w:tcPr>
            <w:tcW w:w="80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w w:val="97"/>
              </w:rPr>
              <w:t>(1)</w:t>
            </w:r>
          </w:p>
        </w:tc>
        <w:tc>
          <w:tcPr>
            <w:tcW w:w="108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rPr>
              <w:t>$500,000,000</w:t>
            </w:r>
          </w:p>
        </w:tc>
        <w:tc>
          <w:tcPr>
            <w:tcW w:w="94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rPr>
              <w:t>0.00015310</w:t>
            </w:r>
          </w:p>
        </w:tc>
        <w:tc>
          <w:tcPr>
            <w:tcW w:w="94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rPr>
              <w:t>$76,550</w:t>
            </w:r>
          </w:p>
        </w:tc>
        <w:tc>
          <w:tcPr>
            <w:tcW w:w="70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r>
      <w:tr>
        <w:trPr>
          <w:trHeight w:val="171"/>
        </w:trPr>
        <w:tc>
          <w:tcPr>
            <w:tcW w:w="860" w:type="dxa"/>
            <w:vAlign w:val="bottom"/>
            <w:tcBorders>
              <w:left w:val="single" w:sz="8" w:color="auto"/>
              <w:right w:val="single" w:sz="8" w:color="auto"/>
            </w:tcBorders>
          </w:tcPr>
          <w:p>
            <w:pPr>
              <w:spacing w:after="0"/>
              <w:rPr>
                <w:sz w:val="14"/>
                <w:szCs w:val="14"/>
                <w:color w:val="auto"/>
              </w:rPr>
            </w:pPr>
          </w:p>
        </w:tc>
        <w:tc>
          <w:tcPr>
            <w:tcW w:w="94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rPr>
              <w:t> (Universal)</w:t>
            </w:r>
          </w:p>
        </w:tc>
        <w:tc>
          <w:tcPr>
            <w:tcW w:w="98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rPr>
              <w:t>457(o)</w:t>
            </w:r>
          </w:p>
        </w:tc>
        <w:tc>
          <w:tcPr>
            <w:tcW w:w="88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r>
      <w:tr>
        <w:trPr>
          <w:trHeight w:val="198"/>
        </w:trPr>
        <w:tc>
          <w:tcPr>
            <w:tcW w:w="860" w:type="dxa"/>
            <w:vAlign w:val="bottom"/>
            <w:tcBorders>
              <w:left w:val="single" w:sz="8" w:color="auto"/>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Shelf</w:t>
            </w:r>
          </w:p>
        </w:tc>
        <w:tc>
          <w:tcPr>
            <w:tcW w:w="98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r>
      <w:tr>
        <w:trPr>
          <w:trHeight w:val="160"/>
        </w:trPr>
        <w:tc>
          <w:tcPr>
            <w:tcW w:w="860" w:type="dxa"/>
            <w:vAlign w:val="bottom"/>
            <w:tcBorders>
              <w:left w:val="single" w:sz="8" w:color="auto"/>
              <w:right w:val="single" w:sz="8" w:color="auto"/>
            </w:tcBorders>
          </w:tcPr>
          <w:p>
            <w:pPr>
              <w:jc w:val="center"/>
              <w:spacing w:after="0" w:line="159" w:lineRule="exact"/>
              <w:rPr>
                <w:sz w:val="20"/>
                <w:szCs w:val="20"/>
                <w:color w:val="auto"/>
              </w:rPr>
            </w:pPr>
            <w:r>
              <w:rPr>
                <w:rFonts w:ascii="Arial" w:cs="Arial" w:eastAsia="Arial" w:hAnsi="Arial"/>
                <w:sz w:val="15"/>
                <w:szCs w:val="15"/>
                <w:color w:val="auto"/>
                <w:w w:val="95"/>
              </w:rPr>
              <w:t>Fees</w:t>
            </w:r>
          </w:p>
        </w:tc>
        <w:tc>
          <w:tcPr>
            <w:tcW w:w="94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rPr>
              <w:t>N/A</w:t>
            </w:r>
          </w:p>
        </w:tc>
        <w:tc>
          <w:tcPr>
            <w:tcW w:w="98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w w:val="95"/>
              </w:rPr>
              <w:t>N/A</w:t>
            </w:r>
          </w:p>
        </w:tc>
        <w:tc>
          <w:tcPr>
            <w:tcW w:w="90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w w:val="95"/>
              </w:rPr>
              <w:t>N/A</w:t>
            </w:r>
          </w:p>
        </w:tc>
        <w:tc>
          <w:tcPr>
            <w:tcW w:w="88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rPr>
              <w:t>N/A</w:t>
            </w:r>
          </w:p>
        </w:tc>
        <w:tc>
          <w:tcPr>
            <w:tcW w:w="80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rPr>
              <w:t>N/A</w:t>
            </w:r>
          </w:p>
        </w:tc>
        <w:tc>
          <w:tcPr>
            <w:tcW w:w="108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w w:val="95"/>
              </w:rPr>
              <w:t>N/A</w:t>
            </w:r>
          </w:p>
        </w:tc>
        <w:tc>
          <w:tcPr>
            <w:tcW w:w="9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w w:val="95"/>
              </w:rPr>
              <w:t>N/A</w:t>
            </w:r>
          </w:p>
        </w:tc>
        <w:tc>
          <w:tcPr>
            <w:tcW w:w="70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r>
      <w:tr>
        <w:trPr>
          <w:trHeight w:val="171"/>
        </w:trPr>
        <w:tc>
          <w:tcPr>
            <w:tcW w:w="860" w:type="dxa"/>
            <w:vAlign w:val="bottom"/>
            <w:tcBorders>
              <w:left w:val="single" w:sz="8" w:color="auto"/>
              <w:right w:val="single" w:sz="8" w:color="auto"/>
            </w:tcBorders>
          </w:tcPr>
          <w:p>
            <w:pPr>
              <w:jc w:val="center"/>
              <w:spacing w:after="0" w:line="172" w:lineRule="exact"/>
              <w:rPr>
                <w:sz w:val="20"/>
                <w:szCs w:val="20"/>
                <w:color w:val="auto"/>
              </w:rPr>
            </w:pPr>
            <w:r>
              <w:rPr>
                <w:rFonts w:ascii="Arial" w:cs="Arial" w:eastAsia="Arial" w:hAnsi="Arial"/>
                <w:sz w:val="15"/>
                <w:szCs w:val="15"/>
                <w:color w:val="auto"/>
              </w:rPr>
              <w:t>Previously</w:t>
            </w:r>
          </w:p>
        </w:tc>
        <w:tc>
          <w:tcPr>
            <w:tcW w:w="94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r>
      <w:tr>
        <w:trPr>
          <w:trHeight w:val="198"/>
        </w:trPr>
        <w:tc>
          <w:tcPr>
            <w:tcW w:w="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Paid</w:t>
            </w:r>
          </w:p>
        </w:tc>
        <w:tc>
          <w:tcPr>
            <w:tcW w:w="94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r>
      <w:tr>
        <w:trPr>
          <w:trHeight w:val="204"/>
        </w:trPr>
        <w:tc>
          <w:tcPr>
            <w:tcW w:w="860" w:type="dxa"/>
            <w:vAlign w:val="bottom"/>
            <w:tcBorders>
              <w:left w:val="single" w:sz="8" w:color="auto"/>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3"/>
          </w:tcPr>
          <w:p>
            <w:pPr>
              <w:jc w:val="center"/>
              <w:ind w:right="524"/>
              <w:spacing w:after="0"/>
              <w:rPr>
                <w:sz w:val="20"/>
                <w:szCs w:val="20"/>
                <w:color w:val="auto"/>
              </w:rPr>
            </w:pPr>
            <w:r>
              <w:rPr>
                <w:rFonts w:ascii="Arial" w:cs="Arial" w:eastAsia="Arial" w:hAnsi="Arial"/>
                <w:sz w:val="15"/>
                <w:szCs w:val="15"/>
                <w:color w:val="auto"/>
              </w:rPr>
              <w:t>Carry Forward Securities</w:t>
            </w:r>
          </w:p>
        </w:tc>
        <w:tc>
          <w:tcPr>
            <w:tcW w:w="9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r>
      <w:tr>
        <w:trPr>
          <w:trHeight w:val="164"/>
        </w:trPr>
        <w:tc>
          <w:tcPr>
            <w:tcW w:w="860" w:type="dxa"/>
            <w:vAlign w:val="bottom"/>
            <w:tcBorders>
              <w:left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8"/>
              </w:rPr>
              <w:t>Carry</w:t>
            </w:r>
          </w:p>
        </w:tc>
        <w:tc>
          <w:tcPr>
            <w:tcW w:w="94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N/A</w:t>
            </w:r>
          </w:p>
        </w:tc>
        <w:tc>
          <w:tcPr>
            <w:tcW w:w="98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N/A</w:t>
            </w:r>
          </w:p>
        </w:tc>
        <w:tc>
          <w:tcPr>
            <w:tcW w:w="90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N/A</w:t>
            </w:r>
          </w:p>
        </w:tc>
        <w:tc>
          <w:tcPr>
            <w:tcW w:w="88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N/A</w:t>
            </w:r>
          </w:p>
        </w:tc>
        <w:tc>
          <w:tcPr>
            <w:tcW w:w="80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N/A</w:t>
            </w:r>
          </w:p>
        </w:tc>
        <w:tc>
          <w:tcPr>
            <w:tcW w:w="94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N/A</w:t>
            </w:r>
          </w:p>
        </w:tc>
        <w:tc>
          <w:tcPr>
            <w:tcW w:w="70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5"/>
              </w:rPr>
              <w:t>N/A</w:t>
            </w:r>
          </w:p>
        </w:tc>
        <w:tc>
          <w:tcPr>
            <w:tcW w:w="72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N/A</w:t>
            </w:r>
          </w:p>
        </w:tc>
        <w:tc>
          <w:tcPr>
            <w:tcW w:w="92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N/A</w:t>
            </w:r>
          </w:p>
        </w:tc>
      </w:tr>
      <w:tr>
        <w:trPr>
          <w:trHeight w:val="171"/>
        </w:trPr>
        <w:tc>
          <w:tcPr>
            <w:tcW w:w="860" w:type="dxa"/>
            <w:vAlign w:val="bottom"/>
            <w:tcBorders>
              <w:left w:val="single" w:sz="8" w:color="auto"/>
              <w:right w:val="single" w:sz="8" w:color="auto"/>
            </w:tcBorders>
          </w:tcPr>
          <w:p>
            <w:pPr>
              <w:jc w:val="center"/>
              <w:spacing w:after="0" w:line="172" w:lineRule="exact"/>
              <w:rPr>
                <w:sz w:val="20"/>
                <w:szCs w:val="20"/>
                <w:color w:val="auto"/>
              </w:rPr>
            </w:pPr>
            <w:r>
              <w:rPr>
                <w:rFonts w:ascii="Arial" w:cs="Arial" w:eastAsia="Arial" w:hAnsi="Arial"/>
                <w:sz w:val="15"/>
                <w:szCs w:val="15"/>
                <w:color w:val="auto"/>
              </w:rPr>
              <w:t>Forward</w:t>
            </w:r>
          </w:p>
        </w:tc>
        <w:tc>
          <w:tcPr>
            <w:tcW w:w="94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r>
      <w:tr>
        <w:trPr>
          <w:trHeight w:val="198"/>
        </w:trPr>
        <w:tc>
          <w:tcPr>
            <w:tcW w:w="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Securities</w:t>
            </w:r>
          </w:p>
        </w:tc>
        <w:tc>
          <w:tcPr>
            <w:tcW w:w="94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r>
      <w:tr>
        <w:trPr>
          <w:trHeight w:val="186"/>
        </w:trPr>
        <w:tc>
          <w:tcPr>
            <w:tcW w:w="860" w:type="dxa"/>
            <w:vAlign w:val="bottom"/>
            <w:tcBorders>
              <w:left w:val="single" w:sz="8" w:color="auto"/>
              <w:bottom w:val="single" w:sz="8" w:color="auto"/>
              <w:right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center"/>
              <w:ind w:right="24"/>
              <w:spacing w:after="0"/>
              <w:rPr>
                <w:sz w:val="20"/>
                <w:szCs w:val="20"/>
                <w:color w:val="auto"/>
              </w:rPr>
            </w:pPr>
            <w:r>
              <w:rPr>
                <w:rFonts w:ascii="Arial" w:cs="Arial" w:eastAsia="Arial" w:hAnsi="Arial"/>
                <w:sz w:val="15"/>
                <w:szCs w:val="15"/>
                <w:color w:val="auto"/>
                <w:w w:val="99"/>
              </w:rPr>
              <w:t>Total Offering Amounts</w:t>
            </w:r>
          </w:p>
        </w:tc>
        <w:tc>
          <w:tcPr>
            <w:tcW w:w="88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$500,000,000</w:t>
            </w:r>
          </w:p>
        </w:tc>
        <w:tc>
          <w:tcPr>
            <w:tcW w:w="940" w:type="dxa"/>
            <w:vAlign w:val="bottom"/>
            <w:tcBorders>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$76,550</w:t>
            </w:r>
          </w:p>
        </w:tc>
        <w:tc>
          <w:tcPr>
            <w:tcW w:w="70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r>
      <w:tr>
        <w:trPr>
          <w:trHeight w:val="186"/>
        </w:trPr>
        <w:tc>
          <w:tcPr>
            <w:tcW w:w="860" w:type="dxa"/>
            <w:vAlign w:val="bottom"/>
            <w:tcBorders>
              <w:left w:val="single" w:sz="8" w:color="auto"/>
              <w:bottom w:val="single" w:sz="8" w:color="auto"/>
              <w:right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center"/>
              <w:ind w:right="4"/>
              <w:spacing w:after="0"/>
              <w:rPr>
                <w:sz w:val="20"/>
                <w:szCs w:val="20"/>
                <w:color w:val="auto"/>
              </w:rPr>
            </w:pPr>
            <w:r>
              <w:rPr>
                <w:rFonts w:ascii="Arial" w:cs="Arial" w:eastAsia="Arial" w:hAnsi="Arial"/>
                <w:sz w:val="15"/>
                <w:szCs w:val="15"/>
                <w:color w:val="auto"/>
              </w:rPr>
              <w:t>Total Fees Previously Paid</w:t>
            </w:r>
          </w:p>
        </w:tc>
        <w:tc>
          <w:tcPr>
            <w:tcW w:w="88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1080" w:type="dxa"/>
            <w:vAlign w:val="bottom"/>
            <w:tcBorders>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5"/>
              </w:rPr>
              <w:t>N/A</w:t>
            </w:r>
          </w:p>
        </w:tc>
        <w:tc>
          <w:tcPr>
            <w:tcW w:w="70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r>
      <w:tr>
        <w:trPr>
          <w:trHeight w:val="186"/>
        </w:trPr>
        <w:tc>
          <w:tcPr>
            <w:tcW w:w="860" w:type="dxa"/>
            <w:vAlign w:val="bottom"/>
            <w:tcBorders>
              <w:left w:val="single" w:sz="8" w:color="auto"/>
              <w:bottom w:val="single" w:sz="8" w:color="auto"/>
              <w:right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center"/>
              <w:ind w:right="24"/>
              <w:spacing w:after="0"/>
              <w:rPr>
                <w:sz w:val="20"/>
                <w:szCs w:val="20"/>
                <w:color w:val="auto"/>
              </w:rPr>
            </w:pPr>
            <w:r>
              <w:rPr>
                <w:rFonts w:ascii="Arial" w:cs="Arial" w:eastAsia="Arial" w:hAnsi="Arial"/>
                <w:sz w:val="15"/>
                <w:szCs w:val="15"/>
                <w:color w:val="auto"/>
                <w:w w:val="99"/>
              </w:rPr>
              <w:t>Total Fee Offsets</w:t>
            </w:r>
          </w:p>
        </w:tc>
        <w:tc>
          <w:tcPr>
            <w:tcW w:w="88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1080" w:type="dxa"/>
            <w:vAlign w:val="bottom"/>
            <w:tcBorders>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$22,965</w:t>
            </w:r>
          </w:p>
        </w:tc>
        <w:tc>
          <w:tcPr>
            <w:tcW w:w="70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r>
      <w:tr>
        <w:trPr>
          <w:trHeight w:val="186"/>
        </w:trPr>
        <w:tc>
          <w:tcPr>
            <w:tcW w:w="860" w:type="dxa"/>
            <w:vAlign w:val="bottom"/>
            <w:tcBorders>
              <w:left w:val="single" w:sz="8" w:color="auto"/>
              <w:bottom w:val="single" w:sz="8" w:color="auto"/>
              <w:right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center"/>
              <w:ind w:right="24"/>
              <w:spacing w:after="0"/>
              <w:rPr>
                <w:sz w:val="20"/>
                <w:szCs w:val="20"/>
                <w:color w:val="auto"/>
              </w:rPr>
            </w:pPr>
            <w:r>
              <w:rPr>
                <w:rFonts w:ascii="Arial" w:cs="Arial" w:eastAsia="Arial" w:hAnsi="Arial"/>
                <w:sz w:val="15"/>
                <w:szCs w:val="15"/>
                <w:color w:val="auto"/>
              </w:rPr>
              <w:t>Net Fee Due</w:t>
            </w:r>
          </w:p>
        </w:tc>
        <w:tc>
          <w:tcPr>
            <w:tcW w:w="88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1080" w:type="dxa"/>
            <w:vAlign w:val="bottom"/>
            <w:tcBorders>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$53,585</w:t>
            </w:r>
          </w:p>
        </w:tc>
        <w:tc>
          <w:tcPr>
            <w:tcW w:w="70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r>
    </w:tbl>
    <w:p>
      <w:pPr>
        <w:spacing w:after="0" w:line="191" w:lineRule="exact"/>
        <w:rPr>
          <w:sz w:val="20"/>
          <w:szCs w:val="20"/>
          <w:color w:val="auto"/>
        </w:rPr>
      </w:pPr>
    </w:p>
    <w:p>
      <w:pPr>
        <w:jc w:val="both"/>
        <w:ind w:left="269" w:right="300" w:hanging="269"/>
        <w:spacing w:after="0" w:line="251" w:lineRule="auto"/>
        <w:tabs>
          <w:tab w:leader="none" w:pos="269"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This registration statement registers an indeterminate amount of ordinary shares, debt securities, warrants, subscription rights, purchase contracts and units that may be offered and sold from time to time in one or more offerings, with an aggregate offering price of up to $500,000,000. The securities registered pursuant to this registration statement include ordinary shares having an aggregate offering price of $150,000,000 that may be offered and sold under the Sales Agreement, dated October 10, 2024, between Immatics N.V. and Leerink Partners LLC.</w:t>
      </w:r>
    </w:p>
    <w:p>
      <w:pPr>
        <w:spacing w:after="0" w:line="307" w:lineRule="exact"/>
        <w:rPr>
          <w:sz w:val="20"/>
          <w:szCs w:val="20"/>
          <w:color w:val="auto"/>
        </w:rPr>
      </w:pPr>
    </w:p>
    <w:p>
      <w:pPr>
        <w:jc w:val="center"/>
        <w:ind w:right="71"/>
        <w:spacing w:after="0"/>
        <w:rPr>
          <w:sz w:val="20"/>
          <w:szCs w:val="20"/>
          <w:color w:val="auto"/>
        </w:rPr>
      </w:pPr>
      <w:r>
        <w:rPr>
          <w:rFonts w:ascii="Arial" w:cs="Arial" w:eastAsia="Arial" w:hAnsi="Arial"/>
          <w:sz w:val="15"/>
          <w:szCs w:val="15"/>
          <w:u w:val="single" w:color="auto"/>
          <w:color w:val="auto"/>
        </w:rPr>
        <w:t>Table 2: Fee Offset Claims and Sources</w:t>
      </w:r>
    </w:p>
    <w:p>
      <w:pPr>
        <w:spacing w:after="0" w:line="165" w:lineRule="exact"/>
        <w:rPr>
          <w:sz w:val="20"/>
          <w:szCs w:val="20"/>
          <w:color w:val="auto"/>
        </w:rPr>
      </w:pPr>
    </w:p>
    <w:tbl>
      <w:tblPr>
        <w:tblLayout w:type="fixed"/>
        <w:tblInd w:w="19" w:type="dxa"/>
        <w:tblCellMar>
          <w:top w:w="0" w:type="dxa"/>
          <w:left w:w="0" w:type="dxa"/>
          <w:bottom w:w="0" w:type="dxa"/>
          <w:right w:w="0" w:type="dxa"/>
        </w:tblCellMar>
      </w:tblPr>
      <w:tr>
        <w:trPr>
          <w:trHeight w:val="180"/>
        </w:trPr>
        <w:tc>
          <w:tcPr>
            <w:tcW w:w="700" w:type="dxa"/>
            <w:vAlign w:val="bottom"/>
            <w:tcBorders>
              <w:top w:val="single" w:sz="8" w:color="auto"/>
              <w:left w:val="single" w:sz="8" w:color="auto"/>
              <w:right w:val="single" w:sz="8" w:color="auto"/>
            </w:tcBorders>
          </w:tcPr>
          <w:p>
            <w:pPr>
              <w:spacing w:after="0"/>
              <w:rPr>
                <w:sz w:val="15"/>
                <w:szCs w:val="15"/>
                <w:color w:val="auto"/>
              </w:rPr>
            </w:pPr>
          </w:p>
        </w:tc>
        <w:tc>
          <w:tcPr>
            <w:tcW w:w="880" w:type="dxa"/>
            <w:vAlign w:val="bottom"/>
            <w:tcBorders>
              <w:top w:val="single" w:sz="8" w:color="auto"/>
              <w:right w:val="single" w:sz="8" w:color="auto"/>
            </w:tcBorders>
          </w:tcPr>
          <w:p>
            <w:pPr>
              <w:spacing w:after="0"/>
              <w:rPr>
                <w:sz w:val="15"/>
                <w:szCs w:val="15"/>
                <w:color w:val="auto"/>
              </w:rPr>
            </w:pPr>
          </w:p>
        </w:tc>
        <w:tc>
          <w:tcPr>
            <w:tcW w:w="640" w:type="dxa"/>
            <w:vAlign w:val="bottom"/>
            <w:tcBorders>
              <w:top w:val="single" w:sz="8" w:color="auto"/>
              <w:right w:val="single" w:sz="8" w:color="auto"/>
            </w:tcBorders>
          </w:tcPr>
          <w:p>
            <w:pPr>
              <w:spacing w:after="0"/>
              <w:rPr>
                <w:sz w:val="15"/>
                <w:szCs w:val="15"/>
                <w:color w:val="auto"/>
              </w:rPr>
            </w:pPr>
          </w:p>
        </w:tc>
        <w:tc>
          <w:tcPr>
            <w:tcW w:w="780" w:type="dxa"/>
            <w:vAlign w:val="bottom"/>
            <w:tcBorders>
              <w:top w:val="single" w:sz="8" w:color="auto"/>
              <w:right w:val="single" w:sz="8" w:color="auto"/>
            </w:tcBorders>
          </w:tcPr>
          <w:p>
            <w:pPr>
              <w:spacing w:after="0"/>
              <w:rPr>
                <w:sz w:val="15"/>
                <w:szCs w:val="15"/>
                <w:color w:val="auto"/>
              </w:rPr>
            </w:pPr>
          </w:p>
        </w:tc>
        <w:tc>
          <w:tcPr>
            <w:tcW w:w="660" w:type="dxa"/>
            <w:vAlign w:val="bottom"/>
            <w:tcBorders>
              <w:top w:val="single" w:sz="8" w:color="auto"/>
              <w:right w:val="single" w:sz="8" w:color="auto"/>
            </w:tcBorders>
          </w:tcPr>
          <w:p>
            <w:pPr>
              <w:spacing w:after="0"/>
              <w:rPr>
                <w:sz w:val="15"/>
                <w:szCs w:val="15"/>
                <w:color w:val="auto"/>
              </w:rPr>
            </w:pPr>
          </w:p>
        </w:tc>
        <w:tc>
          <w:tcPr>
            <w:tcW w:w="700" w:type="dxa"/>
            <w:vAlign w:val="bottom"/>
            <w:tcBorders>
              <w:top w:val="single" w:sz="8" w:color="auto"/>
              <w:right w:val="single" w:sz="8" w:color="auto"/>
            </w:tcBorders>
          </w:tcPr>
          <w:p>
            <w:pPr>
              <w:spacing w:after="0"/>
              <w:rPr>
                <w:sz w:val="15"/>
                <w:szCs w:val="15"/>
                <w:color w:val="auto"/>
              </w:rPr>
            </w:pPr>
          </w:p>
        </w:tc>
        <w:tc>
          <w:tcPr>
            <w:tcW w:w="840" w:type="dxa"/>
            <w:vAlign w:val="bottom"/>
            <w:tcBorders>
              <w:top w:val="single" w:sz="8" w:color="auto"/>
              <w:right w:val="single" w:sz="8" w:color="auto"/>
            </w:tcBorders>
          </w:tcPr>
          <w:p>
            <w:pPr>
              <w:spacing w:after="0"/>
              <w:rPr>
                <w:sz w:val="15"/>
                <w:szCs w:val="15"/>
                <w:color w:val="auto"/>
              </w:rPr>
            </w:pPr>
          </w:p>
        </w:tc>
        <w:tc>
          <w:tcPr>
            <w:tcW w:w="8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Security</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Security</w:t>
            </w:r>
          </w:p>
        </w:tc>
        <w:tc>
          <w:tcPr>
            <w:tcW w:w="8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Unsold</w:t>
            </w:r>
          </w:p>
        </w:tc>
        <w:tc>
          <w:tcPr>
            <w:tcW w:w="2480" w:type="dxa"/>
            <w:vAlign w:val="bottom"/>
            <w:tcBorders>
              <w:top w:val="single" w:sz="8" w:color="auto"/>
              <w:right w:val="single" w:sz="8" w:color="auto"/>
            </w:tcBorders>
          </w:tcPr>
          <w:p>
            <w:pPr>
              <w:spacing w:after="0"/>
              <w:rPr>
                <w:sz w:val="15"/>
                <w:szCs w:val="15"/>
                <w:color w:val="auto"/>
              </w:rPr>
            </w:pPr>
          </w:p>
        </w:tc>
        <w:tc>
          <w:tcPr>
            <w:tcW w:w="940" w:type="dxa"/>
            <w:vAlign w:val="bottom"/>
            <w:tcBorders>
              <w:top w:val="single" w:sz="8" w:color="auto"/>
              <w:right w:val="single" w:sz="8" w:color="auto"/>
            </w:tcBorders>
          </w:tcPr>
          <w:p>
            <w:pPr>
              <w:spacing w:after="0"/>
              <w:rPr>
                <w:sz w:val="15"/>
                <w:szCs w:val="15"/>
                <w:color w:val="auto"/>
              </w:rPr>
            </w:pPr>
          </w:p>
        </w:tc>
      </w:tr>
      <w:tr>
        <w:trPr>
          <w:trHeight w:val="171"/>
        </w:trPr>
        <w:tc>
          <w:tcPr>
            <w:tcW w:w="700" w:type="dxa"/>
            <w:vAlign w:val="bottom"/>
            <w:tcBorders>
              <w:left w:val="single" w:sz="8" w:color="auto"/>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ind w:left="60"/>
              <w:spacing w:after="0" w:line="172" w:lineRule="exact"/>
              <w:rPr>
                <w:sz w:val="20"/>
                <w:szCs w:val="20"/>
                <w:color w:val="auto"/>
              </w:rPr>
            </w:pPr>
            <w:r>
              <w:rPr>
                <w:rFonts w:ascii="Arial" w:cs="Arial" w:eastAsia="Arial" w:hAnsi="Arial"/>
                <w:sz w:val="15"/>
                <w:szCs w:val="15"/>
                <w:color w:val="auto"/>
              </w:rPr>
              <w:t>Type</w:t>
            </w:r>
          </w:p>
        </w:tc>
        <w:tc>
          <w:tcPr>
            <w:tcW w:w="88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w w:val="98"/>
              </w:rPr>
              <w:t>Title</w:t>
            </w:r>
          </w:p>
        </w:tc>
        <w:tc>
          <w:tcPr>
            <w:tcW w:w="880" w:type="dxa"/>
            <w:vAlign w:val="bottom"/>
            <w:tcBorders>
              <w:right w:val="single" w:sz="8" w:color="auto"/>
            </w:tcBorders>
          </w:tcPr>
          <w:p>
            <w:pPr>
              <w:ind w:left="60"/>
              <w:spacing w:after="0" w:line="172" w:lineRule="exact"/>
              <w:rPr>
                <w:sz w:val="20"/>
                <w:szCs w:val="20"/>
                <w:color w:val="auto"/>
              </w:rPr>
            </w:pPr>
            <w:r>
              <w:rPr>
                <w:rFonts w:ascii="Arial" w:cs="Arial" w:eastAsia="Arial" w:hAnsi="Arial"/>
                <w:sz w:val="15"/>
                <w:szCs w:val="15"/>
                <w:color w:val="auto"/>
              </w:rPr>
              <w:t>Securities</w:t>
            </w:r>
          </w:p>
        </w:tc>
        <w:tc>
          <w:tcPr>
            <w:tcW w:w="248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r>
      <w:tr>
        <w:trPr>
          <w:trHeight w:val="171"/>
        </w:trPr>
        <w:tc>
          <w:tcPr>
            <w:tcW w:w="700" w:type="dxa"/>
            <w:vAlign w:val="bottom"/>
            <w:tcBorders>
              <w:left w:val="single" w:sz="8" w:color="auto"/>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64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rPr>
              <w:t>Form</w:t>
            </w:r>
          </w:p>
        </w:tc>
        <w:tc>
          <w:tcPr>
            <w:tcW w:w="78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ind w:left="60"/>
              <w:spacing w:after="0" w:line="172" w:lineRule="exact"/>
              <w:rPr>
                <w:sz w:val="20"/>
                <w:szCs w:val="20"/>
                <w:color w:val="auto"/>
              </w:rPr>
            </w:pPr>
            <w:r>
              <w:rPr>
                <w:rFonts w:ascii="Arial" w:cs="Arial" w:eastAsia="Arial" w:hAnsi="Arial"/>
                <w:sz w:val="15"/>
                <w:szCs w:val="15"/>
                <w:color w:val="auto"/>
              </w:rPr>
              <w:t>Associated</w:t>
            </w:r>
          </w:p>
        </w:tc>
        <w:tc>
          <w:tcPr>
            <w:tcW w:w="88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rPr>
              <w:t>Associated</w:t>
            </w:r>
          </w:p>
        </w:tc>
        <w:tc>
          <w:tcPr>
            <w:tcW w:w="880" w:type="dxa"/>
            <w:vAlign w:val="bottom"/>
            <w:tcBorders>
              <w:right w:val="single" w:sz="8" w:color="auto"/>
            </w:tcBorders>
          </w:tcPr>
          <w:p>
            <w:pPr>
              <w:ind w:left="60"/>
              <w:spacing w:after="0" w:line="172" w:lineRule="exact"/>
              <w:rPr>
                <w:sz w:val="20"/>
                <w:szCs w:val="20"/>
                <w:color w:val="auto"/>
              </w:rPr>
            </w:pPr>
            <w:r>
              <w:rPr>
                <w:rFonts w:ascii="Arial" w:cs="Arial" w:eastAsia="Arial" w:hAnsi="Arial"/>
                <w:sz w:val="15"/>
                <w:szCs w:val="15"/>
                <w:color w:val="auto"/>
              </w:rPr>
              <w:t>Associated</w:t>
            </w:r>
          </w:p>
        </w:tc>
        <w:tc>
          <w:tcPr>
            <w:tcW w:w="248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w w:val="99"/>
              </w:rPr>
              <w:t>Fee Paid</w:t>
            </w:r>
          </w:p>
        </w:tc>
      </w:tr>
      <w:tr>
        <w:trPr>
          <w:trHeight w:val="171"/>
        </w:trPr>
        <w:tc>
          <w:tcPr>
            <w:tcW w:w="700" w:type="dxa"/>
            <w:vAlign w:val="bottom"/>
            <w:tcBorders>
              <w:left w:val="single" w:sz="8" w:color="auto"/>
              <w:right w:val="single" w:sz="8" w:color="auto"/>
            </w:tcBorders>
          </w:tcPr>
          <w:p>
            <w:pPr>
              <w:spacing w:after="0"/>
              <w:rPr>
                <w:sz w:val="14"/>
                <w:szCs w:val="14"/>
                <w:color w:val="auto"/>
              </w:rPr>
            </w:pPr>
          </w:p>
        </w:tc>
        <w:tc>
          <w:tcPr>
            <w:tcW w:w="88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rPr>
              <w:t>Registrant</w:t>
            </w:r>
          </w:p>
        </w:tc>
        <w:tc>
          <w:tcPr>
            <w:tcW w:w="64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rPr>
              <w:t>or</w:t>
            </w:r>
          </w:p>
        </w:tc>
        <w:tc>
          <w:tcPr>
            <w:tcW w:w="78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w w:val="96"/>
              </w:rPr>
              <w:t>Initial</w:t>
            </w:r>
          </w:p>
        </w:tc>
        <w:tc>
          <w:tcPr>
            <w:tcW w:w="70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ind w:left="60"/>
              <w:spacing w:after="0" w:line="172" w:lineRule="exact"/>
              <w:rPr>
                <w:sz w:val="20"/>
                <w:szCs w:val="20"/>
                <w:color w:val="auto"/>
              </w:rPr>
            </w:pPr>
            <w:r>
              <w:rPr>
                <w:rFonts w:ascii="Arial" w:cs="Arial" w:eastAsia="Arial" w:hAnsi="Arial"/>
                <w:sz w:val="15"/>
                <w:szCs w:val="15"/>
                <w:color w:val="auto"/>
              </w:rPr>
              <w:t>with Fee</w:t>
            </w:r>
          </w:p>
        </w:tc>
        <w:tc>
          <w:tcPr>
            <w:tcW w:w="88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rPr>
              <w:t>with Fee</w:t>
            </w:r>
          </w:p>
        </w:tc>
        <w:tc>
          <w:tcPr>
            <w:tcW w:w="880" w:type="dxa"/>
            <w:vAlign w:val="bottom"/>
            <w:tcBorders>
              <w:right w:val="single" w:sz="8" w:color="auto"/>
            </w:tcBorders>
          </w:tcPr>
          <w:p>
            <w:pPr>
              <w:ind w:left="60"/>
              <w:spacing w:after="0" w:line="172" w:lineRule="exact"/>
              <w:rPr>
                <w:sz w:val="20"/>
                <w:szCs w:val="20"/>
                <w:color w:val="auto"/>
              </w:rPr>
            </w:pPr>
            <w:r>
              <w:rPr>
                <w:rFonts w:ascii="Arial" w:cs="Arial" w:eastAsia="Arial" w:hAnsi="Arial"/>
                <w:sz w:val="15"/>
                <w:szCs w:val="15"/>
                <w:color w:val="auto"/>
              </w:rPr>
              <w:t>with Fee</w:t>
            </w:r>
          </w:p>
        </w:tc>
        <w:tc>
          <w:tcPr>
            <w:tcW w:w="248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rPr>
              <w:t>Aggregate Offering Amount</w:t>
            </w:r>
          </w:p>
        </w:tc>
        <w:tc>
          <w:tcPr>
            <w:tcW w:w="94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rPr>
              <w:t>with Fee</w:t>
            </w:r>
          </w:p>
        </w:tc>
      </w:tr>
      <w:tr>
        <w:trPr>
          <w:trHeight w:val="171"/>
        </w:trPr>
        <w:tc>
          <w:tcPr>
            <w:tcW w:w="700" w:type="dxa"/>
            <w:vAlign w:val="bottom"/>
            <w:tcBorders>
              <w:left w:val="single" w:sz="8" w:color="auto"/>
              <w:right w:val="single" w:sz="8" w:color="auto"/>
            </w:tcBorders>
          </w:tcPr>
          <w:p>
            <w:pPr>
              <w:spacing w:after="0"/>
              <w:rPr>
                <w:sz w:val="14"/>
                <w:szCs w:val="14"/>
                <w:color w:val="auto"/>
              </w:rPr>
            </w:pPr>
          </w:p>
        </w:tc>
        <w:tc>
          <w:tcPr>
            <w:tcW w:w="88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w w:val="98"/>
              </w:rPr>
              <w:t>or Filer</w:t>
            </w:r>
          </w:p>
        </w:tc>
        <w:tc>
          <w:tcPr>
            <w:tcW w:w="64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rPr>
              <w:t>Filing</w:t>
            </w:r>
          </w:p>
        </w:tc>
        <w:tc>
          <w:tcPr>
            <w:tcW w:w="78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w w:val="99"/>
              </w:rPr>
              <w:t>File</w:t>
            </w:r>
          </w:p>
        </w:tc>
        <w:tc>
          <w:tcPr>
            <w:tcW w:w="66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rPr>
              <w:t>Filing</w:t>
            </w:r>
          </w:p>
        </w:tc>
        <w:tc>
          <w:tcPr>
            <w:tcW w:w="70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rPr>
              <w:t>Filing</w:t>
            </w:r>
          </w:p>
        </w:tc>
        <w:tc>
          <w:tcPr>
            <w:tcW w:w="84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w w:val="99"/>
              </w:rPr>
              <w:t>Fee Offset</w:t>
            </w:r>
          </w:p>
        </w:tc>
        <w:tc>
          <w:tcPr>
            <w:tcW w:w="880" w:type="dxa"/>
            <w:vAlign w:val="bottom"/>
            <w:tcBorders>
              <w:right w:val="single" w:sz="8" w:color="auto"/>
            </w:tcBorders>
          </w:tcPr>
          <w:p>
            <w:pPr>
              <w:ind w:left="60"/>
              <w:spacing w:after="0" w:line="172" w:lineRule="exact"/>
              <w:rPr>
                <w:sz w:val="20"/>
                <w:szCs w:val="20"/>
                <w:color w:val="auto"/>
              </w:rPr>
            </w:pPr>
            <w:r>
              <w:rPr>
                <w:rFonts w:ascii="Arial" w:cs="Arial" w:eastAsia="Arial" w:hAnsi="Arial"/>
                <w:sz w:val="15"/>
                <w:szCs w:val="15"/>
                <w:color w:val="auto"/>
              </w:rPr>
              <w:t>Offset</w:t>
            </w:r>
          </w:p>
        </w:tc>
        <w:tc>
          <w:tcPr>
            <w:tcW w:w="88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w w:val="99"/>
              </w:rPr>
              <w:t>Offset</w:t>
            </w:r>
          </w:p>
        </w:tc>
        <w:tc>
          <w:tcPr>
            <w:tcW w:w="880" w:type="dxa"/>
            <w:vAlign w:val="bottom"/>
            <w:tcBorders>
              <w:right w:val="single" w:sz="8" w:color="auto"/>
            </w:tcBorders>
          </w:tcPr>
          <w:p>
            <w:pPr>
              <w:ind w:left="60"/>
              <w:spacing w:after="0" w:line="172" w:lineRule="exact"/>
              <w:rPr>
                <w:sz w:val="20"/>
                <w:szCs w:val="20"/>
                <w:color w:val="auto"/>
              </w:rPr>
            </w:pPr>
            <w:r>
              <w:rPr>
                <w:rFonts w:ascii="Arial" w:cs="Arial" w:eastAsia="Arial" w:hAnsi="Arial"/>
                <w:sz w:val="15"/>
                <w:szCs w:val="15"/>
                <w:color w:val="auto"/>
              </w:rPr>
              <w:t>Offset</w:t>
            </w:r>
          </w:p>
        </w:tc>
        <w:tc>
          <w:tcPr>
            <w:tcW w:w="248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rPr>
              <w:t>Associated with Fee Offset</w:t>
            </w:r>
          </w:p>
        </w:tc>
        <w:tc>
          <w:tcPr>
            <w:tcW w:w="94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w w:val="99"/>
              </w:rPr>
              <w:t>Offset</w:t>
            </w:r>
          </w:p>
        </w:tc>
      </w:tr>
      <w:tr>
        <w:trPr>
          <w:trHeight w:val="198"/>
        </w:trPr>
        <w:tc>
          <w:tcPr>
            <w:tcW w:w="700" w:type="dxa"/>
            <w:vAlign w:val="bottom"/>
            <w:tcBorders>
              <w:left w:val="single" w:sz="8" w:color="auto"/>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Name</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5"/>
              </w:rPr>
              <w:t>Type</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Number</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Date</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Date</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Claimed</w:t>
            </w:r>
          </w:p>
        </w:tc>
        <w:tc>
          <w:tcPr>
            <w:tcW w:w="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Claimed</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Claimed</w:t>
            </w:r>
          </w:p>
        </w:tc>
        <w:tc>
          <w:tcPr>
            <w:tcW w:w="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Claimed</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Claimed</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Source</w:t>
            </w:r>
          </w:p>
        </w:tc>
      </w:tr>
      <w:tr>
        <w:trPr>
          <w:trHeight w:val="204"/>
        </w:trPr>
        <w:tc>
          <w:tcPr>
            <w:tcW w:w="700" w:type="dxa"/>
            <w:vAlign w:val="bottom"/>
            <w:tcBorders>
              <w:left w:val="single" w:sz="8" w:color="auto"/>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Rule 457(p)</w:t>
            </w:r>
          </w:p>
        </w:tc>
        <w:tc>
          <w:tcPr>
            <w:tcW w:w="8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r>
      <w:tr>
        <w:trPr>
          <w:trHeight w:val="164"/>
        </w:trPr>
        <w:tc>
          <w:tcPr>
            <w:tcW w:w="700" w:type="dxa"/>
            <w:vAlign w:val="bottom"/>
            <w:tcBorders>
              <w:left w:val="single" w:sz="8" w:color="auto"/>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Fee</w:t>
            </w:r>
          </w:p>
        </w:tc>
        <w:tc>
          <w:tcPr>
            <w:tcW w:w="88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Immatics</w:t>
            </w:r>
          </w:p>
        </w:tc>
        <w:tc>
          <w:tcPr>
            <w:tcW w:w="64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8"/>
              </w:rPr>
              <w:t>F-</w:t>
            </w:r>
          </w:p>
        </w:tc>
        <w:tc>
          <w:tcPr>
            <w:tcW w:w="78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9"/>
              </w:rPr>
              <w:t>333-</w:t>
            </w:r>
          </w:p>
        </w:tc>
        <w:tc>
          <w:tcPr>
            <w:tcW w:w="66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October</w:t>
            </w:r>
          </w:p>
        </w:tc>
        <w:tc>
          <w:tcPr>
            <w:tcW w:w="70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w w:val="99"/>
              </w:rPr>
              <w:t>$22,965</w:t>
            </w:r>
          </w:p>
        </w:tc>
        <w:tc>
          <w:tcPr>
            <w:tcW w:w="880" w:type="dxa"/>
            <w:vAlign w:val="bottom"/>
            <w:tcBorders>
              <w:right w:val="single" w:sz="8" w:color="auto"/>
            </w:tcBorders>
          </w:tcPr>
          <w:p>
            <w:pPr>
              <w:ind w:left="220"/>
              <w:spacing w:after="0" w:line="164" w:lineRule="exact"/>
              <w:rPr>
                <w:sz w:val="20"/>
                <w:szCs w:val="20"/>
                <w:color w:val="auto"/>
              </w:rPr>
            </w:pPr>
            <w:r>
              <w:rPr>
                <w:rFonts w:ascii="Arial" w:cs="Arial" w:eastAsia="Arial" w:hAnsi="Arial"/>
                <w:sz w:val="15"/>
                <w:szCs w:val="15"/>
                <w:color w:val="auto"/>
              </w:rPr>
              <w:t>Equity</w:t>
            </w:r>
          </w:p>
        </w:tc>
        <w:tc>
          <w:tcPr>
            <w:tcW w:w="88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Ordinary</w:t>
            </w:r>
          </w:p>
        </w:tc>
        <w:tc>
          <w:tcPr>
            <w:tcW w:w="880" w:type="dxa"/>
            <w:vAlign w:val="bottom"/>
            <w:tcBorders>
              <w:right w:val="single" w:sz="8" w:color="auto"/>
            </w:tcBorders>
          </w:tcPr>
          <w:p>
            <w:pPr>
              <w:ind w:left="300"/>
              <w:spacing w:after="0" w:line="164" w:lineRule="exact"/>
              <w:rPr>
                <w:sz w:val="20"/>
                <w:szCs w:val="20"/>
                <w:color w:val="auto"/>
              </w:rPr>
            </w:pPr>
            <w:r>
              <w:rPr>
                <w:rFonts w:ascii="Arial" w:cs="Arial" w:eastAsia="Arial" w:hAnsi="Arial"/>
                <w:sz w:val="15"/>
                <w:szCs w:val="15"/>
                <w:color w:val="auto"/>
              </w:rPr>
              <w:t>N/A</w:t>
            </w:r>
          </w:p>
        </w:tc>
        <w:tc>
          <w:tcPr>
            <w:tcW w:w="248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5"/>
                <w:szCs w:val="15"/>
                <w:color w:val="auto"/>
              </w:rPr>
              <w:t>$150,000,000</w:t>
            </w:r>
          </w:p>
        </w:tc>
        <w:tc>
          <w:tcPr>
            <w:tcW w:w="940" w:type="dxa"/>
            <w:vAlign w:val="bottom"/>
            <w:tcBorders>
              <w:right w:val="single" w:sz="8" w:color="auto"/>
            </w:tcBorders>
          </w:tcPr>
          <w:p>
            <w:pPr>
              <w:spacing w:after="0"/>
              <w:rPr>
                <w:sz w:val="14"/>
                <w:szCs w:val="14"/>
                <w:color w:val="auto"/>
              </w:rPr>
            </w:pPr>
          </w:p>
        </w:tc>
      </w:tr>
      <w:tr>
        <w:trPr>
          <w:trHeight w:val="171"/>
        </w:trPr>
        <w:tc>
          <w:tcPr>
            <w:tcW w:w="700" w:type="dxa"/>
            <w:vAlign w:val="bottom"/>
            <w:tcBorders>
              <w:left w:val="single" w:sz="8" w:color="auto"/>
              <w:right w:val="single" w:sz="8" w:color="auto"/>
            </w:tcBorders>
          </w:tcPr>
          <w:p>
            <w:pPr>
              <w:jc w:val="center"/>
              <w:spacing w:after="0" w:line="172" w:lineRule="exact"/>
              <w:rPr>
                <w:sz w:val="20"/>
                <w:szCs w:val="20"/>
                <w:color w:val="auto"/>
              </w:rPr>
            </w:pPr>
            <w:r>
              <w:rPr>
                <w:rFonts w:ascii="Arial" w:cs="Arial" w:eastAsia="Arial" w:hAnsi="Arial"/>
                <w:sz w:val="15"/>
                <w:szCs w:val="15"/>
                <w:color w:val="auto"/>
                <w:w w:val="99"/>
              </w:rPr>
              <w:t>Offset</w:t>
            </w:r>
          </w:p>
        </w:tc>
        <w:tc>
          <w:tcPr>
            <w:tcW w:w="88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w w:val="95"/>
              </w:rPr>
              <w:t>N.V.</w:t>
            </w:r>
          </w:p>
        </w:tc>
        <w:tc>
          <w:tcPr>
            <w:tcW w:w="64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rPr>
              <w:t>3ASR</w:t>
            </w:r>
          </w:p>
        </w:tc>
        <w:tc>
          <w:tcPr>
            <w:tcW w:w="78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w w:val="99"/>
              </w:rPr>
              <w:t>282569</w:t>
            </w:r>
          </w:p>
        </w:tc>
        <w:tc>
          <w:tcPr>
            <w:tcW w:w="660" w:type="dxa"/>
            <w:vAlign w:val="bottom"/>
            <w:tcBorders>
              <w:right w:val="single" w:sz="8" w:color="auto"/>
            </w:tcBorders>
          </w:tcPr>
          <w:p>
            <w:pPr>
              <w:jc w:val="right"/>
              <w:ind w:right="164"/>
              <w:spacing w:after="0" w:line="172" w:lineRule="exact"/>
              <w:rPr>
                <w:sz w:val="20"/>
                <w:szCs w:val="20"/>
                <w:color w:val="auto"/>
              </w:rPr>
            </w:pPr>
            <w:r>
              <w:rPr>
                <w:rFonts w:ascii="Arial" w:cs="Arial" w:eastAsia="Arial" w:hAnsi="Arial"/>
                <w:sz w:val="15"/>
                <w:szCs w:val="15"/>
                <w:color w:val="auto"/>
              </w:rPr>
              <w:t>10,</w:t>
            </w:r>
          </w:p>
        </w:tc>
        <w:tc>
          <w:tcPr>
            <w:tcW w:w="70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rPr>
              <w:t>Shares</w:t>
            </w:r>
          </w:p>
        </w:tc>
        <w:tc>
          <w:tcPr>
            <w:tcW w:w="880" w:type="dxa"/>
            <w:vAlign w:val="bottom"/>
            <w:tcBorders>
              <w:right w:val="single" w:sz="8" w:color="auto"/>
            </w:tcBorders>
          </w:tcPr>
          <w:p>
            <w:pPr>
              <w:spacing w:after="0"/>
              <w:rPr>
                <w:sz w:val="14"/>
                <w:szCs w:val="14"/>
                <w:color w:val="auto"/>
              </w:rPr>
            </w:pPr>
          </w:p>
        </w:tc>
        <w:tc>
          <w:tcPr>
            <w:tcW w:w="248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r>
      <w:tr>
        <w:trPr>
          <w:trHeight w:val="198"/>
        </w:trPr>
        <w:tc>
          <w:tcPr>
            <w:tcW w:w="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Claims</w:t>
            </w:r>
          </w:p>
        </w:tc>
        <w:tc>
          <w:tcPr>
            <w:tcW w:w="880" w:type="dxa"/>
            <w:vAlign w:val="bottom"/>
            <w:tcBorders>
              <w:bottom w:val="single" w:sz="8" w:color="auto"/>
              <w:right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7"/>
              </w:rPr>
              <w:t>(1)</w:t>
            </w:r>
          </w:p>
        </w:tc>
        <w:tc>
          <w:tcPr>
            <w:tcW w:w="660" w:type="dxa"/>
            <w:vAlign w:val="bottom"/>
            <w:tcBorders>
              <w:bottom w:val="single" w:sz="8" w:color="auto"/>
              <w:right w:val="single" w:sz="8" w:color="auto"/>
            </w:tcBorders>
          </w:tcPr>
          <w:p>
            <w:pPr>
              <w:jc w:val="right"/>
              <w:ind w:right="104"/>
              <w:spacing w:after="0"/>
              <w:rPr>
                <w:sz w:val="20"/>
                <w:szCs w:val="20"/>
                <w:color w:val="auto"/>
              </w:rPr>
            </w:pPr>
            <w:r>
              <w:rPr>
                <w:rFonts w:ascii="Arial" w:cs="Arial" w:eastAsia="Arial" w:hAnsi="Arial"/>
                <w:sz w:val="15"/>
                <w:szCs w:val="15"/>
                <w:color w:val="auto"/>
              </w:rPr>
              <w:t>2024</w:t>
            </w:r>
          </w:p>
        </w:tc>
        <w:tc>
          <w:tcPr>
            <w:tcW w:w="70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248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r>
      <w:tr>
        <w:trPr>
          <w:trHeight w:val="160"/>
        </w:trPr>
        <w:tc>
          <w:tcPr>
            <w:tcW w:w="700" w:type="dxa"/>
            <w:vAlign w:val="bottom"/>
            <w:tcBorders>
              <w:left w:val="single" w:sz="8" w:color="auto"/>
              <w:right w:val="single" w:sz="8" w:color="auto"/>
            </w:tcBorders>
          </w:tcPr>
          <w:p>
            <w:pPr>
              <w:jc w:val="center"/>
              <w:spacing w:after="0" w:line="159" w:lineRule="exact"/>
              <w:rPr>
                <w:sz w:val="20"/>
                <w:szCs w:val="20"/>
                <w:color w:val="auto"/>
              </w:rPr>
            </w:pPr>
            <w:r>
              <w:rPr>
                <w:rFonts w:ascii="Arial" w:cs="Arial" w:eastAsia="Arial" w:hAnsi="Arial"/>
                <w:sz w:val="15"/>
                <w:szCs w:val="15"/>
                <w:color w:val="auto"/>
              </w:rPr>
              <w:t>Fee</w:t>
            </w:r>
          </w:p>
        </w:tc>
        <w:tc>
          <w:tcPr>
            <w:tcW w:w="88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rPr>
              <w:t>Immatics</w:t>
            </w:r>
          </w:p>
        </w:tc>
        <w:tc>
          <w:tcPr>
            <w:tcW w:w="64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w w:val="98"/>
              </w:rPr>
              <w:t>F-</w:t>
            </w:r>
          </w:p>
        </w:tc>
        <w:tc>
          <w:tcPr>
            <w:tcW w:w="78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w w:val="99"/>
              </w:rPr>
              <w:t>333-</w:t>
            </w:r>
          </w:p>
        </w:tc>
        <w:tc>
          <w:tcPr>
            <w:tcW w:w="66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rPr>
              <w:t>October</w:t>
            </w:r>
          </w:p>
        </w:tc>
        <w:tc>
          <w:tcPr>
            <w:tcW w:w="840" w:type="dxa"/>
            <w:vAlign w:val="bottom"/>
            <w:tcBorders>
              <w:right w:val="single" w:sz="8" w:color="auto"/>
            </w:tcBorders>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248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rPr>
              <w:t>$22,965</w:t>
            </w:r>
          </w:p>
        </w:tc>
      </w:tr>
      <w:tr>
        <w:trPr>
          <w:trHeight w:val="171"/>
        </w:trPr>
        <w:tc>
          <w:tcPr>
            <w:tcW w:w="700" w:type="dxa"/>
            <w:vAlign w:val="bottom"/>
            <w:tcBorders>
              <w:left w:val="single" w:sz="8" w:color="auto"/>
              <w:right w:val="single" w:sz="8" w:color="auto"/>
            </w:tcBorders>
          </w:tcPr>
          <w:p>
            <w:pPr>
              <w:jc w:val="center"/>
              <w:spacing w:after="0" w:line="172" w:lineRule="exact"/>
              <w:rPr>
                <w:sz w:val="20"/>
                <w:szCs w:val="20"/>
                <w:color w:val="auto"/>
              </w:rPr>
            </w:pPr>
            <w:r>
              <w:rPr>
                <w:rFonts w:ascii="Arial" w:cs="Arial" w:eastAsia="Arial" w:hAnsi="Arial"/>
                <w:sz w:val="15"/>
                <w:szCs w:val="15"/>
                <w:color w:val="auto"/>
                <w:w w:val="99"/>
              </w:rPr>
              <w:t>Offset</w:t>
            </w:r>
          </w:p>
        </w:tc>
        <w:tc>
          <w:tcPr>
            <w:tcW w:w="88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w w:val="95"/>
              </w:rPr>
              <w:t>N.V.</w:t>
            </w:r>
          </w:p>
        </w:tc>
        <w:tc>
          <w:tcPr>
            <w:tcW w:w="64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rPr>
              <w:t>3ASR</w:t>
            </w:r>
          </w:p>
        </w:tc>
        <w:tc>
          <w:tcPr>
            <w:tcW w:w="78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5"/>
                <w:szCs w:val="15"/>
                <w:color w:val="auto"/>
                <w:w w:val="99"/>
              </w:rPr>
              <w:t>282569</w:t>
            </w:r>
          </w:p>
        </w:tc>
        <w:tc>
          <w:tcPr>
            <w:tcW w:w="66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jc w:val="right"/>
              <w:ind w:right="184"/>
              <w:spacing w:after="0" w:line="172" w:lineRule="exact"/>
              <w:rPr>
                <w:sz w:val="20"/>
                <w:szCs w:val="20"/>
                <w:color w:val="auto"/>
              </w:rPr>
            </w:pPr>
            <w:r>
              <w:rPr>
                <w:rFonts w:ascii="Arial" w:cs="Arial" w:eastAsia="Arial" w:hAnsi="Arial"/>
                <w:sz w:val="15"/>
                <w:szCs w:val="15"/>
                <w:color w:val="auto"/>
              </w:rPr>
              <w:t>10,</w:t>
            </w:r>
          </w:p>
        </w:tc>
        <w:tc>
          <w:tcPr>
            <w:tcW w:w="84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48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r>
      <w:tr>
        <w:trPr>
          <w:trHeight w:val="198"/>
        </w:trPr>
        <w:tc>
          <w:tcPr>
            <w:tcW w:w="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Sources</w:t>
            </w:r>
          </w:p>
        </w:tc>
        <w:tc>
          <w:tcPr>
            <w:tcW w:w="880" w:type="dxa"/>
            <w:vAlign w:val="bottom"/>
            <w:tcBorders>
              <w:bottom w:val="single" w:sz="8" w:color="auto"/>
              <w:right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7"/>
              </w:rPr>
              <w:t>(1)</w:t>
            </w:r>
          </w:p>
        </w:tc>
        <w:tc>
          <w:tcPr>
            <w:tcW w:w="66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jc w:val="right"/>
              <w:ind w:right="124"/>
              <w:spacing w:after="0"/>
              <w:rPr>
                <w:sz w:val="20"/>
                <w:szCs w:val="20"/>
                <w:color w:val="auto"/>
              </w:rPr>
            </w:pPr>
            <w:r>
              <w:rPr>
                <w:rFonts w:ascii="Arial" w:cs="Arial" w:eastAsia="Arial" w:hAnsi="Arial"/>
                <w:sz w:val="15"/>
                <w:szCs w:val="15"/>
                <w:color w:val="auto"/>
              </w:rPr>
              <w:t>2024</w:t>
            </w:r>
          </w:p>
        </w:tc>
        <w:tc>
          <w:tcPr>
            <w:tcW w:w="84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248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r>
    </w:tbl>
    <w:p>
      <w:pPr>
        <w:spacing w:after="0" w:line="191" w:lineRule="exact"/>
        <w:rPr>
          <w:sz w:val="20"/>
          <w:szCs w:val="20"/>
          <w:color w:val="auto"/>
        </w:rPr>
      </w:pPr>
    </w:p>
    <w:p>
      <w:pPr>
        <w:ind w:left="269" w:right="140" w:hanging="269"/>
        <w:spacing w:after="0" w:line="251" w:lineRule="auto"/>
        <w:tabs>
          <w:tab w:leader="none" w:pos="269"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registrant has terminated the offering of securities under such registration statement. No securities were sold pursuant to the registration statement, other than for which filing fees were made on a pay-as-you-go basis pursuant to Rule 456(b) and paid at the time of the filing of a prospectus supplement pursuant to Rule 424(b). Therefore, $22,965 of filing fees paid in connection with the registration statement are available for offsetting other filing fees when permitted by the Securities Act and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262255</wp:posOffset>
            </wp:positionV>
            <wp:extent cx="715327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sectPr>
      <w:pgSz w:w="11900" w:h="16838" w:orient="portrait"/>
      <w:cols w:equalWidth="0" w:num="1">
        <w:col w:w="11349"/>
      </w:cols>
      <w:pgMar w:left="311" w:top="33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1)"/>
      <w:numFmt w:val="lowerRoman"/>
      <w:start w:val="2"/>
    </w:lvl>
  </w:abstractNum>
  <w:abstractNum w:abstractNumId="7">
    <w:nsid w:val="5577F8E1"/>
    <w:multiLevelType w:val="hybridMultilevel"/>
    <w:lvl w:ilvl="0">
      <w:lvlJc w:val="left"/>
      <w:lvlText w:val="(%1)"/>
      <w:numFmt w:val="lowerRoman"/>
      <w:start w:val="2"/>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1)"/>
      <w:numFmt w:val="decimal"/>
      <w:start w:val="1"/>
    </w:lvl>
  </w:abstractNum>
  <w:abstractNum w:abstractNumId="19">
    <w:nsid w:val="153EA438"/>
    <w:multiLevelType w:val="hybridMultilevel"/>
    <w:lvl w:ilvl="0">
      <w:lvlJc w:val="left"/>
      <w:lvlText w:val="(%1)"/>
      <w:numFmt w:val="lowerRoman"/>
      <w:start w:val="3"/>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1)"/>
      <w:numFmt w:val="decimal"/>
      <w:start w:val="28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1)"/>
      <w:numFmt w:val="lowerLetter"/>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1)"/>
      <w:numFmt w:val="lowerRoman"/>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1)"/>
      <w:numFmt w:val="lowerRoman"/>
      <w:start w:val="1"/>
    </w:lvl>
  </w:abstractNum>
  <w:abstractNum w:abstractNumId="38">
    <w:nsid w:val="3DC240FB"/>
    <w:multiLevelType w:val="hybridMultilevel"/>
    <w:lvl w:ilvl="0">
      <w:lvlJc w:val="left"/>
      <w:lvlText w:val="(%1)"/>
      <w:numFmt w:val="decimal"/>
      <w:start w:val="4"/>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1)"/>
      <w:numFmt w:val="decimal"/>
      <w:start w:val="28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1"/>
      <w:numFmt w:val="decimal"/>
      <w:start w:val="107"/>
    </w:lvl>
  </w:abstractNum>
  <w:abstractNum w:abstractNumId="44">
    <w:nsid w:val="520EEDD1"/>
    <w:multiLevelType w:val="hybridMultilevel"/>
    <w:lvl w:ilvl="0">
      <w:lvlJc w:val="left"/>
      <w:lvlText w:val="*"/>
      <w:numFmt w:val="bullet"/>
      <w:start w:val="1"/>
    </w:lvl>
  </w:abstractNum>
  <w:abstractNum w:abstractNumId="45">
    <w:nsid w:val="374A3FE6"/>
    <w:multiLevelType w:val="hybridMultilevel"/>
    <w:lvl w:ilvl="0">
      <w:lvlJc w:val="left"/>
      <w:lvlText w:val="(%1)"/>
      <w:numFmt w:val="lowerLetter"/>
      <w:start w:val="1"/>
    </w:lvl>
    <w:lvl w:ilvl="1">
      <w:lvlJc w:val="left"/>
      <w:lvlText w:val="(%2)"/>
      <w:numFmt w:val="decimal"/>
      <w:start w:val="1"/>
    </w:lvl>
  </w:abstractNum>
  <w:abstractNum w:abstractNumId="46">
    <w:nsid w:val="4F4EF005"/>
    <w:multiLevelType w:val="hybridMultilevel"/>
    <w:lvl w:ilvl="0">
      <w:lvlJc w:val="left"/>
      <w:lvlText w:val="(%1)"/>
      <w:numFmt w:val="lowerLetter"/>
      <w:start w:val="2"/>
    </w:lvl>
  </w:abstractNum>
  <w:abstractNum w:abstractNumId="47">
    <w:nsid w:val="23F9C13C"/>
    <w:multiLevelType w:val="hybridMultilevel"/>
    <w:lvl w:ilvl="0">
      <w:lvlJc w:val="left"/>
      <w:lvlText w:val="(%1)"/>
      <w:numFmt w:val="lowerLetter"/>
      <w:start w:val="3"/>
    </w:lvl>
    <w:lvl w:ilvl="1">
      <w:lvlJc w:val="left"/>
      <w:lvlText w:val="(%2)"/>
      <w:numFmt w:val="decimal"/>
      <w:start w:val="1"/>
    </w:lvl>
  </w:abstractNum>
  <w:abstractNum w:abstractNumId="48">
    <w:nsid w:val="649BB77C"/>
    <w:multiLevelType w:val="hybridMultilevel"/>
    <w:lvl w:ilvl="0">
      <w:lvlJc w:val="left"/>
      <w:lvlText w:val="(%1)"/>
      <w:numFmt w:val="decimal"/>
      <w:start w:val="3"/>
    </w:lvl>
  </w:abstractNum>
  <w:abstractNum w:abstractNumId="49">
    <w:nsid w:val="275AC794"/>
    <w:multiLevelType w:val="hybridMultilevel"/>
    <w:lvl w:ilvl="0">
      <w:lvlJc w:val="left"/>
      <w:lvlText w:val="%1."/>
      <w:numFmt w:val="lowerLetter"/>
      <w:start w:val="1"/>
    </w:lvl>
  </w:abstractNum>
  <w:abstractNum w:abstractNumId="50">
    <w:nsid w:val="39386575"/>
    <w:multiLevelType w:val="hybridMultilevel"/>
    <w:lvl w:ilvl="0">
      <w:lvlJc w:val="left"/>
      <w:lvlText w:val="%1."/>
      <w:numFmt w:val="lowerLetter"/>
      <w:start w:val="6"/>
    </w:lvl>
  </w:abstractNum>
  <w:abstractNum w:abstractNumId="51">
    <w:nsid w:val="1CF10FD8"/>
    <w:multiLevelType w:val="hybridMultilevel"/>
    <w:lvl w:ilvl="0">
      <w:lvlJc w:val="left"/>
      <w:lvlText w:val="%1."/>
      <w:numFmt w:val="lowerLetter"/>
      <w:start w:val="13"/>
    </w:lvl>
  </w:abstractNum>
  <w:abstractNum w:abstractNumId="52">
    <w:nsid w:val="180115BE"/>
    <w:multiLevelType w:val="hybridMultilevel"/>
    <w:lvl w:ilvl="0">
      <w:lvlJc w:val="left"/>
      <w:lvlText w:val="%1."/>
      <w:numFmt w:val="decimal"/>
      <w:start w:val="1"/>
    </w:lvl>
  </w:abstractNum>
  <w:abstractNum w:abstractNumId="53">
    <w:nsid w:val="235BA861"/>
    <w:multiLevelType w:val="hybridMultilevel"/>
    <w:lvl w:ilvl="0">
      <w:lvlJc w:val="left"/>
      <w:lvlText w:val="%1."/>
      <w:numFmt w:val="decimal"/>
      <w:start w:val="2"/>
    </w:lvl>
  </w:abstractNum>
  <w:abstractNum w:abstractNumId="54">
    <w:nsid w:val="47398C89"/>
    <w:multiLevelType w:val="hybridMultilevel"/>
    <w:lvl w:ilvl="0">
      <w:lvlJc w:val="left"/>
      <w:lvlText w:val="%1."/>
      <w:numFmt w:val="upperLetter"/>
      <w:start w:val="1"/>
    </w:lvl>
  </w:abstractNum>
  <w:abstractNum w:abstractNumId="55">
    <w:nsid w:val="354FE9F9"/>
    <w:multiLevelType w:val="hybridMultilevel"/>
    <w:lvl w:ilvl="0">
      <w:lvlJc w:val="left"/>
      <w:lvlText w:val="%1."/>
      <w:numFmt w:val="upperLetter"/>
      <w:start w:val="3"/>
    </w:lvl>
    <w:lvl w:ilvl="1">
      <w:lvlJc w:val="left"/>
      <w:lvlText w:val="%2."/>
      <w:numFmt w:val="lowerLetter"/>
      <w:start w:val="1"/>
    </w:lvl>
  </w:abstractNum>
  <w:abstractNum w:abstractNumId="56">
    <w:nsid w:val="15B5AF5C"/>
    <w:multiLevelType w:val="hybridMultilevel"/>
    <w:lvl w:ilvl="0">
      <w:lvlJc w:val="left"/>
      <w:lvlText w:val="%1"/>
      <w:numFmt w:val="upperLetter"/>
      <w:start w:val="1"/>
    </w:lvl>
    <w:lvl w:ilvl="1">
      <w:lvlJc w:val="left"/>
      <w:lvlText w:val="%2."/>
      <w:numFmt w:val="lowerLetter"/>
      <w:start w:val="6"/>
    </w:lvl>
  </w:abstractNum>
  <w:abstractNum w:abstractNumId="57">
    <w:nsid w:val="741226BB"/>
    <w:multiLevelType w:val="hybridMultilevel"/>
    <w:lvl w:ilvl="0">
      <w:lvlJc w:val="left"/>
      <w:lvlText w:val="%1."/>
      <w:numFmt w:val="upperLetter"/>
      <w:start w:val="5"/>
    </w:lvl>
    <w:lvl w:ilvl="1">
      <w:lvlJc w:val="left"/>
      <w:lvlText w:val="%2"/>
      <w:numFmt w:val="lowerLetter"/>
      <w:start w:val="1"/>
    </w:lvl>
  </w:abstractNum>
  <w:abstractNum w:abstractNumId="58">
    <w:nsid w:val="D34B6A8"/>
    <w:multiLevelType w:val="hybridMultilevel"/>
    <w:lvl w:ilvl="0">
      <w:lvlJc w:val="left"/>
      <w:lvlText w:val="%1."/>
      <w:numFmt w:val="decimal"/>
      <w:start w:val="1"/>
    </w:lvl>
  </w:abstractNum>
  <w:abstractNum w:abstractNumId="59">
    <w:nsid w:val="10233C99"/>
    <w:multiLevelType w:val="hybridMultilevel"/>
    <w:lvl w:ilvl="0">
      <w:lvlJc w:val="left"/>
      <w:lvlText w:val="%1."/>
      <w:numFmt w:val="decimal"/>
      <w:start w:val="2"/>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jpe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jpe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jpe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jpeg"/><Relationship Id="rId119" Type="http://schemas.openxmlformats.org/officeDocument/2006/relationships/image" Target="media/image106.png"/><Relationship Id="rId120" Type="http://schemas.openxmlformats.org/officeDocument/2006/relationships/image" Target="media/image107.jpeg"/><Relationship Id="rId121" Type="http://schemas.openxmlformats.org/officeDocument/2006/relationships/image" Target="media/image108.png"/><Relationship Id="rId122" Type="http://schemas.openxmlformats.org/officeDocument/2006/relationships/image" Target="media/image109.jpeg"/><Relationship Id="rId123" Type="http://schemas.openxmlformats.org/officeDocument/2006/relationships/image" Target="media/image110.png"/><Relationship Id="rId124" Type="http://schemas.openxmlformats.org/officeDocument/2006/relationships/image" Target="media/image111.jpeg"/><Relationship Id="rId125" Type="http://schemas.openxmlformats.org/officeDocument/2006/relationships/image" Target="media/image112.png"/><Relationship Id="rId126" Type="http://schemas.openxmlformats.org/officeDocument/2006/relationships/image" Target="media/image113.jpeg"/><Relationship Id="rId127" Type="http://schemas.openxmlformats.org/officeDocument/2006/relationships/image" Target="media/image114.png"/><Relationship Id="rId128" Type="http://schemas.openxmlformats.org/officeDocument/2006/relationships/image" Target="media/image115.jpeg"/><Relationship Id="rId129" Type="http://schemas.openxmlformats.org/officeDocument/2006/relationships/image" Target="media/image116.png"/><Relationship Id="rId130" Type="http://schemas.openxmlformats.org/officeDocument/2006/relationships/image" Target="media/image117.jpeg"/><Relationship Id="rId131" Type="http://schemas.openxmlformats.org/officeDocument/2006/relationships/image" Target="media/image118.png"/><Relationship Id="rId132" Type="http://schemas.openxmlformats.org/officeDocument/2006/relationships/image" Target="media/image119.jpeg"/><Relationship Id="rId133" Type="http://schemas.openxmlformats.org/officeDocument/2006/relationships/image" Target="media/image120.jpeg"/><Relationship Id="rId134" Type="http://schemas.openxmlformats.org/officeDocument/2006/relationships/image" Target="media/image121.jpe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46" Type="http://schemas.openxmlformats.org/officeDocument/2006/relationships/hyperlink" Target="https://www.sec.gov/ix?doc=/Archives/edgar/data/0001809196/000095017025045724/imtx-20241231.htm" TargetMode="External"/><Relationship Id="rId47" Type="http://schemas.openxmlformats.org/officeDocument/2006/relationships/hyperlink" Target="https://www.sec.gov/Archives/edgar/data/1809196/000119312520184871/d936803d8a12b.htm" TargetMode="External"/><Relationship Id="rId100" Type="http://schemas.openxmlformats.org/officeDocument/2006/relationships/hyperlink" Target="https://www.sec.gov/Archives/edgar/data/1809196/000119312524235600/d722157dex12.htm" TargetMode="External"/><Relationship Id="rId101" Type="http://schemas.openxmlformats.org/officeDocument/2006/relationships/hyperlink" Target="https://www.sec.gov/Archives/edgar/data/1809196/000119312520206488/d96389dex31.htm" TargetMode="External"/><Relationship Id="rId102" Type="http://schemas.openxmlformats.org/officeDocument/2006/relationships/hyperlink" Target="https://www.sec.gov/Archives/edgar/data/1809196/000095010321011677/dp155329_ex0402.htm" TargetMode="External"/><Relationship Id="rId103" Type="http://schemas.openxmlformats.org/officeDocument/2006/relationships/hyperlink" Target="https://www.sec.gov/Archives/edgar/data/1809196/000119312524235600/d722157df3as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2025-03-27T07:13:07Z</dcterms:created>
  <dcterms:modified xsi:type="dcterms:W3CDTF">2025-03-27T07:13:07Z</dcterms:modified>
</cp:coreProperties>
</file>