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3472d6k.htm"/>
      <w:bookmarkStart w:id="1" w:name="ksd153472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26,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001-39363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IMMATICS N.V.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Paul-Ehrlich-Straße 15 </w:t>
      </w:r>
    </w:p>
    <w:p>
      <w:pPr>
        <w:pStyle w:val="TextBody"/>
        <w:bidi w:val="0"/>
        <w:spacing w:before="0" w:after="0"/>
        <w:jc w:val="center"/>
        <w:rPr>
          <w:rFonts w:ascii="Times New Roman" w:hAnsi="Times New Roman"/>
          <w:b/>
          <w:sz w:val="20"/>
        </w:rPr>
      </w:pPr>
      <w:r>
        <w:rPr>
          <w:rFonts w:ascii="Times New Roman" w:hAnsi="Times New Roman"/>
          <w:b/>
          <w:sz w:val="20"/>
        </w:rPr>
        <w:t xml:space="preserve">72076 Tübingen, Federal Republic of Germany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bidi w:val="0"/>
        <w:spacing w:before="240" w:after="0"/>
        <w:jc w:val="left"/>
        <w:rPr>
          <w:rFonts w:ascii="Times New Roman" w:hAnsi="Times New Roman"/>
          <w:sz w:val="20"/>
        </w:rPr>
      </w:pPr>
      <w:r>
        <w:rPr>
          <w:rFonts w:ascii="Times New Roman" w:hAnsi="Times New Roman"/>
          <w:sz w:val="20"/>
        </w:rPr>
        <w:t xml:space="preserve">On August 26, 2026, Immatics N.V. (the “Company”) completed an offering of 15,535,100 ordinary shares (the “Shares”), including the exercise in full of the underwriters’ option to purchase 2,589,814 ordinary shares, and pre-funded warrants (the “Pre-Funded Warrants” and together with the Shares, the “Securities”) to purchase 4,315,304 ordinary shares, pursuant to an underwriting agreement (the “Underwriting Agreement”) with Jefferies LLC, Jefferies GmbH, Leerink Partners LLC and Cantor Fitzgerald &amp; Co., as representatives of the several underwriters. The Underwriting Agreement includes the terms and conditions for the offering and sale of the Securities, indemnification and contribution obligations, and other terms and conditions customary in agreements of this type. The foregoing description of the Underwriting Agreement does not purport to be complete and is qualified in its entirety by reference to the Underwriting Agreement, which is attached to this Report on Form 6-K as Exhibit 1.1. </w:t>
      </w:r>
    </w:p>
    <w:p>
      <w:pPr>
        <w:pStyle w:val="TextBody"/>
        <w:bidi w:val="0"/>
        <w:spacing w:before="240" w:after="0"/>
        <w:jc w:val="left"/>
        <w:rPr>
          <w:rFonts w:ascii="Times New Roman" w:hAnsi="Times New Roman"/>
          <w:sz w:val="20"/>
        </w:rPr>
      </w:pPr>
      <w:r>
        <w:rPr>
          <w:rFonts w:ascii="Times New Roman" w:hAnsi="Times New Roman"/>
          <w:sz w:val="20"/>
        </w:rPr>
        <w:t xml:space="preserve">Each Pre-Funded Warrant is exercisable for one ordinary share at an exercise price of $0.001 per share. The Pre-Funded Warrants are immediately exercisable, do not expire, and may be exercised at any time after issuance in whole or in part solely by means of a cashless exercise, provided that a holder may not exercise any Pre-Funded Warrant to the extent that such exercise would cause the holder and its affiliates to beneficially own more than 9.99% of the Company’s outstanding ordinary shares (which percentage may be increased or decreased by the holder to any other percentage not in excess of 19.99% upon at least 61 days’ prior written notice to the Company). The exercise price and the number of ordinary shares issuable upon exercise of the Pre-Funded Warrants are subject to appropriate adjustment in the event of share dividends, share splits, combinations, reclassifications, or similar events.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 fundamental transaction (as described in the form of Pre-Funded Warrants, and generally including any reorganization, recapitalization or reclassification of the Company’s ordinary shares, the sale, transfer or other disposition of all or substantially all of the Company’s assets, the consolidation or merger with or into another person in which the Company is not the surviving entity or in which its shareholders immediately prior to such merger or consolidation do not own, directly or indirectly, at least 50% of the voting power of the surviving entity immediately after such merger or consolidation, the acquisition of more than 50% of the Company’s outstanding ordinary shares, or any person or group becoming the beneficial owner of more than 50% of the voting power of the Company’s outstanding ordinary shares), holders will be entitled to receive upon exercise the same kind and amount of securities, cash, or other property that such holders would have received had they exercised the Pre-Funded Warrants immediately prior to such fundamental transaction. The Pre-Funded Warrants are transferable without the Company’s consent, subject to applicable laws. The form of Pre-Funded Warrant is filed as Exhibit 4.1 to this report and the foregoing description of the terms of the Pre-Funded Warrants does not purport to be complete and is qualified in its entirety by reference to the form of Pre-Funded Warrant, which is attached to this Report on Form 6-K as Exhibit 4.1.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have been registered under the Securities Act of 1933, as amended, pursuant to a registration statement on Form F-3 (File No. 333-286151) (the “Registration Statement”). The Company has filed with the U.S. Securities and Exchange Commission a prospectus supplement dated August 24, 2026, together with an accompanying prospectus dated April 3, 2025, relating to the offer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from the offer and sale of the Securities are approximately $161.1 million, after deducting the underwriting discount and fees and offering expenses payable by the Company. The Company intends to use the net proceeds from the offer and sale of the Securities to fund the continued research and development of its pipeline, the manufacturing, production and, if approved, commercialization of its product candidates and for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Opinions of counsel regarding the validity of the Securities are attached to this Report on Form 6-K as Exhibit 5.1 and Exhibit 5.2 and the consents of such counsel relating to the incorporation of such opinions into the Registration Statement are attached to this Report on Form 6-K as Exhibit 23.1 and Exhibit 23.2.</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Report on Form 6-K (other than Exhibit 99.1), including Exhibits 1.1, 4.1, 5.1, 5.2, 23.1 and 23.2, shall be deemed to be incorporated by reference into the registration statement on Form F-3 (Registration No. 333-286151) of Immatics N.V. and to be a part thereof from the date on which this report is filed, to the extent not superseded by documents or reports subsequently filed or furnished. </w:t>
      </w:r>
    </w:p>
    <w:p>
      <w:pPr>
        <w:pStyle w:val="TextBody"/>
        <w:bidi w:val="0"/>
        <w:spacing w:before="240" w:after="0"/>
        <w:jc w:val="left"/>
        <w:rPr>
          <w:rFonts w:ascii="Times New Roman" w:hAnsi="Times New Roman"/>
          <w:sz w:val="20"/>
        </w:rPr>
      </w:pPr>
      <w:r>
        <w:rPr>
          <w:rFonts w:ascii="Times New Roman" w:hAnsi="Times New Roman"/>
          <w:sz w:val="20"/>
        </w:rPr>
        <w:t xml:space="preserve">This Report on Form 6-K (other than Exhibits 1.1, 4.1, 5.1, 5.2, 23.1, 23.2 and 99.1) shall be deemed to be incorporated by reference into the registration statements on Form F-3 (Registration Nos. 333-240260 and 333-274218) of Immatics N.V. and to be a part thereof from the date on which this report is filed, to the extent not superseded by documents or reports subsequently filed or furnished. </w:t>
      </w:r>
    </w:p>
    <w:p>
      <w:pPr>
        <w:pStyle w:val="TextBody"/>
        <w:bidi w:val="0"/>
        <w:spacing w:before="48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9"/>
        <w:gridCol w:w="419"/>
        <w:gridCol w:w="9017"/>
      </w:tblGrid>
      <w:tr>
        <w:trPr/>
        <w:tc>
          <w:tcPr>
            <w:tcW w:w="769"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9017" w:type="dxa"/>
            <w:tcBorders/>
            <w:vAlign w:val="center"/>
          </w:tcPr>
          <w:p>
            <w:pPr>
              <w:pStyle w:val="TableContents"/>
              <w:bidi w:val="0"/>
              <w:spacing w:before="0" w:after="283"/>
              <w:jc w:val="left"/>
              <w:rPr>
                <w:sz w:val="4"/>
                <w:szCs w:val="4"/>
              </w:rPr>
            </w:pPr>
            <w:r>
              <w:rPr>
                <w:sz w:val="4"/>
                <w:szCs w:val="4"/>
              </w:rPr>
            </w:r>
          </w:p>
        </w:tc>
      </w:tr>
      <w:tr>
        <w:trPr/>
        <w:tc>
          <w:tcPr>
            <w:tcW w:w="769" w:type="dxa"/>
            <w:tcBorders/>
            <w:vAlign w:val="bottom"/>
          </w:tcPr>
          <w:p>
            <w:pPr>
              <w:pStyle w:val="TableContents"/>
              <w:bidi w:val="0"/>
              <w:spacing w:before="0" w:after="283"/>
              <w:jc w:val="center"/>
              <w:rPr>
                <w:b/>
              </w:rPr>
            </w:pPr>
            <w:r>
              <w:rPr>
                <w:b/>
              </w:rPr>
              <w:t>Exhibit</w:t>
              <w:br/>
              <w:t>No.</w:t>
            </w:r>
          </w:p>
        </w:tc>
        <w:tc>
          <w:tcPr>
            <w:tcW w:w="419" w:type="dxa"/>
            <w:tcBorders/>
            <w:vAlign w:val="bottom"/>
          </w:tcPr>
          <w:p>
            <w:pPr>
              <w:pStyle w:val="TableContents"/>
              <w:bidi w:val="0"/>
              <w:spacing w:before="0" w:after="283"/>
              <w:jc w:val="left"/>
              <w:rPr/>
            </w:pPr>
            <w:r>
              <w:rPr/>
              <w:t>  </w:t>
            </w:r>
          </w:p>
        </w:tc>
        <w:tc>
          <w:tcPr>
            <w:tcW w:w="9017" w:type="dxa"/>
            <w:tcBorders/>
            <w:vAlign w:val="bottom"/>
          </w:tcPr>
          <w:p>
            <w:pPr>
              <w:pStyle w:val="TableContents"/>
              <w:bidi w:val="0"/>
              <w:spacing w:before="0" w:after="283"/>
              <w:jc w:val="left"/>
              <w:rPr>
                <w:b/>
              </w:rPr>
            </w:pPr>
            <w:r>
              <w:rPr>
                <w:b/>
              </w:rPr>
              <w:t>Description</w:t>
            </w:r>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9436" w:type="dxa"/>
            <w:gridSpan w:val="2"/>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283"/>
              <w:jc w:val="left"/>
              <w:rPr/>
            </w:pPr>
            <w:r>
              <w:rPr/>
              <w:t> </w:t>
            </w:r>
            <w:r>
              <w:rPr/>
              <w:t>1.1</w:t>
            </w:r>
          </w:p>
        </w:tc>
        <w:tc>
          <w:tcPr>
            <w:tcW w:w="419" w:type="dxa"/>
            <w:tcBorders/>
            <w:vAlign w:val="bottom"/>
          </w:tcPr>
          <w:p>
            <w:pPr>
              <w:pStyle w:val="TableContents"/>
              <w:bidi w:val="0"/>
              <w:spacing w:before="0" w:after="283"/>
              <w:jc w:val="left"/>
              <w:rPr/>
            </w:pPr>
            <w:r>
              <w:rPr/>
              <w:t>  </w:t>
            </w:r>
          </w:p>
        </w:tc>
        <w:tc>
          <w:tcPr>
            <w:tcW w:w="9017" w:type="dxa"/>
            <w:tcBorders/>
          </w:tcPr>
          <w:p>
            <w:pPr>
              <w:pStyle w:val="TableContents"/>
              <w:bidi w:val="0"/>
              <w:spacing w:before="0" w:after="283"/>
              <w:jc w:val="left"/>
              <w:rPr/>
            </w:pPr>
            <w:hyperlink w:anchor="d153472dex11.htm">
              <w:r>
                <w:rPr>
                  <w:rStyle w:val="InternetLink"/>
                </w:rPr>
                <w:t xml:space="preserve">Underwriting Agreement, dated August 24, 2026, between Immatics N.V. and Jefferies LLC, Jefferies GmbH, Leerink Partners LLC and Cantor Fitzgerald  &amp; Co., as representatives of the several underwriters </w:t>
              </w:r>
            </w:hyperlink>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9436" w:type="dxa"/>
            <w:gridSpan w:val="2"/>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283"/>
              <w:jc w:val="left"/>
              <w:rPr/>
            </w:pPr>
            <w:r>
              <w:rPr/>
              <w:t> </w:t>
            </w:r>
            <w:r>
              <w:rPr/>
              <w:t>4.1</w:t>
            </w:r>
          </w:p>
        </w:tc>
        <w:tc>
          <w:tcPr>
            <w:tcW w:w="419" w:type="dxa"/>
            <w:tcBorders/>
            <w:vAlign w:val="bottom"/>
          </w:tcPr>
          <w:p>
            <w:pPr>
              <w:pStyle w:val="TableContents"/>
              <w:bidi w:val="0"/>
              <w:spacing w:before="0" w:after="283"/>
              <w:jc w:val="left"/>
              <w:rPr/>
            </w:pPr>
            <w:r>
              <w:rPr/>
              <w:t>  </w:t>
            </w:r>
          </w:p>
        </w:tc>
        <w:tc>
          <w:tcPr>
            <w:tcW w:w="9017" w:type="dxa"/>
            <w:tcBorders/>
          </w:tcPr>
          <w:p>
            <w:pPr>
              <w:pStyle w:val="TableContents"/>
              <w:bidi w:val="0"/>
              <w:spacing w:before="0" w:after="283"/>
              <w:jc w:val="left"/>
              <w:rPr/>
            </w:pPr>
            <w:hyperlink w:anchor="d153472dex41.htm">
              <w:r>
                <w:rPr>
                  <w:rStyle w:val="InternetLink"/>
                </w:rPr>
                <w:t xml:space="preserve">Form of Pre-Funded Warrant </w:t>
              </w:r>
            </w:hyperlink>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9436" w:type="dxa"/>
            <w:gridSpan w:val="2"/>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283"/>
              <w:jc w:val="left"/>
              <w:rPr/>
            </w:pPr>
            <w:r>
              <w:rPr/>
              <w:t> </w:t>
            </w:r>
            <w:r>
              <w:rPr/>
              <w:t>5.1</w:t>
            </w:r>
          </w:p>
        </w:tc>
        <w:tc>
          <w:tcPr>
            <w:tcW w:w="419" w:type="dxa"/>
            <w:tcBorders/>
            <w:vAlign w:val="bottom"/>
          </w:tcPr>
          <w:p>
            <w:pPr>
              <w:pStyle w:val="TableContents"/>
              <w:bidi w:val="0"/>
              <w:spacing w:before="0" w:after="283"/>
              <w:jc w:val="left"/>
              <w:rPr/>
            </w:pPr>
            <w:r>
              <w:rPr/>
              <w:t>  </w:t>
            </w:r>
          </w:p>
        </w:tc>
        <w:tc>
          <w:tcPr>
            <w:tcW w:w="9017" w:type="dxa"/>
            <w:tcBorders/>
          </w:tcPr>
          <w:p>
            <w:pPr>
              <w:pStyle w:val="TableContents"/>
              <w:bidi w:val="0"/>
              <w:spacing w:before="0" w:after="283"/>
              <w:jc w:val="left"/>
              <w:rPr/>
            </w:pPr>
            <w:hyperlink w:anchor="d153472dex51.htm">
              <w:r>
                <w:rPr>
                  <w:rStyle w:val="InternetLink"/>
                </w:rPr>
                <w:t xml:space="preserve">Opinion of NautaDutilh N.V. </w:t>
              </w:r>
            </w:hyperlink>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9436" w:type="dxa"/>
            <w:gridSpan w:val="2"/>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283"/>
              <w:jc w:val="left"/>
              <w:rPr/>
            </w:pPr>
            <w:r>
              <w:rPr/>
              <w:t> </w:t>
            </w:r>
            <w:r>
              <w:rPr/>
              <w:t>5.2</w:t>
            </w:r>
          </w:p>
        </w:tc>
        <w:tc>
          <w:tcPr>
            <w:tcW w:w="419" w:type="dxa"/>
            <w:tcBorders/>
            <w:vAlign w:val="bottom"/>
          </w:tcPr>
          <w:p>
            <w:pPr>
              <w:pStyle w:val="TableContents"/>
              <w:bidi w:val="0"/>
              <w:spacing w:before="0" w:after="283"/>
              <w:jc w:val="left"/>
              <w:rPr/>
            </w:pPr>
            <w:r>
              <w:rPr/>
              <w:t>  </w:t>
            </w:r>
          </w:p>
        </w:tc>
        <w:tc>
          <w:tcPr>
            <w:tcW w:w="9017" w:type="dxa"/>
            <w:tcBorders/>
          </w:tcPr>
          <w:p>
            <w:pPr>
              <w:pStyle w:val="TableContents"/>
              <w:bidi w:val="0"/>
              <w:spacing w:before="0" w:after="283"/>
              <w:jc w:val="left"/>
              <w:rPr/>
            </w:pPr>
            <w:hyperlink w:anchor="d153472dex52.htm">
              <w:r>
                <w:rPr>
                  <w:rStyle w:val="InternetLink"/>
                </w:rPr>
                <w:t xml:space="preserve">Opinion of Davis Polk &amp; Wardwell LLP </w:t>
              </w:r>
            </w:hyperlink>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9436" w:type="dxa"/>
            <w:gridSpan w:val="2"/>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283"/>
              <w:jc w:val="left"/>
              <w:rPr/>
            </w:pPr>
            <w:r>
              <w:rPr/>
              <w:t>23.1</w:t>
            </w:r>
          </w:p>
        </w:tc>
        <w:tc>
          <w:tcPr>
            <w:tcW w:w="419" w:type="dxa"/>
            <w:tcBorders/>
            <w:vAlign w:val="bottom"/>
          </w:tcPr>
          <w:p>
            <w:pPr>
              <w:pStyle w:val="TableContents"/>
              <w:bidi w:val="0"/>
              <w:spacing w:before="0" w:after="283"/>
              <w:jc w:val="left"/>
              <w:rPr/>
            </w:pPr>
            <w:r>
              <w:rPr/>
              <w:t>  </w:t>
            </w:r>
          </w:p>
        </w:tc>
        <w:tc>
          <w:tcPr>
            <w:tcW w:w="9017" w:type="dxa"/>
            <w:tcBorders/>
          </w:tcPr>
          <w:p>
            <w:pPr>
              <w:pStyle w:val="TableContents"/>
              <w:bidi w:val="0"/>
              <w:spacing w:before="0" w:after="283"/>
              <w:jc w:val="left"/>
              <w:rPr/>
            </w:pPr>
            <w:hyperlink w:anchor="d153472dex51.htm">
              <w:r>
                <w:rPr>
                  <w:rStyle w:val="InternetLink"/>
                </w:rPr>
                <w:t xml:space="preserve">Consent of NautaDutilh N.V. (included in Exhibit 5.1) </w:t>
              </w:r>
            </w:hyperlink>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9436" w:type="dxa"/>
            <w:gridSpan w:val="2"/>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283"/>
              <w:jc w:val="left"/>
              <w:rPr/>
            </w:pPr>
            <w:r>
              <w:rPr/>
              <w:t>23.2</w:t>
            </w:r>
          </w:p>
        </w:tc>
        <w:tc>
          <w:tcPr>
            <w:tcW w:w="419" w:type="dxa"/>
            <w:tcBorders/>
            <w:vAlign w:val="bottom"/>
          </w:tcPr>
          <w:p>
            <w:pPr>
              <w:pStyle w:val="TableContents"/>
              <w:bidi w:val="0"/>
              <w:spacing w:before="0" w:after="283"/>
              <w:jc w:val="left"/>
              <w:rPr/>
            </w:pPr>
            <w:r>
              <w:rPr/>
              <w:t>  </w:t>
            </w:r>
          </w:p>
        </w:tc>
        <w:tc>
          <w:tcPr>
            <w:tcW w:w="9017" w:type="dxa"/>
            <w:tcBorders/>
          </w:tcPr>
          <w:p>
            <w:pPr>
              <w:pStyle w:val="TableContents"/>
              <w:bidi w:val="0"/>
              <w:spacing w:before="0" w:after="283"/>
              <w:jc w:val="left"/>
              <w:rPr/>
            </w:pPr>
            <w:hyperlink w:anchor="d153472dex52.htm">
              <w:r>
                <w:rPr>
                  <w:rStyle w:val="InternetLink"/>
                </w:rPr>
                <w:t xml:space="preserve">Consent of Davis Polk &amp; Wardwell LLP (included in Exhibit 5.2) </w:t>
              </w:r>
            </w:hyperlink>
          </w:p>
        </w:tc>
      </w:tr>
      <w:tr>
        <w:trPr>
          <w:trHeight w:val="120" w:hRule="atLeast"/>
        </w:trPr>
        <w:tc>
          <w:tcPr>
            <w:tcW w:w="769" w:type="dxa"/>
            <w:tcBorders/>
            <w:vAlign w:val="center"/>
          </w:tcPr>
          <w:p>
            <w:pPr>
              <w:pStyle w:val="TableContents"/>
              <w:bidi w:val="0"/>
              <w:spacing w:before="0" w:after="283"/>
              <w:jc w:val="left"/>
              <w:rPr>
                <w:sz w:val="4"/>
                <w:szCs w:val="4"/>
              </w:rPr>
            </w:pPr>
            <w:r>
              <w:rPr>
                <w:sz w:val="4"/>
                <w:szCs w:val="4"/>
              </w:rPr>
            </w:r>
          </w:p>
        </w:tc>
        <w:tc>
          <w:tcPr>
            <w:tcW w:w="9436" w:type="dxa"/>
            <w:gridSpan w:val="2"/>
            <w:tcBorders/>
            <w:vAlign w:val="center"/>
          </w:tcPr>
          <w:p>
            <w:pPr>
              <w:pStyle w:val="TableContents"/>
              <w:bidi w:val="0"/>
              <w:spacing w:before="0" w:after="283"/>
              <w:jc w:val="left"/>
              <w:rPr>
                <w:sz w:val="4"/>
                <w:szCs w:val="4"/>
              </w:rPr>
            </w:pPr>
            <w:r>
              <w:rPr>
                <w:sz w:val="4"/>
                <w:szCs w:val="4"/>
              </w:rPr>
            </w:r>
          </w:p>
        </w:tc>
      </w:tr>
      <w:tr>
        <w:trPr/>
        <w:tc>
          <w:tcPr>
            <w:tcW w:w="769" w:type="dxa"/>
            <w:tcBorders/>
          </w:tcPr>
          <w:p>
            <w:pPr>
              <w:pStyle w:val="TableContents"/>
              <w:bidi w:val="0"/>
              <w:spacing w:before="0" w:after="283"/>
              <w:jc w:val="left"/>
              <w:rPr/>
            </w:pPr>
            <w:r>
              <w:rPr/>
              <w:t>99.1</w:t>
            </w:r>
          </w:p>
        </w:tc>
        <w:tc>
          <w:tcPr>
            <w:tcW w:w="419" w:type="dxa"/>
            <w:tcBorders/>
            <w:vAlign w:val="bottom"/>
          </w:tcPr>
          <w:p>
            <w:pPr>
              <w:pStyle w:val="TableContents"/>
              <w:bidi w:val="0"/>
              <w:spacing w:before="0" w:after="283"/>
              <w:jc w:val="left"/>
              <w:rPr/>
            </w:pPr>
            <w:r>
              <w:rPr/>
              <w:t>  </w:t>
            </w:r>
          </w:p>
        </w:tc>
        <w:tc>
          <w:tcPr>
            <w:tcW w:w="9017" w:type="dxa"/>
            <w:tcBorders/>
          </w:tcPr>
          <w:p>
            <w:pPr>
              <w:pStyle w:val="TableContents"/>
              <w:bidi w:val="0"/>
              <w:spacing w:before="0" w:after="283"/>
              <w:jc w:val="left"/>
              <w:rPr/>
            </w:pPr>
            <w:hyperlink w:anchor="d153472dex991.htm">
              <w:r>
                <w:rPr>
                  <w:rStyle w:val="InternetLink"/>
                </w:rPr>
                <w:t xml:space="preserve">Press release dated August 25, 2026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00"/>
        <w:gridCol w:w="108"/>
        <w:gridCol w:w="394"/>
        <w:gridCol w:w="108"/>
        <w:gridCol w:w="599"/>
        <w:gridCol w:w="108"/>
        <w:gridCol w:w="4488"/>
      </w:tblGrid>
      <w:tr>
        <w:trPr/>
        <w:tc>
          <w:tcPr>
            <w:tcW w:w="440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488" w:type="dxa"/>
            <w:tcBorders/>
            <w:vAlign w:val="center"/>
          </w:tcPr>
          <w:p>
            <w:pPr>
              <w:pStyle w:val="TableContents"/>
              <w:bidi w:val="0"/>
              <w:spacing w:before="0" w:after="283"/>
              <w:jc w:val="left"/>
              <w:rPr>
                <w:sz w:val="4"/>
                <w:szCs w:val="4"/>
              </w:rPr>
            </w:pPr>
            <w:r>
              <w:rPr>
                <w:sz w:val="4"/>
                <w:szCs w:val="4"/>
              </w:rPr>
            </w:r>
          </w:p>
        </w:tc>
      </w:tr>
      <w:tr>
        <w:trPr/>
        <w:tc>
          <w:tcPr>
            <w:tcW w:w="440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195" w:type="dxa"/>
            <w:gridSpan w:val="3"/>
            <w:tcBorders/>
          </w:tcPr>
          <w:p>
            <w:pPr>
              <w:pStyle w:val="TableContents"/>
              <w:bidi w:val="0"/>
              <w:spacing w:before="0" w:after="283"/>
              <w:jc w:val="left"/>
              <w:rPr>
                <w:b/>
              </w:rPr>
            </w:pPr>
            <w:r>
              <w:rPr>
                <w:b/>
              </w:rPr>
              <w:t>IMMATICS N.V.</w:t>
            </w:r>
          </w:p>
        </w:tc>
      </w:tr>
      <w:tr>
        <w:trPr>
          <w:trHeight w:val="240" w:hRule="atLeast"/>
        </w:trPr>
        <w:tc>
          <w:tcPr>
            <w:tcW w:w="4400" w:type="dxa"/>
            <w:tcBorders/>
            <w:vAlign w:val="center"/>
          </w:tcPr>
          <w:p>
            <w:pPr>
              <w:pStyle w:val="TableContents"/>
              <w:bidi w:val="0"/>
              <w:spacing w:before="0" w:after="283"/>
              <w:jc w:val="left"/>
              <w:rPr>
                <w:sz w:val="4"/>
                <w:szCs w:val="4"/>
              </w:rPr>
            </w:pPr>
            <w:r>
              <w:rPr>
                <w:sz w:val="4"/>
                <w:szCs w:val="4"/>
              </w:rPr>
            </w:r>
          </w:p>
        </w:tc>
        <w:tc>
          <w:tcPr>
            <w:tcW w:w="502" w:type="dxa"/>
            <w:gridSpan w:val="2"/>
            <w:tcBorders/>
            <w:vAlign w:val="center"/>
          </w:tcPr>
          <w:p>
            <w:pPr>
              <w:pStyle w:val="TableContents"/>
              <w:bidi w:val="0"/>
              <w:spacing w:before="0" w:after="283"/>
              <w:jc w:val="left"/>
              <w:rPr>
                <w:sz w:val="4"/>
                <w:szCs w:val="4"/>
              </w:rPr>
            </w:pPr>
            <w:r>
              <w:rPr>
                <w:sz w:val="4"/>
                <w:szCs w:val="4"/>
              </w:rPr>
            </w:r>
          </w:p>
        </w:tc>
        <w:tc>
          <w:tcPr>
            <w:tcW w:w="707" w:type="dxa"/>
            <w:gridSpan w:val="2"/>
            <w:tcBorders/>
            <w:vAlign w:val="center"/>
          </w:tcPr>
          <w:p>
            <w:pPr>
              <w:pStyle w:val="TableContents"/>
              <w:bidi w:val="0"/>
              <w:spacing w:before="0" w:after="283"/>
              <w:jc w:val="left"/>
              <w:rPr>
                <w:sz w:val="4"/>
                <w:szCs w:val="4"/>
              </w:rPr>
            </w:pPr>
            <w:r>
              <w:rPr>
                <w:sz w:val="4"/>
                <w:szCs w:val="4"/>
              </w:rPr>
            </w:r>
          </w:p>
        </w:tc>
        <w:tc>
          <w:tcPr>
            <w:tcW w:w="4596" w:type="dxa"/>
            <w:gridSpan w:val="2"/>
            <w:tcBorders/>
            <w:vAlign w:val="center"/>
          </w:tcPr>
          <w:p>
            <w:pPr>
              <w:pStyle w:val="TableContents"/>
              <w:bidi w:val="0"/>
              <w:spacing w:before="0" w:after="283"/>
              <w:jc w:val="left"/>
              <w:rPr>
                <w:sz w:val="4"/>
                <w:szCs w:val="4"/>
              </w:rPr>
            </w:pPr>
            <w:r>
              <w:rPr>
                <w:sz w:val="4"/>
                <w:szCs w:val="4"/>
              </w:rPr>
            </w:r>
          </w:p>
        </w:tc>
      </w:tr>
      <w:tr>
        <w:trPr/>
        <w:tc>
          <w:tcPr>
            <w:tcW w:w="4400" w:type="dxa"/>
            <w:tcBorders/>
          </w:tcPr>
          <w:p>
            <w:pPr>
              <w:pStyle w:val="TableContents"/>
              <w:bidi w:val="0"/>
              <w:spacing w:before="0" w:after="283"/>
              <w:jc w:val="left"/>
              <w:rPr/>
            </w:pPr>
            <w:r>
              <w:rPr/>
              <w:t>Date: August 26, 2026</w:t>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By:</w:t>
            </w:r>
          </w:p>
        </w:tc>
        <w:tc>
          <w:tcPr>
            <w:tcW w:w="108" w:type="dxa"/>
            <w:tcBorders/>
            <w:vAlign w:val="bottom"/>
          </w:tcPr>
          <w:p>
            <w:pPr>
              <w:pStyle w:val="TableContents"/>
              <w:bidi w:val="0"/>
              <w:spacing w:before="0" w:after="283"/>
              <w:jc w:val="left"/>
              <w:rPr/>
            </w:pPr>
            <w:r>
              <w:rPr/>
              <w:t> </w:t>
            </w:r>
          </w:p>
        </w:tc>
        <w:tc>
          <w:tcPr>
            <w:tcW w:w="448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Harpreet Singh</w:t>
            </w:r>
          </w:p>
        </w:tc>
      </w:tr>
      <w:tr>
        <w:trPr/>
        <w:tc>
          <w:tcPr>
            <w:tcW w:w="440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Name:</w:t>
            </w:r>
          </w:p>
        </w:tc>
        <w:tc>
          <w:tcPr>
            <w:tcW w:w="108" w:type="dxa"/>
            <w:tcBorders/>
            <w:vAlign w:val="bottom"/>
          </w:tcPr>
          <w:p>
            <w:pPr>
              <w:pStyle w:val="TableContents"/>
              <w:bidi w:val="0"/>
              <w:spacing w:before="0" w:after="283"/>
              <w:jc w:val="left"/>
              <w:rPr/>
            </w:pPr>
            <w:r>
              <w:rPr/>
              <w:t> </w:t>
            </w:r>
          </w:p>
        </w:tc>
        <w:tc>
          <w:tcPr>
            <w:tcW w:w="4488" w:type="dxa"/>
            <w:tcBorders/>
          </w:tcPr>
          <w:p>
            <w:pPr>
              <w:pStyle w:val="TableContents"/>
              <w:bidi w:val="0"/>
              <w:spacing w:before="0" w:after="283"/>
              <w:jc w:val="left"/>
              <w:rPr/>
            </w:pPr>
            <w:r>
              <w:rPr/>
              <w:t>Harpreet Singh</w:t>
            </w:r>
          </w:p>
        </w:tc>
      </w:tr>
      <w:tr>
        <w:trPr/>
        <w:tc>
          <w:tcPr>
            <w:tcW w:w="440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599" w:type="dxa"/>
            <w:tcBorders/>
          </w:tcPr>
          <w:p>
            <w:pPr>
              <w:pStyle w:val="TableContents"/>
              <w:bidi w:val="0"/>
              <w:spacing w:before="0" w:after="283"/>
              <w:jc w:val="left"/>
              <w:rPr/>
            </w:pPr>
            <w:r>
              <w:rPr/>
              <w:t>Title:</w:t>
            </w:r>
          </w:p>
        </w:tc>
        <w:tc>
          <w:tcPr>
            <w:tcW w:w="108" w:type="dxa"/>
            <w:tcBorders/>
            <w:vAlign w:val="bottom"/>
          </w:tcPr>
          <w:p>
            <w:pPr>
              <w:pStyle w:val="TableContents"/>
              <w:bidi w:val="0"/>
              <w:spacing w:before="0" w:after="283"/>
              <w:jc w:val="left"/>
              <w:rPr/>
            </w:pPr>
            <w:r>
              <w:rPr/>
              <w:t> </w:t>
            </w:r>
          </w:p>
        </w:tc>
        <w:tc>
          <w:tcPr>
            <w:tcW w:w="4488" w:type="dxa"/>
            <w:tcBorders/>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53472dex11.htm"/>
      <w:bookmarkStart w:id="3" w:name="ksd153472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Immatics N.V. </w:t>
      </w:r>
    </w:p>
    <w:p>
      <w:pPr>
        <w:pStyle w:val="TextBody"/>
        <w:bidi w:val="0"/>
        <w:spacing w:before="0" w:after="0"/>
        <w:jc w:val="center"/>
        <w:rPr>
          <w:rFonts w:ascii="Times New Roman" w:hAnsi="Times New Roman"/>
          <w:b/>
          <w:sz w:val="20"/>
        </w:rPr>
      </w:pPr>
      <w:r>
        <w:rPr>
          <w:rFonts w:ascii="Times New Roman" w:hAnsi="Times New Roman"/>
          <w:b/>
          <w:sz w:val="20"/>
        </w:rPr>
        <w:t xml:space="preserve">12,945,916 Ordinary Shares </w:t>
      </w:r>
    </w:p>
    <w:p>
      <w:pPr>
        <w:pStyle w:val="TextBody"/>
        <w:bidi w:val="0"/>
        <w:spacing w:before="0" w:after="0"/>
        <w:jc w:val="center"/>
        <w:rPr>
          <w:rFonts w:ascii="Times New Roman" w:hAnsi="Times New Roman"/>
          <w:b/>
          <w:sz w:val="20"/>
        </w:rPr>
      </w:pPr>
      <w:r>
        <w:rPr>
          <w:rFonts w:ascii="Times New Roman" w:hAnsi="Times New Roman"/>
          <w:b/>
          <w:sz w:val="20"/>
        </w:rPr>
        <w:t xml:space="preserve">(Nominal value 0.01 per share)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Pre-Funded Warrants to Purchase 4,315,304 Ordinary Shares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24, 2026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Jefferies GmbH </w:t>
      </w:r>
    </w:p>
    <w:p>
      <w:pPr>
        <w:pStyle w:val="TextBody"/>
        <w:bidi w:val="0"/>
        <w:spacing w:before="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Cantor Fitzgerald &amp; Co.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(the “Representatives”) of the several Underwriters </w:t>
      </w:r>
    </w:p>
    <w:p>
      <w:pPr>
        <w:pStyle w:val="TextBody"/>
        <w:bidi w:val="0"/>
        <w:spacing w:before="0" w:after="0"/>
        <w:jc w:val="left"/>
        <w:rPr>
          <w:rFonts w:ascii="Times New Roman" w:hAnsi="Times New Roman"/>
          <w:sz w:val="20"/>
        </w:rPr>
      </w:pPr>
      <w:r>
        <w:rPr>
          <w:rFonts w:ascii="Times New Roman" w:hAnsi="Times New Roman"/>
          <w:sz w:val="20"/>
        </w:rPr>
        <w:t xml:space="preserve">named in Schedule I hereto, </w:t>
      </w:r>
    </w:p>
    <w:p>
      <w:pPr>
        <w:pStyle w:val="TextBody"/>
        <w:bidi w:val="0"/>
        <w:spacing w:before="240" w:after="0"/>
        <w:jc w:val="left"/>
        <w:rPr>
          <w:rFonts w:ascii="Times New Roman" w:hAnsi="Times New Roman"/>
          <w:sz w:val="20"/>
        </w:rPr>
      </w:pPr>
      <w:r>
        <w:rPr>
          <w:rFonts w:ascii="Times New Roman" w:hAnsi="Times New Roman"/>
          <w:sz w:val="20"/>
        </w:rPr>
        <w:t xml:space="preserve">c/o 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240" w:after="0"/>
        <w:jc w:val="left"/>
        <w:rPr>
          <w:rFonts w:ascii="Times New Roman" w:hAnsi="Times New Roman"/>
          <w:sz w:val="20"/>
        </w:rPr>
      </w:pPr>
      <w:r>
        <w:rPr>
          <w:rFonts w:ascii="Times New Roman" w:hAnsi="Times New Roman"/>
          <w:sz w:val="20"/>
        </w:rPr>
        <w:t xml:space="preserve">c/o Jefferies GmbH </w:t>
      </w:r>
    </w:p>
    <w:p>
      <w:pPr>
        <w:pStyle w:val="TextBody"/>
        <w:bidi w:val="0"/>
        <w:spacing w:before="0" w:after="0"/>
        <w:jc w:val="left"/>
        <w:rPr>
          <w:rFonts w:ascii="Times New Roman" w:hAnsi="Times New Roman"/>
          <w:sz w:val="20"/>
        </w:rPr>
      </w:pPr>
      <w:r>
        <w:rPr>
          <w:rFonts w:ascii="Times New Roman" w:hAnsi="Times New Roman"/>
          <w:sz w:val="20"/>
        </w:rPr>
        <w:t xml:space="preserve">Bockenheimer Landstr. 24 </w:t>
      </w:r>
    </w:p>
    <w:p>
      <w:pPr>
        <w:pStyle w:val="TextBody"/>
        <w:bidi w:val="0"/>
        <w:spacing w:before="0" w:after="0"/>
        <w:jc w:val="left"/>
        <w:rPr>
          <w:rFonts w:ascii="Times New Roman" w:hAnsi="Times New Roman"/>
          <w:sz w:val="20"/>
        </w:rPr>
      </w:pPr>
      <w:r>
        <w:rPr>
          <w:rFonts w:ascii="Times New Roman" w:hAnsi="Times New Roman"/>
          <w:sz w:val="20"/>
        </w:rPr>
        <w:t xml:space="preserve">60323 Frankfurt am Main </w:t>
      </w:r>
    </w:p>
    <w:p>
      <w:pPr>
        <w:pStyle w:val="TextBody"/>
        <w:bidi w:val="0"/>
        <w:spacing w:before="240" w:after="0"/>
        <w:jc w:val="left"/>
        <w:rPr>
          <w:rFonts w:ascii="Times New Roman" w:hAnsi="Times New Roman"/>
          <w:sz w:val="20"/>
        </w:rPr>
      </w:pPr>
      <w:r>
        <w:rPr>
          <w:rFonts w:ascii="Times New Roman" w:hAnsi="Times New Roman"/>
          <w:sz w:val="20"/>
        </w:rPr>
        <w:t xml:space="preserve">c/o 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240" w:after="0"/>
        <w:jc w:val="left"/>
        <w:rPr>
          <w:rFonts w:ascii="Times New Roman" w:hAnsi="Times New Roman"/>
          <w:sz w:val="20"/>
        </w:rPr>
      </w:pPr>
      <w:r>
        <w:rPr>
          <w:rFonts w:ascii="Times New Roman" w:hAnsi="Times New Roman"/>
          <w:sz w:val="20"/>
        </w:rPr>
        <w:t xml:space="preserve">c/o Cantor Fitzgerald &amp; Co. </w:t>
      </w:r>
    </w:p>
    <w:p>
      <w:pPr>
        <w:pStyle w:val="TextBody"/>
        <w:bidi w:val="0"/>
        <w:spacing w:before="0" w:after="0"/>
        <w:jc w:val="left"/>
        <w:rPr>
          <w:rFonts w:ascii="Times New Roman" w:hAnsi="Times New Roman"/>
          <w:sz w:val="20"/>
        </w:rPr>
      </w:pPr>
      <w:r>
        <w:rPr>
          <w:rFonts w:ascii="Times New Roman" w:hAnsi="Times New Roman"/>
          <w:sz w:val="20"/>
        </w:rPr>
        <w:t xml:space="preserve">110 East 59th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Immatics N.V., a public limited company (</w:t>
      </w:r>
      <w:r>
        <w:rPr>
          <w:rFonts w:ascii="Times New Roman" w:hAnsi="Times New Roman"/>
          <w:i/>
          <w:sz w:val="20"/>
        </w:rPr>
        <w:t>naamloze vennootschap</w:t>
      </w:r>
      <w:r>
        <w:rPr>
          <w:rFonts w:ascii="Times New Roman" w:hAnsi="Times New Roman"/>
          <w:sz w:val="20"/>
        </w:rPr>
        <w:t xml:space="preserve">) under Dutch law (the “Company”), proposes, subject to the terms and conditions stated in this agreement (this “Agreement”), to issue and sell to the Underwriters named in Schedule I hereto (the “Underwriters”) an aggregate of 12,945,916 (the “Firm Shares”) of the Company’s ordinary shares, nominal value 0.01 per share (“Ordinary Shares”) and pre-funded warrants to purchase 4,315,304 Ordinary Shares at a per Ordinary Share exercise price of $0.001 (the “Pre-Funded Warrants”), and, at the election of the Underwriters, up to 2,589,184 additional Ordinary Shares (the “Optional Shares”). The Firm Shares and the Optional Shares that the Underwriters elect to purchase pursuant to Section 2 hereof are collectively referred to as the “Shares,” and the Shares and the Pre-Funded Warrants to be sold by the Company are collectively referred to as the “Securities.” As used herein, “Warrant Shares” means the Ordinary Shares issuable upon exercise of the Pre-Funded Warrants.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The Company represents and warrants to, and agrees with, each of the Underwriters that: </w:t>
      </w:r>
    </w:p>
    <w:p>
      <w:pPr>
        <w:pStyle w:val="TextBody"/>
        <w:bidi w:val="0"/>
        <w:spacing w:before="120" w:after="0"/>
        <w:jc w:val="left"/>
        <w:rPr>
          <w:rFonts w:ascii="Times New Roman" w:hAnsi="Times New Roman"/>
          <w:sz w:val="20"/>
        </w:rPr>
      </w:pPr>
      <w:r>
        <w:rPr>
          <w:rFonts w:ascii="Times New Roman" w:hAnsi="Times New Roman"/>
          <w:sz w:val="20"/>
        </w:rPr>
        <w:t xml:space="preserve">(a) A registration statement on Form F-3 (File No. 333-286151) (the “Registration Statement”) in respect of the Securities has been filed with the Securities and Exchange Commission (the “Commission”); the Registration Statement and any post-effective amendment thereto have become effective and no stop order suspending the effectiveness of the Registration Statement or any post-effective amendment thereto or any part thereof has been issued and no proceeding for that purpose or pursuant to Section 8A of the Securities Act of 1933, as amended (the “Act”), has been initiated or, to the Company’s knowledge, threatened by the Commission, and no notice of objection of the Commission to the use of the Registration Statement or any post-effective amendment thereto pursuant to Rule 401(g)(2) under the Act has been received by the Company (the base prospectus filed as part of the Registration Statement, in the form in which it has most recently been filed with the Commission on or prior to the date of this Agreement relating to the Securities, is hereinafter called the “Basic Prospectus”; any preliminary prospectus (including any preliminary prospectus supplement) relating to the Securities filed with the Commission pursuant to Rule 424(b) under the Act is hereinafter called a “Preliminary Prospectus”; the various parts of the Registration Statement, including all exhibits thereto and including any prospectus supplement relating to the Securities that is filed with the Commission and deemed by virtue of Rule 430B under the Act to be part of the Registration Statement, each as amended at the time such part of the Registration Statement became effective, are hereinafter collectively called the “Registration Statement”; the Basic Prospectus, as amended and supplemented immediately prior to the Applicable Time (as defined in Section 1(c) hereof), is hereinafter called the “Pricing Prospectus”; the form of the final prospectus relating to the Securities filed with the Commission pursuant to Rule 424(b) under the Act in accordance with Section 5(a) hereof is hereinafter called the “Prospectus”; any reference herein to the Basic Prospectus, the Pricing Prospectus, any Preliminary Prospectus or the Prospectus shall be deemed to refer to and include the documents incorporated by reference therein pursuant to Item 6 of Form F-3,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Securities filed with the Commission pursuant to Rule 424(b) under the Act and any documents filed under the Securities Exchange Act of 1934, as amended (the “Exchange Act”), and incorporated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oral or written communication with potential investors undertaken in reliance on Rule 163B under the Act is hereinafter called a “Testing-the-Waters Communication”; and any Testing-the-Waters Communication that is a written communication within the meaning of Rule 405 under the Act is hereinafter called a “Written Testing-the-Waters Communication”; and any “issuer free writing prospectus” as defined in Rule 433 under the Act relating to the Securities is hereinafter called an “Issuer Free Writing Prospectus”); </w:t>
      </w:r>
    </w:p>
    <w:p>
      <w:pPr>
        <w:pStyle w:val="TextBody"/>
        <w:bidi w:val="0"/>
        <w:spacing w:before="120" w:after="0"/>
        <w:jc w:val="left"/>
        <w:rPr>
          <w:rFonts w:ascii="Times New Roman" w:hAnsi="Times New Roman"/>
          <w:sz w:val="20"/>
        </w:rPr>
      </w:pPr>
      <w:r>
        <w:rPr>
          <w:rFonts w:ascii="Times New Roman" w:hAnsi="Times New Roman"/>
          <w:sz w:val="20"/>
        </w:rPr>
        <w:t xml:space="preserve">(b) (A)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9(b)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For the purposes of this Agreement, the “Applicable Time” is 6:30 p.m. (Eastern time) on the date of this Agreement. The Pricing Prospectus, as supplemented by the information listed on Schedule II(c) hereto, taken together (collectively, the “Pricing Disclosure Package”), as of the Applicable Time did not, and as of each Time of Delivery (as defined in Section 4(a) hereof)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 </w:t>
      </w:r>
    </w:p>
    <w:p>
      <w:pPr>
        <w:pStyle w:val="TextBody"/>
        <w:bidi w:val="0"/>
        <w:spacing w:before="120" w:after="0"/>
        <w:jc w:val="left"/>
        <w:rPr>
          <w:rFonts w:ascii="Times New Roman" w:hAnsi="Times New Roman"/>
          <w:sz w:val="20"/>
        </w:rPr>
      </w:pPr>
      <w:r>
        <w:rPr>
          <w:rFonts w:ascii="Times New Roman" w:hAnsi="Times New Roman"/>
          <w:sz w:val="20"/>
        </w:rPr>
        <w:t xml:space="preserve">(d) The documents incorporated by reference in the Pricing Prospectus and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Pricing Prospectus and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and no such or any other documents were filed with the Commission since the Commission’s close of business on the Business Day (as defined below) immediately prior to the date of this Agreement and prior to the execution of this Agreement, except as set forth on Schedule II(b) hereto; </w:t>
      </w:r>
    </w:p>
    <w:p>
      <w:pPr>
        <w:pStyle w:val="TextBody"/>
        <w:bidi w:val="0"/>
        <w:spacing w:before="120" w:after="0"/>
        <w:jc w:val="left"/>
        <w:rPr>
          <w:rFonts w:ascii="Times New Roman" w:hAnsi="Times New Roman"/>
          <w:sz w:val="20"/>
        </w:rPr>
      </w:pPr>
      <w:r>
        <w:rPr>
          <w:rFonts w:ascii="Times New Roman" w:hAnsi="Times New Roman"/>
          <w:sz w:val="20"/>
        </w:rPr>
        <w:t xml:space="preserve">(e) The Registration Statement conforms, as of its filing date, and the Prospectus and any further amendments or supplements to the Registration Statement and the Prospectus will conform, as of its filing date,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 </w:t>
      </w:r>
    </w:p>
    <w:p>
      <w:pPr>
        <w:pStyle w:val="TextBody"/>
        <w:bidi w:val="0"/>
        <w:spacing w:before="120" w:after="0"/>
        <w:jc w:val="left"/>
        <w:rPr>
          <w:rFonts w:ascii="Times New Roman" w:hAnsi="Times New Roman"/>
          <w:sz w:val="20"/>
        </w:rPr>
      </w:pPr>
      <w:r>
        <w:rPr>
          <w:rFonts w:ascii="Times New Roman" w:hAnsi="Times New Roman"/>
          <w:sz w:val="20"/>
        </w:rPr>
        <w:t xml:space="preserve">(f) [Reserved]; </w:t>
      </w:r>
    </w:p>
    <w:p>
      <w:pPr>
        <w:pStyle w:val="TextBody"/>
        <w:bidi w:val="0"/>
        <w:spacing w:before="120" w:after="0"/>
        <w:jc w:val="left"/>
        <w:rPr>
          <w:rFonts w:ascii="Times New Roman" w:hAnsi="Times New Roman"/>
          <w:sz w:val="20"/>
        </w:rPr>
      </w:pPr>
      <w:r>
        <w:rPr>
          <w:rFonts w:ascii="Times New Roman" w:hAnsi="Times New Roman"/>
          <w:sz w:val="20"/>
        </w:rPr>
        <w:t xml:space="preserve">(g) The interactive data in eXtensible Business Reporting Language included or incorporated by reference in the Registration Statement, the Pricing Prospectus and the Prospectus fairly presents the information called for in all material respects and has been prepared in accordance with the Commission’s rules and guidelines applicable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Company is subject to and in compliance in all material respects with the reporting requirements of Section 13 or Section 15(d) of the Exchange Act; the Ordinary Shares are registered pursuant to Section 12(b) of the Exchange Act and are listed on The Nasdaq Stock Market (the “Nasdaq”), and the Company has taken no action designed to, or reasonably likely to have the effect of, terminating the registration of the Ordinary Shares under the Exchange Act or delisting the Ordinary Shares from Nasdaq, nor has the Company received any notification that the Commission or Nasdaq is contemplating terminating such registration or listing; the Company is in compliance in all material respects with the current listing standards of Nasdaq; the Company has filed or will file a Notification of Listing of Additional Shares with Nasdaq with respect to the Shares and the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(i) Neither the Company nor any of its subsidiaries is a party to any contract, agreement or understanding with any person (other than this Agreement) that would give rise to a valid claim against the Company or any of its subsidiaries or the Underwriters for a brokerage commission, finder’s fee or like payment in connection with the offering and 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(j) The Company and each of its subsidiaries have been duly incorporated or organized (and are in good standing, to the extent such concept is applicable) under the laws of their respective jurisdictions of organization, are validly existing and are duly qualified to do business (and are in good standing, to the extent such concept is applicable), in each jurisdiction in which their respective ownership or lease of property or the conduct of their respective businesses requires such qualification, and have all power and authority necessary to own or hold their respective properties and to conduct the businesses as described in the Pricing Prospectus, except where the failure to be so qualified (or in good standing, to the extent such concept is applicable) or have such power or authority would not, individually or in the aggregate, reasonably be expected to have a Material Adverse Effect (as defined below); and the Company does not own or control, directly or indirectly, any corporation, association or other entity other than as disclosed in the Pricing Prospectus; as used in this Agreement, “Material Adverse Effect” shall mean a material adverse effect on the business, properties, management, financial position, shareholders’ equity, results of operations or prospects of the Company and its subsidiaries taken as a whole or on the performance by the Company of its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(k) All of the issued and outstanding share capital or other equity or ownership interests of each subsidiary has been duly authorized and validly issued, is fully paid and non-assessable, has been issued in compliance with federal, state and securities laws and is owned by the Company, directly or through other wholly-owned subsidiaries, free and clear of any security interest, mortgage, pledge, lien, encumbrance or adverse claim; no subsidiary of the Company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 </w:t>
      </w:r>
    </w:p>
    <w:p>
      <w:pPr>
        <w:pStyle w:val="TextBody"/>
        <w:bidi w:val="0"/>
        <w:spacing w:before="120" w:after="0"/>
        <w:jc w:val="left"/>
        <w:rPr>
          <w:rFonts w:ascii="Times New Roman" w:hAnsi="Times New Roman"/>
          <w:sz w:val="20"/>
        </w:rPr>
      </w:pPr>
      <w:r>
        <w:rPr>
          <w:rFonts w:ascii="Times New Roman" w:hAnsi="Times New Roman"/>
          <w:sz w:val="20"/>
        </w:rPr>
        <w:t xml:space="preserve">(l) The Company has an authorized capital as set forth in the Pricing Prospectus and all of the outstanding Ordinary Shares of the Company have been duly authorized and validly issued and are fully paid and non-assessable (meaning that a holder of any such Ordinary Shares shall not by reason of merely being such a holder be subject to assessment or calls by the Company or its creditors for further payment on such Ordinary Shares) and are not subject to any pre-emptive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similar rights that have not been duly waived or satisfied or validly excluded; except as described in or expressly contemplated by the Pricing Prospectus and the Prospectus, there are no outstanding rights (including, without limitation, pre-emptive rights), warrants or options to acquire, or instruments convertible into or exchangeable for, any Ordinary Shares or other equity interest in the Company or any of its subsidiaries, or any contract, commitment, agreement, understanding or arrangement of any kind relating to the issuance of any Ordinary Shares or other equity interest of the Company or any such subsidiary, any such convertible or exchangeable securities or any such rights, warrants or options; the Ordinary Shares of the Company and the Pre-Funded Warrants conform in all material respects to the description thereof contained in the Pricing Disclosure Package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(m) With respect to the share options or performance shares (the “Share Options”) granted pursuant to the share-based compensation plans of the Company and its subsidiaries (the “Company Share Plans”), (i) each grant of a Share Option was duly authorized no later than the date on which the grant of such Share Option was by its terms to be effective by all necessary corporate action, including, as applicable, approval by the board of directors or similar governing body of the Company (or its designee) and any required shareholder approval by the necessary number of votes or written consents, and to the knowledge of the Company (other than with respect to the execution and delivery by the Company), the award agreement governing such grant (if any) was duly executed and delivered by each party thereto, (ii) each such grant was made in accordance with the terms of the applicable Company Share Plans, the Exchange Act and all other applicable laws and regulatory rules or requirements, including the rules of Nasdaq, applicable to the Company on the date the Share Option was granted and (iii) each such grant was properly accounted for in accordance with International Financial Reporting Standards as issued by the International Accounting Standards Board (“IFRS”) in the financial statements (including the related notes)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(n) The Shares have been duly authorized by the Company and, when issued and delivered and paid for as provided herein, will be validly issued, fully paid and non-assessable (meaning that a holder of any such Shares shall not by reason of merely being such a holder be subject to assessment or calls by the Company or its creditors for further payment on such Shares) and will conform to the descriptions of the Ordinary Shares contained in the Pricing Prospectus and the Prospectus; neither the issuance nor the sale of the Securities is subject to any pre-emptive or similar rights the exercise and transfer of which have not been validly and irrevocably waived or otherwise validly and irrevocably declined or excluded; the Shares, when delivered against payment therefor, will be freely transferable to or for the account of the Underwriters and the initial purchasers thereof; there are no restrictions on subsequent transfers of the Securities under the laws of the Netherlands that generally restrict subsequent transfers of the Securities. The Pre-Funded Warrants have been duly authorized and, when executed and delivered by the Company pursuant to this Agreement, will be valid and binding agreements of the Company, enforceable against the Company in accordance with their terms, except as the enforcement thereof may be limited by bankruptcy, insolvency, reorganization, moratorium or other similar laws relating to or affecting rights or remedies of creditors generally or by general equitable principles. The Warrant Shares have been duly authorized and validly reserved for issuance upon exercise of the Pre-Funded Warrants in a number sufficient to meet the current exercise requirements and, when issued and delivered upon exercise of the Pre-Funded Warrants in accordance therewith, will be validly issued, fully paid and nonassessable (meaning that a holder of any such Shares shall not by reason of merely being such a holder be subject to assessment or calls by the Company or its creditors for further payment on such Shares), and will be freely transferable, with no restrictions on subsequent transfers of the Warrant Shares under the laws of the Netherlands that generally restrict subsequent transfers of the Warrant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Except as disclosed in the Registration Statement, the Pricing Prospectus and the Prospectus, neither the Company nor any of its subsidiaries has sent or received any written communication regarding the termination of, or non-renewal or non-performance under, any contract or agreement that is material to the Company and that is described in the Registration Statement, the Pricing Prospectus or the Prospectus, except such termination, non-renewal or non-performance that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(p)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(q) The Company is not and, after giving effect to the offering and sale of the Securities and the application of the proceeds thereof as described in the Pricing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 </w:t>
      </w:r>
    </w:p>
    <w:p>
      <w:pPr>
        <w:pStyle w:val="TextBody"/>
        <w:bidi w:val="0"/>
        <w:spacing w:before="120" w:after="0"/>
        <w:jc w:val="left"/>
        <w:rPr>
          <w:rFonts w:ascii="Times New Roman" w:hAnsi="Times New Roman"/>
          <w:sz w:val="20"/>
        </w:rPr>
      </w:pPr>
      <w:r>
        <w:rPr>
          <w:rFonts w:ascii="Times New Roman" w:hAnsi="Times New Roman"/>
          <w:sz w:val="20"/>
        </w:rPr>
        <w:t xml:space="preserve">(r) No consent, approval, authorization, order, registration or qualification of or with any court or arbitrator or governmental or regulatory authority is required for the execution, delivery and performance by the Company of this Agreement, the issuance of the Securities, the sale of the Securities and the consummation of the transactions contemplated by this Agreement, except for such consents, approvals, authorizations, orders and registrations or qualifications as may be required by Nasdaq, the Financial Industry Regulatory Authority, Inc. (“FINRA”) and under applicable state securities laws in connection with the purchase and distribution of the Securities as contemplated hereunder; </w:t>
      </w:r>
    </w:p>
    <w:p>
      <w:pPr>
        <w:pStyle w:val="TextBody"/>
        <w:bidi w:val="0"/>
        <w:spacing w:before="120" w:after="0"/>
        <w:jc w:val="left"/>
        <w:rPr>
          <w:rFonts w:ascii="Times New Roman" w:hAnsi="Times New Roman"/>
          <w:sz w:val="20"/>
        </w:rPr>
      </w:pPr>
      <w:r>
        <w:rPr>
          <w:rFonts w:ascii="Times New Roman" w:hAnsi="Times New Roman"/>
          <w:sz w:val="20"/>
        </w:rPr>
        <w:t xml:space="preserve">(s) The execution, delivery and performance by the Company of this Agreement and the Pre-Funded Warrants, the issuance of the Securities and Warrant Shares, the sale of the Securities, and the consummation of the transactions contemplated by this Agreement and the Pricing Prospectus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articles of association or similar organizational documents of the Company or any of its subsidiaries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(t) Subsequent to the respective dates as of which information is given in the Registration Statement and the Pricing Prospectus, (i) there has not been any material change in the share capital (other than the sale of Securities hereunder and the issuance of Ordinary Shares upon exercise or settlement of options, awards or warrants described in, and the grant of options and awards under equity incentive plans described in, the Pricing Prospectus and the Prospectus), short-term debt or long-term debt of the Company or any of its subsidiaries, or any dividend or distribution of any kind declared, set aside for payment, paid or made by the Company on any class of share capital, or any material adverse change, or any development involving a prospective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adverse change, in or affecting the business, properties, management, financial position, shareholders’ equity, results of operations or prospects of the Company and its subsidiaries taken as a whole or the performance by the Company of its obligations under this Agreement;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w:t>
      </w:r>
    </w:p>
    <w:p>
      <w:pPr>
        <w:pStyle w:val="TextBody"/>
        <w:bidi w:val="0"/>
        <w:spacing w:before="120" w:after="0"/>
        <w:jc w:val="left"/>
        <w:rPr>
          <w:rFonts w:ascii="Times New Roman" w:hAnsi="Times New Roman"/>
          <w:sz w:val="20"/>
        </w:rPr>
      </w:pPr>
      <w:r>
        <w:rPr>
          <w:rFonts w:ascii="Times New Roman" w:hAnsi="Times New Roman"/>
          <w:sz w:val="20"/>
        </w:rPr>
        <w:t xml:space="preserve">(u) No person has the right to require the Company or any of its subsidiaries to register any securities for sale under the Act by reason of the filing of the Registration Statement with the Commission or the sale of the Securities, except for such rights as have been satisfied or duly waived; </w:t>
      </w:r>
    </w:p>
    <w:p>
      <w:pPr>
        <w:pStyle w:val="TextBody"/>
        <w:bidi w:val="0"/>
        <w:spacing w:before="120" w:after="0"/>
        <w:jc w:val="left"/>
        <w:rPr>
          <w:rFonts w:ascii="Times New Roman" w:hAnsi="Times New Roman"/>
          <w:sz w:val="20"/>
        </w:rPr>
      </w:pPr>
      <w:r>
        <w:rPr>
          <w:rFonts w:ascii="Times New Roman" w:hAnsi="Times New Roman"/>
          <w:sz w:val="20"/>
        </w:rPr>
        <w:t xml:space="preserve">(v) The financial statements (including the related notes thereto) of the Company and its consolidated subsidiaries, which are included or incorporated by reference in the Registration Statement, the Pricing Prospectus and the Prospectus, comply in all material respects with the applicable requirements of the Act and the Exchange Act and present fairly in all material respects the financial position of the Company and its consolidated subsidiaries as of the dates indicated and the results of its operations and its changes in cash flows for the periods specified; the financial statements of the Company and its consolidated subsidiaries have been prepared in conformity with IFRS applied on a consistent basis throughout the periods covered thereby, except as may be expressly stated in the related notes thereto, and except in the case of unaudited financial statements, which are subject to normal year-end adjustments and do not contain certain footnotes as permitted by the applicable rules of the Commission, and any supporting schedules included or incorporated by reference in the Registration Statement, the Pricing Prospectus or the Prospectus present fairly in all material respects the information required to be stated therein; the other financial information included or incorporated by reference in the Registration Statement, the Pricing Prospectus and the Prospectus has been derived from the accounting records of the Company and its consolidated subsidiaries or of such other company and presents fairly in all material respects the information shown thereby; </w:t>
      </w:r>
    </w:p>
    <w:p>
      <w:pPr>
        <w:pStyle w:val="TextBody"/>
        <w:bidi w:val="0"/>
        <w:spacing w:before="120" w:after="0"/>
        <w:jc w:val="left"/>
        <w:rPr>
          <w:rFonts w:ascii="Times New Roman" w:hAnsi="Times New Roman"/>
          <w:sz w:val="20"/>
        </w:rPr>
      </w:pPr>
      <w:r>
        <w:rPr>
          <w:rFonts w:ascii="Times New Roman" w:hAnsi="Times New Roman"/>
          <w:sz w:val="20"/>
        </w:rPr>
        <w:t xml:space="preserve">(w) Except as described in the Pricing Prospectus, (i) there are no legal, governmental or regulatory investigations, actions, demands, claims, suits, arbitrations, inquiries or proceedings (“Actions”) pending to which the Company or any of its subsidiaries is a party or to which any property of the Company or any of its subsidiaries is subject that would, individually or in the aggregate, if determined adversely to the Company or any of its subsidiaries, reasonably be expected to have a Material Adverse Effect and (ii) to the knowledge of the Company, no Actions are threatened or contemplated by any governmental or regulatory authority or threatened by others; there are no current or pending Actions that are required under the Act to be described in the Registration Statement or the Pricing Prospectus that are not so described therein; </w:t>
      </w:r>
    </w:p>
    <w:p>
      <w:pPr>
        <w:pStyle w:val="TextBody"/>
        <w:bidi w:val="0"/>
        <w:spacing w:before="120" w:after="0"/>
        <w:jc w:val="left"/>
        <w:rPr>
          <w:rFonts w:ascii="Times New Roman" w:hAnsi="Times New Roman"/>
          <w:sz w:val="20"/>
        </w:rPr>
      </w:pPr>
      <w:r>
        <w:rPr>
          <w:rFonts w:ascii="Times New Roman" w:hAnsi="Times New Roman"/>
          <w:sz w:val="20"/>
        </w:rPr>
        <w:t xml:space="preserve">(x) The Company and its subsidiaries have good and marketable title in fee simple (in the case of real property) to, or have valid rights to lease or otherwise use, all items of real and personal property that are material to the respective businesses of the Company and its subsidiaries, taken as a whole, in each case free and clear of all liens, encumbrances, claims and defects and imperfections of title except those that (i) do not materially interfere with the use made and proposed to be made of such property by the Company and its subsidiaries or (ii) would not reasonably be expected, individually or in the aggregate,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 Neither the Company nor any of its subsidiaries is (i) in violation of its articles of association or similar organizational documents, (ii) in violation of any law or statute or any judgment, order, rule or regulation of any court or arbitrator or governmental or regulatory authority, or (iii) in default, and no event has occurred that, with notice or lapse of time or both, would constitute such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assets of the Company or any of its subsidiaries is subject, except, in the case of clauses (ii) and (iii) above, for any such default or violation as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(z) PricewaterhouseCoopers GmbH Wirtschaftsprüfungsgesellschaft, whose audit opinion covers the financial statements of the Company and its subsidiaries that are included or incorporated by reference in the Registration Statement and the Prospectus, is an independent registered public accounting firm with respect to the Company and its subsidiaries within the applicable rules and regulations adopted by the Commission and the Public Company Accounting Oversight Board (United States) and as required by the Act and the rules and regulations of the Commission thereunder; </w:t>
      </w:r>
    </w:p>
    <w:p>
      <w:pPr>
        <w:pStyle w:val="TextBody"/>
        <w:bidi w:val="0"/>
        <w:spacing w:before="120" w:after="0"/>
        <w:jc w:val="left"/>
        <w:rPr>
          <w:rFonts w:ascii="Times New Roman" w:hAnsi="Times New Roman"/>
          <w:sz w:val="20"/>
        </w:rPr>
      </w:pPr>
      <w:r>
        <w:rPr>
          <w:rFonts w:ascii="Times New Roman" w:hAnsi="Times New Roman"/>
          <w:sz w:val="20"/>
        </w:rPr>
        <w:t xml:space="preserve">(aa) Except as disclosed in each of the Registration Statement, the Pricing Prospectus and the Prospectus, and except for any net income, capital gains or franchise taxes imposed on the Underwriters by the governments of the Netherlands, the United States, or any political subdivision or taxing authority thereof or therein as a result of any present or former connection between the Underwriters and the jurisdiction imposing such tax, no stamp duties or other issuance or transfer taxes (for the avoidance of doubt this does not include any value added tax or similar taxes) are payable by or on behalf of the Underwriters in the Netherlands, the United States or any political subdivision or tax authority thereof solely in connection with (i) the execution, delivery and performance of this Agreement; or (ii) the issuance, sale and delivery of the Securities and Warrant Shares as contemplated herein and in the Pricing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(bb) The Company and its subsidiaries have paid all federal, state, local and foreign taxes and filed all tax returns required to be paid or filed through the date that this representation is made, except as may be being contested in good faith and by appropriate proceedings, or where the failure to pay or file such taxes or tax returns would not reasonably be expected to have a Material Adverse Effect; except as disclosed in each of the Registration Statement, the Pricing Prospectus and the Prospectus, there is no tax deficiency that has been, or would reasonably be expected to be, asserted against the Company or any of its subsidiaries or any of their respective properties or assets that has or would reasonably be expected to have a Material Adverse Effect, except for any tax deficiency being contested in good faith and for which appropriate reserves have been provided in accordance with IFRS; </w:t>
      </w:r>
    </w:p>
    <w:p>
      <w:pPr>
        <w:pStyle w:val="TextBody"/>
        <w:bidi w:val="0"/>
        <w:spacing w:before="120" w:after="0"/>
        <w:jc w:val="left"/>
        <w:rPr>
          <w:rFonts w:ascii="Times New Roman" w:hAnsi="Times New Roman"/>
          <w:sz w:val="20"/>
        </w:rPr>
      </w:pPr>
      <w:r>
        <w:rPr>
          <w:rFonts w:ascii="Times New Roman" w:hAnsi="Times New Roman"/>
          <w:sz w:val="20"/>
        </w:rPr>
        <w:t xml:space="preserve">(cc) No labor disturbance by or dispute with employees of the Company or any of its subsidiaries exists or, to the knowledge of the Company, is contemplated or threatened, and the Company is not aware of any existing or imminent labor disturbance by, or dispute with, the employees of any of its or its subsidiaries’ principal suppliers, contractors or customers, except as would not reasonably be expected to have a Material Adverse Effect; neither the Company nor any of its subsidiaries has received any written notice of cancellation or termination with respect to any collective bargaining agreement that is material to the Company to which it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(dd) The Company and its subsidiaries have insurance covering their respective properties, operations, personnel and businesses, including business interruption insurance, which insurance is in such amounts and insures against such losses and risks as are generally maintained by similarly situated companies and which the Company believes are adequate to protect the Company and its subsidiaries and their respective businesses; neither the Company nor any of its subsidiaries has (i) received written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comparable coverage from similar insurers as may be necessary to continue its business as now conducted at a cost that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(ee) The Company and its subsidiaries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Prospectus and the Prospectus, except where the failure to possess or make the same would not, individually or in the aggregate, reasonably be expected to have a Material Adverse Effect; except as described in each of the Registration Statement, the Pricing Prospectus and the Prospectus, neither the Company nor any of its subsidiaries has received written notice of any revocation or modification of any such license, sub-license, certificate, permit or authorization or has any reason to believe that any such license, sub-license, certificate, permit or authorization will not be renewed in the ordinary course, except where such revocation or modification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(ff) The Company and its subsidiaries maintain systems of “internal control over financial reporting” (as defined in Rule 13a-15(f) under the Exchange Act) that comply in all material respects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IFRS; the Company and its subsidiaries maintain internal accounting controls that are designed to be sufficient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Pricing Prospectus, there are no material weaknesses in the Company’s internal controls; the Company’s auditors and the Audit Committee of the board of directors of the Company have been advised of: (x)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(y) any fraud, whether or not material, that involves management or other employees who have a significant role in the Company’s internal controls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(gg) The Company maintains an effective system of “disclosure controls and procedures” (as defined in Rule 13a-15(e) under the Exchange Act) that complies in all material respects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its effectiveness of its disclosure controls and procedures to the extent required by Rule 13a-15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(hh) Except any such matter as would not, individually or in the aggregate, reasonably be expected to have a Material Adverse Effect, (i) the Company and its subsidiaries (1) are in compliance with all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(2) have received and are in compliance with all permits, licenses, certificates or other authorizations or approvals required of them under any Environmental Laws to conduct their respective businesses; and (3) have not received written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and (ii) there are no costs or liabilities associated with Environmental Laws of or relating to the Company or its subsidiaries; except as described in the Registration Statement, the Pricing Prospectus and the Prospectus, (x) there is no proceeding that is pending, or that is known to be contemplated, against the Company or any of its subsidiaries under any Environmental Laws in which a governmental entity is also a party, other than such proceeding regarding which it is reasonably believed no monetary sanctions of $100,000 or more will be imposed, (y) the Company and its subsidiaries are not aware of any facts or issues regarding compliance with Environmental Laws, or liabilities or other obligations under Environmental Laws or concerning hazardous or toxic substances or wastes, pollutants or contaminants, that would reasonably be expected to have a Material Adverse Effect, and (z) none of the Company or its subsidiaries anticipates material capital expenditures relating to any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(ii) Except as disclosed in the Registration Statement, the Pricing Prospectus and the Prospectus, neither the Company nor any of its ERISA Affiliates (as defined hereafter) has any liability (contingent or otherwise) under the Employee Retirement Income Security Act of 1974, as amended (“ERISA”) with respect to any “employee benefit plan”, as defined in Section 3(3) of ERISA; as used in this Agreement, an “ERISA Affiliate” of any person or entity shall mean any other person or entity which, together with that person or entity, could be treated as a single employer under Section 414(b), (c), (m) or (o) of the Internal Revenue Code of 1986 (the “Code”); each “employee benefit plan”, as defined in Section 3(3) of ERISA that is maintained for the benefit of the employees of the Company or its affiliates has been maintained in material compliance with its terms and the requirements of applicable law; the Registration Statement, the Pricing Prospectus and the Prospectus identify each employment, severance or other similar agreement, arrangement or policy and each material plan or arrangement required to be disclosed pursuant to the Act providing for insurance coverage (including any self-insured arrangements), workers’ compensation, disability benefits, severance benefits, supplemental unemployment benefits, vacation benefits or retirement benefits, or deferred compensation, profit-sharing, bonuses,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options, share appreciation rights or other forms of incentive compensation, or post-retirement insurance, compensation or benefits that is entered into, maintained or contributed to, as the case may be, by the Company or any of its affiliates for the benefit of any officer, executive director or non-executive director or former officer or director of the Company or any of its affiliates; these agreements, arrangements, policies or plans are referred to collectively as “Benefit Arrangements”; except as disclosed in the Registration Statement, the Pricing Prospectus and the Prospectus, each Benefit Arrangement has been maintained in material compliance with its terms and with the requirements of applicable law and there is no liability in respect of post-retirement health and medical benefits for retired employees of the Company or any of its affiliates, other than medical benefits required to be continued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(jj) There is and has been no failure on the part of the Company or any of the Company’s executive directors, non-executive directors or officers, in their capacities as such, to comply with any provision of the Sarbanes-Oxley Act of 2002, as amended and the rules and regulations promulgated in connection therewith applicable to the Company as of the date the Company became subject to such provisions, including Section 402 related to loans; </w:t>
      </w:r>
    </w:p>
    <w:p>
      <w:pPr>
        <w:pStyle w:val="TextBody"/>
        <w:bidi w:val="0"/>
        <w:spacing w:before="120" w:after="0"/>
        <w:jc w:val="left"/>
        <w:rPr>
          <w:rFonts w:ascii="Times New Roman" w:hAnsi="Times New Roman"/>
          <w:sz w:val="20"/>
        </w:rPr>
      </w:pPr>
      <w:r>
        <w:rPr>
          <w:rFonts w:ascii="Times New Roman" w:hAnsi="Times New Roman"/>
          <w:sz w:val="20"/>
        </w:rPr>
        <w:t xml:space="preserve">(kk) Neither the Company nor any of its subsidiaries nor any officer, executive director or non-executive director of the Company or its subsidiaries nor, to the knowledge of the Company, any employee of, any agent, affiliate or other person associated with or acting on behalf of, the Company or any of its subsidiaries has (i) made, offered, promised or authorized any unlawful contribution, gift, entertainment or other unlawful expense (or taken any act in furtherance thereof);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the rules and regulations thereunder, any applicable law or regulation implementing the OECD Convention on Combating Bribery of Foreign Public Officials in International Business Transactions or the Bribery Act 2010 of the United Kingdom or any other applicable anti-bribery, anti-corruption or related law, statute or regulation (collectively, “Anti-Corruption Laws”); or (iv) made, offered, promised, authorized, agreed, requested or taken an act in furtherance of any unlawful bribe or other unlawful benefit, including, without limitation, any rebate, payoff, influence payment, kickback or other direct or indirect unlawful or improper payment or benefit; the Company and its subsidiaries have conducted their businesses in compliance with all Anti-Corruption Laws and each have instituted and maintained, and will continue to maintain and enforce, policies and procedures reasonably designed to promote and ensure compliance with all Anti-Corruption Laws and with the representations and warranties contained in this paragraph; neither the Company nor any of its subsidiaries will use, directly or indirectly, the proceeds of the offering of Securities hereunder in furtherance of an offer, payment, promise to pay, or authorization of the payment or giving of money, or anything else of value, to any person in violation of Anti-Corruption Laws; </w:t>
      </w:r>
    </w:p>
    <w:p>
      <w:pPr>
        <w:pStyle w:val="TextBody"/>
        <w:bidi w:val="0"/>
        <w:spacing w:before="120" w:after="0"/>
        <w:jc w:val="left"/>
        <w:rPr>
          <w:rFonts w:ascii="Times New Roman" w:hAnsi="Times New Roman"/>
          <w:sz w:val="20"/>
        </w:rPr>
      </w:pPr>
      <w:r>
        <w:rPr>
          <w:rFonts w:ascii="Times New Roman" w:hAnsi="Times New Roman"/>
          <w:sz w:val="20"/>
        </w:rPr>
        <w:t xml:space="preserve">(ll) The operations of the Company and its subsidiaries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(mm) Neither the Company nor any of its subsidiaries nor any executive director, non-executive director or officer of the Company or its subsidiaries nor, to the knowledge of the Company, any employee of, or any agent, affiliate or other person associated with or acting on behalf of, the Company or any of its subsidiaries is (i)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“Sanctions”), (ii) located, organized or resident in a country or territory that is the subject or target of Sanctions, including, without limitation, the Crimea region of Ukraine, the so-called Donetsk People’s Republic, the so-called Luhansk People’s Republic, Cuba, Iran, North Korea and Syria (a “Sanctioned Country”); the Company will not directly or indirectly use the proceeds of the offering of the Securities hereunder, or lend, contribute or otherwise make available such proceeds to any subsidiary, joint venture partner or other person or entity (x) to fund or facilitate any activities of or business with any person that, at the time of such funding or facilitation, is the subject or target of Sanctions, (y) to fund or facilitate any activities of or business in any Sanctioned Country or (z) in any other manner that will result in a violation by any person (including any person participating in the transaction, whether as underwriter, advisor, investor or otherwise) of Sanctions; for the past five (5) years, the Company and its subsidiaries have not engaged in and are not now engaged in any dealings or transactions with or involving any person that is, or at the time of the dealing or transaction was, the subject or the target of Sanctions or with any Sanctioned Country; the Company and its subsidiaries have instituted, and maintain, policies and procedures designed to promote and achieve compliance with Sanctions; nothing in this paragraph shall impose any obligations and/or restrictions on the Company or any of its subsidiaries that will cause the Company or any of its subsidiaries to be, and will only apply if and to the extent that it does not cause the Company or any of its subsidiaries to be, in violation of EU Regulation (EC) 2271/96 (EU Blocking Statute) as amended from time to time, or any applicable implementing legislation, including but not limited to the German Foreign Trade Regulations (Außenwirtschaftsverordnung), or any similar anti-boycott law, statute or regulation; </w:t>
      </w:r>
    </w:p>
    <w:p>
      <w:pPr>
        <w:pStyle w:val="TextBody"/>
        <w:bidi w:val="0"/>
        <w:spacing w:before="120" w:after="0"/>
        <w:jc w:val="left"/>
        <w:rPr>
          <w:rFonts w:ascii="Times New Roman" w:hAnsi="Times New Roman"/>
          <w:sz w:val="20"/>
        </w:rPr>
      </w:pPr>
      <w:r>
        <w:rPr>
          <w:rFonts w:ascii="Times New Roman" w:hAnsi="Times New Roman"/>
          <w:sz w:val="20"/>
        </w:rPr>
        <w:t xml:space="preserve">(nn) Except as described in the Pricing Prospectus and the Prospectus, (i) the Company and its subsidiaries own or have a valid and enforceable right to use all patents, patent applications, trademarks, service marks, trade names, Internet domain name registrations (and all applications for, and all goodwill associated with, such trademarks, service marks, trade names and Internet domain name registrations), copyrights, copyright registrations, licenses and trade secret rights, in each case, in any jurisdiction throughout the world (collectively, “Intellectual Property Rights”) and inventions, know-how, software, databases, systems, procedures, and other intellectual property (including trade secrets and proprietary or confidential information) (collectively, “Intellectual Property Assets”) used or held for use in any material respect, or otherwise necessary for, the conduct of their respective businesses as currently conducted and as proposed to be conducted as described in the Pricing Prospectus and the Prospectus; (ii) the Company’s and its subsidiaries’ conduct of their respective businesses does not infringe, misappropriate or otherwise violate, and has not infringed, misappropriated or otherwise violated, any Intellectual Property Rights or Intellectual Property Assets of any third party in any material respect (it being understood that the foregoing representation in this clause (ii) is made to the Company’s knowledge with respect to patents); (iii) the Company and its subsidiaries have not received notice of any pending or threatened action, suit, or proceeding by any third party that would reasonably be expected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a Material Adverse Effect on the Company’s or any of its subsidiaries’ respective businesses as presently conducted and as proposed to be conducted as described in the Pricing Prospectus and the Prospectus, challenging the Company’s or any of its subsidiaries’ rights in or to any of the Intellectual Property Rights or Intellectual Property Assets owned by or licensed to the Company or any of its subsidiaries, challenging the validity, enforceability or scope of any of the Intellectual Property Rights owned by or licensed to the Company or any of its subsidiaries, or alleging that the Company or any of its subsidiaries has infringed, misappropriated or otherwise violated any Intellectual Property Rights or Intellectual Property Assets of any third party; (iv) to the knowledge of the Company, neither the Intellectual Property Rights nor the Intellectual Property Assets of the Company and its subsidiaries and neither the Intellectual Property Rights nor the Intellectual Property Assets exclusively licensed to the Company and its subsidiaries are being materially infringed, misappropriated or otherwise violated by any third party; (v) other than as would not reasonably be expected to have a Material Adverse Effect, all Intellectual Property Rights and Intellectual Property Assets owned by the Company or any of its subsidiaries are solely and exclusively owned by the Company or such subsidiaries and all other Intellectual Property Rights and Intellectual Property Assets used or held for use by the Company or any of its subsidiaries are licensed to the Company or such subsidiaries, and the Company and its subsidiaries hold all of such ownership and license rights, in each case, free and clear of all liens, encumbrances, defects or other restrictions; (vi) other than as would not reasonably be expected to have a Material Adverse Effect, the Company and its subsidiaries are not aware of any facts that could result in a finding that any of the Intellectual Property Rights owned by or licensed to the Company are invalid or unenforceable; (vii) other than as would not reasonably be expected to have a Material Adverse Effect, the Company and its subsidiaries have taken reasonable steps in accordance with customary industry practice to maintain and protect any confidential information and trade secrets of the Company and its subsidiaries and to protect any confidential information provided to them by any third party; (viii) other than as would not reasonably be expected to have a Material Adverse Effect, the Company and its subsidiaries have taken commercially reasonable actions to maintain and to protect all patents and trademark and copyright and Internet domain name registrations (including all applications therefor) owned by the Company or any of its subsidiaries, including payment of applicable maintenance fees, filing of applicable statements of use, timely response office actions, and disclosure of any required information; (ix) other than as would not reasonably be expected to have a Material Adverse Effect, all personnel (including founders, current and former employees, consultants, contractors, representatives, and agents) involved in the development of Intellectual Property Rights or Intellectual Property Assets for or on behalf of the Company or any of its subsidiaries have signed written and enforceable confidentiality and invention assignment agreements with the Company or any of its subsidiaries pursuant to which the Company or any of its subsidiaries either (A) has obtained sole and exclusive ownership of such Intellectual Property Rights or Intellectual Property Assets, or (B) has obtained a valid right to exploit such Intellectual Property Rights or Intellectual Property Assets, sufficient for the conduct of the business as currently conducted and as proposed to be conducted as described in the Pricing Prospectus and the Prospectus; (x) to the Company’s knowledge, the Company and its subsidiaries have complied with the terms of each agreement pursuant to which Intellectual Property Rights or Intellectual Property Assets have been licensed to the Company and its subsidiaries; and (xi) the parties prosecuting such applications have complied with their duty of candor and disclosure to the United States Patent and Trademark Office (“USPTO”)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(oo) Except as described in the Registration Statement, the Pricing Prospectus and the Prospectus, the Company (collectively with its subsidiaries): (i) has operated and currently operates its business in compliance in all material respects with applicable provisions of the Health Care Laws (as defined below) of the Food and Drug Administration (“FDA”), the Department of Health and Human Services and any comparable foreign or other regulatory authority to which they are subject (collectively, the “Applicable Regulatory Authorities”) applicable to the ownership, testing, development, manufacture, packaging, processing, use, distribution, storage, import, export or disposal of any of the Company’s or its subsidiaries’ product candidates or any product manufactured or distributed by the Company; (ii) has not received any FDA Form 483, written notice of adverse finding, warning letter, untitled letter or other correspondence or written notice from any court or arbitrator or governmental or regulatory authority alleging or asserting non-compliance with (A) any Health Care Laws or (B) any licenses, certificates, approvals, clearances, exemptions, authorizations, permits and supplements or amendments thereto required by any such Health Care Laws (“Regulatory Authorizations”); (iii) possesses all Regulatory Authorizations required to conduct its business as currently conducted, except where the failure to possess the same would not, individually or in the aggregate, have a Material Adverse Effect, and such Regulatory Authorizations are valid and in full force and effect and the Company is not in violation, in any material respect, of any term of any such Regulatory Authorizations; (iv) has not received written notice of any claim, action, suit, proceeding, hearing, enforcement, investigation, arbitration or other action from the Applicable Regulatory Authorities or any other third party alleging that any product of the Company is in material violation of any Health Care Laws or Regulatory Authorizations and has no knowledge that the Applicable Regulatory Authorities or any other third party is considering any such claim, litigation, arbitration, action, suit, investigation or proceeding; (v) has not received written notice that any of the Applicable Regulatory Authorities has taken, is taking or intends to take action to limit, suspend, modify or revoke any material Regulatory Authorizations and has no knowledge that any of the Applicable Regulatory Authorities is considering such action; (vi) has filed, obtained, maintained or submitted all material reports, documents, forms, notices, applications, records, claims, submissions and supplements or amendments as required by any Health Care Laws or Regulatory Authorizations and that all such reports, documents, forms, notices, applications, records, claims, submissions and supplements or amendments were materially complete and correct on the date filed (or were materially corrected or supplemented by a subsequent submission); (vii) is not a party to and does not have any ongoing reporting obligations pursuant to any corporate integrity agreements, deferred prosecution agreements, monitoring agreements, consent decrees, settlement orders, plans of correction or similar agreements with or imposed by any Applicable Regulatory Authority; and (viii) along with its employees, officers, executive directors and non-executive directors, has not been excluded, suspended or debarred from participation in any government health care program or human clinical research and, to the knowledge of the Company, is not subject to a governmental inquiry, investigation, proceeding, or other similar action that would reasonably be expected to result in debarment, suspension, or exclusion; as used in this Agreement, the term “Health Care Laws” shall mean Title XVIII of the Social Security Act, 42 U.S.C. §§ 1395-1395hhh (the Medicare statute); Title XIX of the Social Security Act, 42 U.S.C. §§ 1396-1396v (the Medicaid statute); the Federal Anti-Kickback Statute, 42 U.S.C. § 1320a-7b(b); the civil False Claims Act, 31 U.S.C. §§ 3729 et seq.; the criminal False Claims Act, 42 U.S.C. 1320a-7b(a); any criminal laws relating to health care fraud and abuse, including but not limited to 18 U.S.C. Sections 286 and 287; the Civil Monetary Penalties Law, 42 U.S.C. §§ 1320a-7a and 1320a-7b; the Physician Payments Sunshine Act, 42 U.S.C. § 1320a-7h; the Exclusion Statute, 42 U.S.C. § 1320a-7; the Federal Food, Drug, and Cosmetic Act, 21 U.S.C. §§ 301 et seq.; the Public Health Service Act, 42 U.S.C. §§ 201 et seq.; the regulations promulgated pursuant to such laws; and any similar federal, state and local laws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(pp) Except as described in the Registration Statement, the Pricing Prospectus and the Prospectus, the pre-clinical studies and clinical trials conducted by or, to the knowledge of the Company, on behalf of or sponsored by the Company, or in which the Company has participated that are described in the Registration Statement, the Pricing Prospectus or the Prospectus or the results of which are referred to in the Registration Statement, the Pricing Prospectus or the Prospectus, as applicable, were, and if still pending are, being conducted in all material respects in accordance with standard medical and scientific research standards and procedures for products or product candidates comparable to those being developed by the Company and all applicable statutes and all applicable rules and regulations of the Applicable Regulatory Authorities and current Good Clinical Practices and Good Laboratory Practices; the descriptions in the Registration Statement, the Pricing Prospectus and the Prospectus of the results of such studies and trials are, to the knowledge of the Company, accurate and complete in all material respects and fairly present the data derived therefrom; the Company has no knowledge of any other studies or trials not described in the Registration Statement, the Pricing Prospectus and the Prospectus the results of which are inconsistent with or which the Company reasonably believes call into question the results described or referred to in the Registration Statement, the Pricing Prospectus and the Prospectus; the Company has not received any written notices or correspondence from the Applicable Regulatory Authorities or any other governmental agency requiring or threatening the termination, modification or suspension of any pre-clinical studies or clinical trials that are described in the Registration Statement, the Pricing Prospectus and the Prospectus or the results of which are referred to in the Registration Statement, the Pricing Prospectus or the Prospectus other than ordinary course communications with respect to modifications in connection with the design and implementation of such studies or trials, and, to the Company’s knowledge, there are no reasonable grounds for the same; </w:t>
      </w:r>
    </w:p>
    <w:p>
      <w:pPr>
        <w:pStyle w:val="TextBody"/>
        <w:bidi w:val="0"/>
        <w:spacing w:before="120" w:after="0"/>
        <w:jc w:val="left"/>
        <w:rPr>
          <w:rFonts w:ascii="Times New Roman" w:hAnsi="Times New Roman"/>
          <w:sz w:val="20"/>
        </w:rPr>
      </w:pPr>
      <w:r>
        <w:rPr>
          <w:rFonts w:ascii="Times New Roman" w:hAnsi="Times New Roman"/>
          <w:sz w:val="20"/>
        </w:rPr>
        <w:t xml:space="preserve">(qq) The Company is not required to register as a “broker” or “dealer” in accordance with the provisions of the Exchange Act and does not, directly or indirectly through one or more intermediaries, control or have any other association with (within the meaning of Article I of the By-laws of FINRA) any member firm of FINRA; no relationship, direct or indirect, exists between or among the Company, on the one hand, and the executive directors, non-executive directors, officers or shareholders of the Company, on the other hand, which is required by the rules of FINRA to be described in the Registration Statement, the Pricing Prospectus and the Prospectus, which is not so described; </w:t>
      </w:r>
    </w:p>
    <w:p>
      <w:pPr>
        <w:pStyle w:val="TextBody"/>
        <w:bidi w:val="0"/>
        <w:spacing w:before="120" w:after="0"/>
        <w:jc w:val="left"/>
        <w:rPr>
          <w:rFonts w:ascii="Times New Roman" w:hAnsi="Times New Roman"/>
          <w:sz w:val="20"/>
        </w:rPr>
      </w:pPr>
      <w:r>
        <w:rPr>
          <w:rFonts w:ascii="Times New Roman" w:hAnsi="Times New Roman"/>
          <w:sz w:val="20"/>
        </w:rPr>
        <w:t xml:space="preserve">(rr) Neither the sale and delivery of the Securities and Warrant Shares nor the application of the proceeds thereof by the Company as described in the Pricing Prospectus and Prospectus will violate Regulation T, U or X of the Board of Governors of the Federal Reserve System or any other regulation of such Board of Governors; </w:t>
      </w:r>
    </w:p>
    <w:p>
      <w:pPr>
        <w:pStyle w:val="TextBody"/>
        <w:bidi w:val="0"/>
        <w:spacing w:before="120" w:after="0"/>
        <w:jc w:val="left"/>
        <w:rPr>
          <w:rFonts w:ascii="Times New Roman" w:hAnsi="Times New Roman"/>
          <w:sz w:val="20"/>
        </w:rPr>
      </w:pPr>
      <w:r>
        <w:rPr>
          <w:rFonts w:ascii="Times New Roman" w:hAnsi="Times New Roman"/>
          <w:sz w:val="20"/>
        </w:rPr>
        <w:t xml:space="preserve">(ss) The board of directors of the Company has determined in good faith that each member of its Audit Committee satisfies the Nasdaq and Commission independence standards applicable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(tt) Neither the Company nor, to the Company’s knowledge, any of its affiliates (within the meaning of Rule 144 under the Act) has, prior to the date hereof, made any offer or sale of any securities which could be “integrated” (within the meaning of the Act) with the offer and sale of the Securities hereunder; </w:t>
      </w:r>
    </w:p>
    <w:p>
      <w:pPr>
        <w:pStyle w:val="TextBody"/>
        <w:bidi w:val="0"/>
        <w:spacing w:before="120" w:after="0"/>
        <w:jc w:val="left"/>
        <w:rPr>
          <w:rFonts w:ascii="Times New Roman" w:hAnsi="Times New Roman"/>
          <w:sz w:val="20"/>
        </w:rPr>
      </w:pPr>
      <w:r>
        <w:rPr>
          <w:rFonts w:ascii="Times New Roman" w:hAnsi="Times New Roman"/>
          <w:sz w:val="20"/>
        </w:rPr>
        <w:t xml:space="preserve">(uu) No forward-looking statement (within the meaning of Section 27A of the Act and Section 21E of the Exchange Act) included or incorporated by reference in any of the Registration Statement, the Pricing Prospectus or the Prospectus has been made or reaffirmed without a reasonable basis or has been disclosed other than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(vv) Nothing has come to the attention of the Company that has caused the Company to believe that the statistical and market-related data included in each of the Registration Statement, the Pricing Prospectus and the Prospectus is not based on or derived from sources that are reliable and accurate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(ww) Except as described in the Pricing Prospectus and the Prospectus, the information technology assets and equipment, computers, systems, networks, hardware, software, websites, applications and databases owned by, or leased or licensed to, the Company or any of its subsidiaries (collectively, “IT Systems”), to the knowledge of the Company, are adequate for, and operate and perform in all material respects as required in connection with, the operation of the business of the Company and its subsidiaries as currently conducted, and to the Company’s knowledge are free and clear of all material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of their respective customers, employees, suppliers, vendors and any third-party data maintained by or on behalf of them (“Personal Data”)) used in connection with their businesses; to the knowledge of the Company, there have been no material breaches, violations, outages, unauthorized uses of, accesses to or other compromise of or relating to any of the Company’s or any of its subsidiaries’ Personal Data or IT Systems, except for those that have been remedied without material cost or liability or the duty to notify any third party; there are no material incidents under internal review or investigations relating to any security breach or other compromise of the Company’s or any of its subsidiaries’ Personal Data or IT Systems and the Company and its subsidiaries have not been notified of, and have no knowledge of any event or condition that would reasonably be expected to result in, any security breach or other compromise to their IT Systems or Personal Data; the Company and its subsidiaries have implemented commercially reasonable backup and disaster recovery technology consistent with industry standards and practices; and the Company and its subsidiaries are presently in material compliance with all applicable laws or statutes and all judgments, orders, rules and regulations of any court or arbitrator or governmental or regulatory authority and internal policies, procedures and contractual obligations relating to the security of IT Systems and the privacy, collection, use, transfer, storage, protection, disposal or disclosure of Personal Data and to the protection of such IT Systems and Personal Data from unauthorized use, access, misappropriation or modification; </w:t>
      </w:r>
    </w:p>
    <w:p>
      <w:pPr>
        <w:pStyle w:val="TextBody"/>
        <w:bidi w:val="0"/>
        <w:spacing w:before="120" w:after="0"/>
        <w:jc w:val="left"/>
        <w:rPr>
          <w:rFonts w:ascii="Times New Roman" w:hAnsi="Times New Roman"/>
          <w:sz w:val="20"/>
        </w:rPr>
      </w:pPr>
      <w:r>
        <w:rPr>
          <w:rFonts w:ascii="Times New Roman" w:hAnsi="Times New Roman"/>
          <w:sz w:val="20"/>
        </w:rPr>
        <w:t xml:space="preserve">(xx) There are no debt securities, convertible securities or preferred shares issued or guaranteed by the Company or any of its subsidiaries that are rated by a “nationally recognized statistical rating organization”, as such term is defined in Section 3(a)(62) under the Exchange Act (a “Rating Organization”); </w:t>
      </w:r>
    </w:p>
    <w:p>
      <w:pPr>
        <w:pStyle w:val="TextBody"/>
        <w:bidi w:val="0"/>
        <w:spacing w:before="120" w:after="0"/>
        <w:jc w:val="left"/>
        <w:rPr>
          <w:rFonts w:ascii="Times New Roman" w:hAnsi="Times New Roman"/>
          <w:sz w:val="20"/>
        </w:rPr>
      </w:pPr>
      <w:r>
        <w:rPr>
          <w:rFonts w:ascii="Times New Roman" w:hAnsi="Times New Roman"/>
          <w:sz w:val="20"/>
        </w:rPr>
        <w:t xml:space="preserve">(yy) Neither the Company nor any of its subsidiaries or their respective properties or assets has immunity under Dutch, German, U.S. federal or New York state law from any legal action, suit or proceeding, from the giving of any relief in any such legal action, suit or proceeding, from set-off or counterclaim, from the jurisdiction of any Dutch, German, U.S. federal or New York state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their respective obligations, liabilities or any other matter under or arising out of or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herewith; and, to the extent that the Company or any of its subsidiaries or any of their respective properties, assets or revenues may have or may hereafter become entitled to any such right of immunity in any such court in which proceedings arising out of, or relating to the transactions contemplated by this Agreement, may at any time be commenced, the Company has, pursuant to Section 18 of this Agreement, waived, and it will waive, or will cause its subsidiaries to waive, such right to the extent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(zz) Any final judgment for a fixed or determined sum of money rendered by any U.S. federal or New York state court located in the State of New York having jurisdiction under its own laws in respect of any suit, action or proceeding against the Company based upon this Agreement would generally be declared enforceable against the Company by the courts of the Netherlands, without reconsideration or reexamination of the merits; </w:t>
      </w:r>
    </w:p>
    <w:p>
      <w:pPr>
        <w:pStyle w:val="TextBody"/>
        <w:bidi w:val="0"/>
        <w:spacing w:before="120" w:after="0"/>
        <w:jc w:val="left"/>
        <w:rPr>
          <w:rFonts w:ascii="Times New Roman" w:hAnsi="Times New Roman"/>
          <w:sz w:val="20"/>
        </w:rPr>
      </w:pPr>
      <w:r>
        <w:rPr>
          <w:rFonts w:ascii="Times New Roman" w:hAnsi="Times New Roman"/>
          <w:sz w:val="20"/>
        </w:rPr>
        <w:t xml:space="preserve">(aaa) The choice of laws of the State of New York as the governing law of this Agreement is a valid choice of law under the laws of the Netherlands and subject to the provisions of Regulation (EC) No 593/2008 of the European Parliament and of the Council of 17 June 2008 relating to the law applicable to contractual obligations (Rome I), will be given effect to by the courts of the Netherlands, subject to the restrictions described under the caption “Enforcement of Judgments” in the Registration Statement, the Pricing Prospectus and the Prospectus; the Company has the power to submit, and pursuant to Section 18 of this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 </w:t>
      </w:r>
    </w:p>
    <w:p>
      <w:pPr>
        <w:pStyle w:val="TextBody"/>
        <w:bidi w:val="0"/>
        <w:spacing w:before="120" w:after="0"/>
        <w:jc w:val="left"/>
        <w:rPr>
          <w:rFonts w:ascii="Times New Roman" w:hAnsi="Times New Roman"/>
          <w:sz w:val="20"/>
        </w:rPr>
      </w:pPr>
      <w:r>
        <w:rPr>
          <w:rFonts w:ascii="Times New Roman" w:hAnsi="Times New Roman"/>
          <w:sz w:val="20"/>
        </w:rPr>
        <w:t xml:space="preserve">(bbb) The indemnification and contribution provisions set forth in Sections 9 and 22 hereof do not contravene Dutch law or public policy; </w:t>
      </w:r>
    </w:p>
    <w:p>
      <w:pPr>
        <w:pStyle w:val="TextBody"/>
        <w:bidi w:val="0"/>
        <w:spacing w:before="120" w:after="0"/>
        <w:jc w:val="left"/>
        <w:rPr>
          <w:rFonts w:ascii="Times New Roman" w:hAnsi="Times New Roman"/>
          <w:sz w:val="20"/>
        </w:rPr>
      </w:pPr>
      <w:r>
        <w:rPr>
          <w:rFonts w:ascii="Times New Roman" w:hAnsi="Times New Roman"/>
          <w:sz w:val="20"/>
        </w:rPr>
        <w:t xml:space="preserve">(ccc) Subject to the qualifications and assumptions described in the Registration Statement and the Prospectus, the Company believes that it was not a “passive foreign investment company” (“PFIC”) as defined in Section 1297 of the Code for its most recently completed taxable year and the Company does not expect to be a PFIC for the current tax year; </w:t>
      </w:r>
    </w:p>
    <w:p>
      <w:pPr>
        <w:pStyle w:val="TextBody"/>
        <w:bidi w:val="0"/>
        <w:spacing w:before="120" w:after="0"/>
        <w:jc w:val="left"/>
        <w:rPr>
          <w:rFonts w:ascii="Times New Roman" w:hAnsi="Times New Roman"/>
          <w:sz w:val="20"/>
        </w:rPr>
      </w:pPr>
      <w:r>
        <w:rPr>
          <w:rFonts w:ascii="Times New Roman" w:hAnsi="Times New Roman"/>
          <w:sz w:val="20"/>
        </w:rPr>
        <w:t xml:space="preserve">(ddd) The legality, validity, enforceability or admissibility into evidence of any of the Registration Statement, the Pricing Disclosure Package, the Prospectus, this Agreement or the Securities or Warrant Shares in any jurisdiction in which the Company is organized or does business is not dependent upon such document being submitted into, filed or recorded with any court or other authority in any such jurisdiction (other than court filings in the ordinary course of proceedings) on or before the date that this representation is made or that any tax, imposition or charge (other than court fees or similar documentary tax payable in the ordinary course of proceedings) be paid in any such jurisdiction on or in respect of any such document; </w:t>
      </w:r>
    </w:p>
    <w:p>
      <w:pPr>
        <w:pStyle w:val="TextBody"/>
        <w:bidi w:val="0"/>
        <w:spacing w:before="120" w:after="0"/>
        <w:jc w:val="left"/>
        <w:rPr>
          <w:rFonts w:ascii="Times New Roman" w:hAnsi="Times New Roman"/>
          <w:sz w:val="20"/>
        </w:rPr>
      </w:pPr>
      <w:r>
        <w:rPr>
          <w:rFonts w:ascii="Times New Roman" w:hAnsi="Times New Roman"/>
          <w:sz w:val="20"/>
        </w:rPr>
        <w:t>(eee) A holder of the Securities or Warrant Shares and each Underwriter are each entitled to sue as plaintiff in the court of the jurisdiction of formation and domicile of the Company for the enforcement of its respective rights under this Agreement and the Securities or Warrant Shares and such access to such courts will not be subject to any conditions which are not applicable to residents of such jurisdiction or a company incorporated in such jurisdiction except that plaintiffs not residing in the Netherlands may be required to guarantee payment of a possible order for payment of costs or damages at the request of the defendant; provided, however, that the enforcement in the Netherlands of foreign judgements and arbitral awards is subject to the provisions of the Netherlands Code of Civil Procedure (</w:t>
      </w:r>
      <w:r>
        <w:rPr>
          <w:rFonts w:ascii="Times New Roman" w:hAnsi="Times New Roman"/>
          <w:i/>
          <w:sz w:val="20"/>
        </w:rPr>
        <w:t>Wetboek van Burgerlijke Rechtsvordering</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(fff) The Company is a “foreign private issuer” as defined in Rule 405 under the Act. </w:t>
      </w:r>
    </w:p>
    <w:p>
      <w:pPr>
        <w:pStyle w:val="TextBody"/>
        <w:bidi w:val="0"/>
        <w:spacing w:before="240" w:after="0"/>
        <w:jc w:val="left"/>
        <w:rPr>
          <w:rFonts w:ascii="Times New Roman" w:hAnsi="Times New Roman"/>
          <w:sz w:val="20"/>
        </w:rPr>
      </w:pPr>
      <w:r>
        <w:rPr>
          <w:rFonts w:ascii="Times New Roman" w:hAnsi="Times New Roman"/>
          <w:sz w:val="20"/>
        </w:rPr>
        <w:t xml:space="preserve">2. Subject to the terms and conditions herein set forth, (a) the Company agrees to issue and sell to each of the Underwriters, and each of the Underwriters agrees, severally and not jointly, to purchase from the Company, at a purchase price per Share of $8.1686 and a purchase price per Pre-Funded Warrant of $8.1676, the number of Firm Shares and Pre-Funded Warrants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grants to the Underwriters the right to purchase at their election up to 2,589,184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two or later than ten business days after the date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3. Upon the authorization by you of the release of the Securities, the several Underwriters propose to offer the Securities for sale upon the terms and conditions set forth in the Pricing Prospectus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4. (a) The Firm Shares to be purchased by each Underwriter hereunder, in definitive or book-entry form, and in such authorized denominations and registered in such names as the Representatives may request upon at least 24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24 hours in advance. The Company shall deliver the Pre-Funded Warrants to the purchasers thereof. The time and date of such delivery and payment for the Firm Shares and Pre-Funded Warrants shall be 9:30 a.m., New York City time, on August 26, 2026 or such other time and date as the Representatives and the Company may agree upon in writing, and, with respect to the Optional Shares, 9:30 a.m., New York City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and Pre-Funded Warrants is herein called the “First Time of Delivery,” such time and date for delivery of the Optional Shares, if not the First Time of Delivery, is herein called the “Second Time of Delivery,” and each such time and date for delivery is herein called a “Time of Delivery.” Any payment by or on behalf of any Underwriter of a purchase price for any Securities pursuant to this Agreement shall,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Dutch law purposes, be deemed to be, and applied as, a payment on such Securities. Notwithstanding anything to the contrary herein, in no event shall the purchase price of any Securities pursuant to this Agreement be less than the nominal value of such Security. Notwithstanding the foregoing in this Section 4, the Company and the Representatives shall instruct the purchasers of the Pre-Funded Warrants to make payment for the Pre-Funded Warrants at the Time of Delivery to the Company by wire transfer in immediately available funds to the account specified by the Company at a purchase price of $8.6890 per Pre-Funded Warrant, in lieu of payment by the Representatives for such Pre-Funded Warrants, and the Company shall deliver such Pre-Funded Warrants to such purchasers at the Time of Delivery in definitive form against such payment, in lieu of the Company’s obligation to deliver such Pre-Funded Warrants to the Representatives; provided that the Representatives shall withhold $0.5214 per Pre-Funded Warrant with respect to such Pre-Funded Warrants as an offset against the payment owed by the Representatives to the Company with respect to the Firm Shares hereunder. </w:t>
      </w:r>
    </w:p>
    <w:p>
      <w:pPr>
        <w:pStyle w:val="TextBody"/>
        <w:bidi w:val="0"/>
        <w:spacing w:before="120" w:after="0"/>
        <w:jc w:val="left"/>
        <w:rPr>
          <w:rFonts w:ascii="Times New Roman" w:hAnsi="Times New Roman"/>
          <w:sz w:val="20"/>
        </w:rPr>
      </w:pPr>
      <w:r>
        <w:rPr>
          <w:rFonts w:ascii="Times New Roman" w:hAnsi="Times New Roman"/>
          <w:sz w:val="20"/>
        </w:rPr>
        <w:t xml:space="preserve">(b) The documents to be delivered at each Time of Delivery by or on behalf of the parties hereto pursuant to Section 8 hereof, including the cross receipt for the Shares and any additional documents requested by the Underwriters pursuant to Section 8(k) hereof, will be delivered at the offices of Covington &amp; Burling LLP, 30 Hudson Yards, New York, NY10001 (the “Closing Location”), and the Securities will be delivered at the office of DTC or its designated custodian, all at such Time of Delivery. A meeting will be held at the Closing Location on the Business Day next preceding such Time of Delivery, at which meeting the final drafts of the documents to be delivered pursuant to the preceding sentence will be available for review by the parties hereto. “Business Day” shall mean each Monday, Tuesday, Wednesday, Thursday and Friday which is not a day on which banking institutions in New York are generally authorized or obligated by law or executive order to close. </w:t>
      </w:r>
    </w:p>
    <w:p>
      <w:pPr>
        <w:pStyle w:val="TextBody"/>
        <w:bidi w:val="0"/>
        <w:spacing w:before="240" w:after="0"/>
        <w:jc w:val="left"/>
        <w:rPr>
          <w:rFonts w:ascii="Times New Roman" w:hAnsi="Times New Roman"/>
          <w:sz w:val="20"/>
        </w:rPr>
      </w:pPr>
      <w:r>
        <w:rPr>
          <w:rFonts w:ascii="Times New Roman" w:hAnsi="Times New Roman"/>
          <w:sz w:val="20"/>
        </w:rPr>
        <w:t xml:space="preserve">5. The Company agrees with each of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(a) To prepare the Prospectus in a form approved by you and to file such Prospectus pursuant to Rule 424(b) under the Act not later than the Commission’s close of business on the first Business Day following the date of this Agreement or such earlier time as may be required under the Act; to make no further amendment or any supplement to the Registration Statement, the Basic Prospectus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within the time required by such Rule;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Securities; to advise you, promptly after it receives notice thereof, of the issuance by the Commission of any stop order or of any order preventing or suspending the use of any Preliminary Prospectus or other prospectus in respect of the Securities or Warrant Shares, of any notice of objection of the Commission to the use of the Registration Statement or any post-effective amendment thereto pursuant to Rule 401(g)(2) under the Act, of the suspension of the qualification of the Securities or Warrant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qualification, to promptly use its best efforts to obtain the withdrawal of such order; and in the event of any such issuance of a notice of objection, promptly to take such steps including, without limitation, amending the Registration Statement or filing a new registration statement, at its own expense, as may be necessary to permit offers and sales of the Securities by the Underwriters (references herein to the Registration Statement shall include any such amendment or new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(b) To use its commercially reasonable efforts, in cooperation with the Representatives, to qualify the Securities and Warrant Shares for offering and sale, or to obtain an exemption for the Securities and Warrant Shares to be offered and sold, under the applicable securities laws of such states and other jurisdictions (domestic or foreign) as the Representatives may designate and to maintain such qualifications and exemptions in effect for so long as required for the distribution of the Securities (but in no event for less than one year from the date of this Agreement);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Securities have been so qualified or exempt, the Company will file such statements and reports as may be required by the laws of such jurisdiction to continue such qualification or exemption, as the case may be, in effect for so long as required for the distribution of the Securities (but in no event for less than one year from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If, immediately prior to the third anniversary of the initial effective date of the Registration Statement (the “Renewal Date”), any of the Securities remain unsold by the Underwriters, the Company will, prior to the Renewal Date, file a new shelf registration statement or, if applicable, an automatic shelf registration statement relating to the Securities and Warrant Shares, in a form satisfactory to the Representatives and their counsel, and, if such registration statement is not an automatic shelf registration statement, will use its best efforts to cause such registration statement to be declared effective within 180 days after the Renewal Date; the Company will take all other reasonable actions necessary or appropriate to permit the offer and sale of the Securities to continue as contemplated in the expired registration statement and this Agreement; from and after the effective date thereof, references herein to the “Registration Statement” shall include such new shelf registration statement or such new automatic shelf registration statement,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(d) Prior to the Commission’s close of business on the first Business Day following the date of this Agreement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Securities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you and upon your request to file such document and to prepare and furnish without charge to each Underwriter and to any dealer in securities as many written and electronic copies as you may from time to time reasonably request of an amended Prospectus or a supplement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Prospectus which will correct such statement or omission or effect such compliance; and in case any Underwriter is required to deliver a prospectus (or in lieu thereof, the notice referred to in Rule 173(a) under the Act) in connection with sales of any of the Securities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 provided, however, that the Company shall not be required to furnish any document (other than such Prospectus) to the extent such document is available on the Commission’s Electronic Data Gathering Analysis and Retrieval System; </w:t>
      </w:r>
    </w:p>
    <w:p>
      <w:pPr>
        <w:pStyle w:val="TextBody"/>
        <w:bidi w:val="0"/>
        <w:spacing w:before="120" w:after="0"/>
        <w:jc w:val="left"/>
        <w:rPr>
          <w:rFonts w:ascii="Times New Roman" w:hAnsi="Times New Roman"/>
          <w:sz w:val="20"/>
        </w:rPr>
      </w:pPr>
      <w:r>
        <w:rPr>
          <w:rFonts w:ascii="Times New Roman" w:hAnsi="Times New Roman"/>
          <w:sz w:val="20"/>
        </w:rPr>
        <w:t xml:space="preserve">(e) To make generally available to its security holders as soon as practicable,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 </w:t>
      </w:r>
    </w:p>
    <w:p>
      <w:pPr>
        <w:pStyle w:val="TextBody"/>
        <w:bidi w:val="0"/>
        <w:spacing w:before="120" w:after="0"/>
        <w:jc w:val="left"/>
        <w:rPr>
          <w:rFonts w:ascii="Times New Roman" w:hAnsi="Times New Roman"/>
          <w:sz w:val="20"/>
        </w:rPr>
      </w:pPr>
      <w:r>
        <w:rPr>
          <w:rFonts w:ascii="Times New Roman" w:hAnsi="Times New Roman"/>
          <w:sz w:val="20"/>
        </w:rPr>
        <w:t xml:space="preserve">(f) During the period beginning from the date hereof and continuing to and including the date 60 days after the date of the Prospectus (the “Lock-up Period”), not to (i) offer, sell, contract to sell, pledge, grant any option to purchase, make any short sale or otherwise transfer or dispose of, directly or indirectly, or file with the Commission a registration statement under the Act relating to, any securities of the Company that are substantially similar to the Shares or Pre-Funded Warrants, including but not limited to any options or warrants to purchase Ordinary Shares or any securities that are convertible into or exchangeable for, or that represent the right to receive, Ordinary Shares or any such substantially similar securities, or publicly disclose the intention to make any offer, sale, pledge, disposition or filing or (ii) enter into any swap or other agreement that transfers, in whole or in part, any of the economic consequences of ownership of Ordinary Shares or any such other securities, whether any such transaction described in clause (i) or (ii) above is to be settled by delivery of Ordinary Shares or such other securities, in cash or otherwise (other than the Securities to be sold hereunder or pursuant to employee stock option plans existing on, or upon the conversion or exchange of convertible or exchangeable securities outstanding as of, the date of this Agreement), without your prior written consent; provided, however, that such restrictions will not be required in connection with (t) issuance of the Securities being offered in this offering and the issuance of Warrant Shares; (u) issuances of Ordinary Shares upon the exercise of an option or warrant or the conversion of or exchange for a security outstanding as of the date hereof and described in the Prospectus; (v) issuances to a third party or a group of third parties of Ordinary Shares or securities convertible into or exercisable or exchangeable for Ordinary Shares in connection with a merger, acquisition or other strategic or commercial relationship and the filing of a single registration statement, prospectus or prospectus supplement for the registration of the resale of such Ordinary Shares, provided that the aggregate number of Ordinary Shares issued or issuable under this clause (v) shall not exceed 5% of the total number of Ordinary Shares issued and outstanding immediately following the First Time of Delivery; (w) issuances, grants and settlements of Ordinary Shares or options to purchase Ordinary Shares or other securities granted pursuant to employee benefit plans existing as of the date hereof and described in the Prospectus; (x) the filing of any registration statement on Form S-8 in respect of any employee benefit plan in effect on the date hereof and described in the Prospectus; and (y) facilitating the establishment of a trading plan pursuant to Rule 10b5-1 under the Exchange Act, provided that such plan does not provide for the transfer of Ordinary Shares during the Lock-up Period and no public announcement or filing under the Exchange Act is required or voluntarily made in connection with such plan; </w:t>
      </w:r>
    </w:p>
    <w:p>
      <w:pPr>
        <w:pStyle w:val="TextBody"/>
        <w:bidi w:val="0"/>
        <w:spacing w:before="120" w:after="0"/>
        <w:jc w:val="left"/>
        <w:rPr>
          <w:rFonts w:ascii="Times New Roman" w:hAnsi="Times New Roman"/>
          <w:sz w:val="20"/>
        </w:rPr>
      </w:pPr>
      <w:r>
        <w:rPr>
          <w:rFonts w:ascii="Times New Roman" w:hAnsi="Times New Roman"/>
          <w:sz w:val="20"/>
        </w:rPr>
        <w:t xml:space="preserve">(g)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To use the net proceeds received by it from the sale of the Securities in the manner specified in the Pricing Prospectus under the caption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(i) To use its commercially reasonable efforts to cause the Shares and Warrant Shares, if and when issued, to be listed on Nasdaq; </w:t>
      </w:r>
    </w:p>
    <w:p>
      <w:pPr>
        <w:pStyle w:val="TextBody"/>
        <w:bidi w:val="0"/>
        <w:spacing w:before="120" w:after="0"/>
        <w:jc w:val="left"/>
        <w:rPr>
          <w:rFonts w:ascii="Times New Roman" w:hAnsi="Times New Roman"/>
          <w:sz w:val="20"/>
        </w:rPr>
      </w:pPr>
      <w:r>
        <w:rPr>
          <w:rFonts w:ascii="Times New Roman" w:hAnsi="Times New Roman"/>
          <w:sz w:val="20"/>
        </w:rPr>
        <w:t xml:space="preserve">(j) [Reserved]; </w:t>
      </w:r>
    </w:p>
    <w:p>
      <w:pPr>
        <w:pStyle w:val="TextBody"/>
        <w:bidi w:val="0"/>
        <w:spacing w:before="120" w:after="0"/>
        <w:jc w:val="left"/>
        <w:rPr>
          <w:rFonts w:ascii="Times New Roman" w:hAnsi="Times New Roman"/>
          <w:sz w:val="20"/>
        </w:rPr>
      </w:pPr>
      <w:r>
        <w:rPr>
          <w:rFonts w:ascii="Times New Roman" w:hAnsi="Times New Roman"/>
          <w:sz w:val="20"/>
        </w:rPr>
        <w:t xml:space="preserve">(k) To not, directly or indirectly, and cause its officers, executive directors, non-executive directors and subsidiaries not to take any action designed to cause or result in, or that constitutes or might reasonably be expected to constitute, the stabilization or manipulation of the price of any security of the Company in connection with the offering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(l) To use its best efforts to comply with all requirements imposed upon it by the Act and the Exchange Act as from time to time in force, so far as necessary to permit the offer and sale of the Securities as contemplated by the provisions hereof and the Pricing Prospectus and Prospectus; and </w:t>
      </w:r>
    </w:p>
    <w:p>
      <w:pPr>
        <w:pStyle w:val="TextBody"/>
        <w:bidi w:val="0"/>
        <w:spacing w:before="120" w:after="0"/>
        <w:jc w:val="left"/>
        <w:rPr>
          <w:rFonts w:ascii="Times New Roman" w:hAnsi="Times New Roman"/>
          <w:sz w:val="20"/>
        </w:rPr>
      </w:pPr>
      <w:r>
        <w:rPr>
          <w:rFonts w:ascii="Times New Roman" w:hAnsi="Times New Roman"/>
          <w:sz w:val="20"/>
        </w:rPr>
        <w:t xml:space="preserve">(m) To maintain, at its sole expense, a transfer agent and registrar for the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(n) The Company shall, at all times while any Pre-Funded Warrants are outstanding, reserve and keep available out of the aggregate of its authorized but unissued and otherwise unreserved Ordinary Shares, solely for the purpose of enabling it to issue Warrant Shares upon exercise of such Pre-funded Warrants, the number of Warrant Shares that are initially issuable and deliverable upon the exercise of the then-outstanding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6. (a) The Company represents and agrees that, without the prior consent of the Representatives, it has not made and will not make any offer relating to the Securities that would constitute a “free writing prospectus” as defined in Rule 405 under the Act; each Underwriter represents and agrees that, without the prior consent of the Company and the Representatives, it has not made and will not make any offer relating to the Securities that would constitute a free writing prospectus required to be filed with the Commission; any such free writing prospectus the use of which has been consented to by the Company and the Representatives is listed on Schedule II(a) hereto;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has complied and will comply with the requirements of Rule 433 under the Act applicable to any Issuer Free Writing Prospectus, including timely filing with the Commission or retention where required and legending; </w:t>
      </w:r>
    </w:p>
    <w:p>
      <w:pPr>
        <w:pStyle w:val="TextBody"/>
        <w:bidi w:val="0"/>
        <w:spacing w:before="120" w:after="0"/>
        <w:jc w:val="left"/>
        <w:rPr>
          <w:rFonts w:ascii="Times New Roman" w:hAnsi="Times New Roman"/>
          <w:sz w:val="20"/>
        </w:rPr>
      </w:pPr>
      <w:r>
        <w:rPr>
          <w:rFonts w:ascii="Times New Roman" w:hAnsi="Times New Roman"/>
          <w:sz w:val="20"/>
        </w:rPr>
        <w:t xml:space="preserve">(c) 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representation and warranty shall not apply to any statements or omissions in an Issuer Free Writing Prospectus made in reliance upon and in conformity with the Underwriter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Communications, other than those distributed with the prior consent of the Representatives that are listed on Schedule II(d) hereto; and the Company reconfirms that the Underwriters have been authorized to act on its behalf in engaging in Testing-the-Waters Communications; and </w:t>
      </w:r>
    </w:p>
    <w:p>
      <w:pPr>
        <w:pStyle w:val="TextBody"/>
        <w:bidi w:val="0"/>
        <w:spacing w:before="120" w:after="0"/>
        <w:jc w:val="left"/>
        <w:rPr>
          <w:rFonts w:ascii="Times New Roman" w:hAnsi="Times New Roman"/>
          <w:sz w:val="20"/>
        </w:rPr>
      </w:pPr>
      <w:r>
        <w:rPr>
          <w:rFonts w:ascii="Times New Roman" w:hAnsi="Times New Roman"/>
          <w:sz w:val="20"/>
        </w:rPr>
        <w:t xml:space="preserve">(e) Each Underwriter represents and agrees that any Written Testing-the-Waters Communications undertaken by it were with entities that are qualified institutional buyers as defined in Rule 144A under the Act or institutions that are accredited investors as defined in Rule 501(a)(1), (a)(2), (a)(3), (a)(7) or (a)(8) under the Act. </w:t>
      </w:r>
    </w:p>
    <w:p>
      <w:pPr>
        <w:pStyle w:val="TextBody"/>
        <w:bidi w:val="0"/>
        <w:spacing w:before="240" w:after="0"/>
        <w:jc w:val="left"/>
        <w:rPr>
          <w:rFonts w:ascii="Times New Roman" w:hAnsi="Times New Roman"/>
          <w:sz w:val="20"/>
        </w:rPr>
      </w:pPr>
      <w:r>
        <w:rPr>
          <w:rFonts w:ascii="Times New Roman" w:hAnsi="Times New Roman"/>
          <w:sz w:val="20"/>
        </w:rPr>
        <w:t xml:space="preserve">7. The Company covenants and agrees with the several Underwriters that the Company will pay or cause to be paid the following: (i) the fees, disbursements and expenses of the Company’s counsel and accountants in connection with the registration of the Securities and Warrant Shares under the Act and all other expenses in connection with the preparation, printing, reproduction and filing of the Registration Statement, the Basic Prospectus,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this Agreement, closing documents (including any compilations thereof) and any other documents in connection with the offering, purchase, sale and delivery of the Securities; (iii) reasonable and documented expenses incurred in connection with the qualification of the Securities and Warrant Shares for offering and sale under state securities laws as provided in Section 5(b) hereof, including the reasonable and documented fees and disbursements of counsel for the Underwriters in connection with such qualification and in connection with the Blue Sky survey(s) up to a maximum of $10,000; (iv) any filing fees incident to, and the fees and disbursements of counsel for the Underwriters in connection with, determining the offering’s compliance with FINRA’s rules and any required reviews by FINRA of the terms of the sale of the Securities and Warrant Shares up to a maximum of $25,000; (v) the cost of preparing the Securities and Warrant Shares; (vi) the cost and charges of any transfer agent or registrar or dividend disbursing agent; (vii) all fees and expenses in connection with listing the Shares and the Warrant Shares on Nasdaq; and (viii) all other costs and expenses incident to the performance of its obligations hereunder which are not otherwise specifically provided for in this Section. It is understood, however, that, except as provided in this Section, and Sections 9 and 12 hereof, the Underwriters will pay all of their own costs and expenses, including the fees of their counsel, transfer taxes on resale of any of the Securities by them, and any advertising expenses connected with any offers they may make. </w:t>
      </w:r>
    </w:p>
    <w:p>
      <w:pPr>
        <w:pStyle w:val="TextBody"/>
        <w:bidi w:val="0"/>
        <w:spacing w:before="240" w:after="0"/>
        <w:jc w:val="left"/>
        <w:rPr>
          <w:rFonts w:ascii="Times New Roman" w:hAnsi="Times New Roman"/>
          <w:sz w:val="20"/>
        </w:rPr>
      </w:pPr>
      <w:r>
        <w:rPr>
          <w:rFonts w:ascii="Times New Roman" w:hAnsi="Times New Roman"/>
          <w:sz w:val="20"/>
        </w:rPr>
        <w:t xml:space="preserve">8. The obligations of the Underwriters hereunder, as to the Securities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filings by Rule 433; no stop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order suspending the effectiveness of the Registration Statement or any part thereof shall have been issued and no proceeding for that purpose or pursuant to Section 8A of the Act shall have been initiated or threatened by the Commission; no notice of objection of the Commission to the use of the Registration Statement or any post-effective amendment thereto pursuant to Rule 401(g)(2) under the Act shall have been received by the Company;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 </w:t>
      </w:r>
    </w:p>
    <w:p>
      <w:pPr>
        <w:pStyle w:val="TextBody"/>
        <w:bidi w:val="0"/>
        <w:spacing w:before="120" w:after="0"/>
        <w:jc w:val="left"/>
        <w:rPr>
          <w:rFonts w:ascii="Times New Roman" w:hAnsi="Times New Roman"/>
          <w:sz w:val="20"/>
        </w:rPr>
      </w:pPr>
      <w:r>
        <w:rPr>
          <w:rFonts w:ascii="Times New Roman" w:hAnsi="Times New Roman"/>
          <w:sz w:val="20"/>
        </w:rPr>
        <w:t xml:space="preserve">(b) Covington &amp; Burling LLP, counsel for the Underwriters, shall have furnished to you such written opinion and negative assurance letter, dated such Time of Delivery in form and substance satisfactory to you, and such counsel shall have received such papers and information as they may reasonably request to enable them to pass upon such matters; </w:t>
      </w:r>
    </w:p>
    <w:p>
      <w:pPr>
        <w:pStyle w:val="TextBody"/>
        <w:bidi w:val="0"/>
        <w:spacing w:before="120" w:after="0"/>
        <w:jc w:val="left"/>
        <w:rPr>
          <w:rFonts w:ascii="Times New Roman" w:hAnsi="Times New Roman"/>
          <w:sz w:val="20"/>
        </w:rPr>
      </w:pPr>
      <w:r>
        <w:rPr>
          <w:rFonts w:ascii="Times New Roman" w:hAnsi="Times New Roman"/>
          <w:sz w:val="20"/>
        </w:rPr>
        <w:t xml:space="preserve">(c) Davis Polk &amp; Wardwell LLP, counsel for the Company, shall have furnished to you their written opinion and negative assurance letter, dated such Time of Delivery, in form and substance satisfactory to you; </w:t>
      </w:r>
    </w:p>
    <w:p>
      <w:pPr>
        <w:pStyle w:val="TextBody"/>
        <w:bidi w:val="0"/>
        <w:spacing w:before="120" w:after="0"/>
        <w:jc w:val="left"/>
        <w:rPr>
          <w:rFonts w:ascii="Times New Roman" w:hAnsi="Times New Roman"/>
          <w:sz w:val="20"/>
        </w:rPr>
      </w:pPr>
      <w:r>
        <w:rPr>
          <w:rFonts w:ascii="Times New Roman" w:hAnsi="Times New Roman"/>
          <w:sz w:val="20"/>
        </w:rPr>
        <w:t xml:space="preserve">(d) NautaDutilh N.V., Dutch counsel for the Company, shall have furnished to you their written opinion, dated such Time of Delivery, in form and substance satisfactory to you; </w:t>
      </w:r>
    </w:p>
    <w:p>
      <w:pPr>
        <w:pStyle w:val="TextBody"/>
        <w:bidi w:val="0"/>
        <w:spacing w:before="120" w:after="0"/>
        <w:jc w:val="left"/>
        <w:rPr>
          <w:rFonts w:ascii="Times New Roman" w:hAnsi="Times New Roman"/>
          <w:sz w:val="20"/>
        </w:rPr>
      </w:pPr>
      <w:r>
        <w:rPr>
          <w:rFonts w:ascii="Times New Roman" w:hAnsi="Times New Roman"/>
          <w:sz w:val="20"/>
        </w:rPr>
        <w:t xml:space="preserve">(e) McBee Moore &amp; Vanik IP, LLC, intellectual property counsel for the Company, shall have furnished to you their written opinion, dated such Time of Delivery, in form and substance satisfactory to you; </w:t>
      </w:r>
    </w:p>
    <w:p>
      <w:pPr>
        <w:pStyle w:val="TextBody"/>
        <w:bidi w:val="0"/>
        <w:spacing w:before="120" w:after="0"/>
        <w:jc w:val="left"/>
        <w:rPr>
          <w:rFonts w:ascii="Times New Roman" w:hAnsi="Times New Roman"/>
          <w:sz w:val="20"/>
        </w:rPr>
      </w:pPr>
      <w:r>
        <w:rPr>
          <w:rFonts w:ascii="Times New Roman" w:hAnsi="Times New Roman"/>
          <w:sz w:val="20"/>
        </w:rPr>
        <w:t xml:space="preserve">(f) On the date of the Prospectus, on the effective date of any post-effective amendment to the Registration Statement filed subsequent to the date of this Agreement and also at each Time of Delivery, PricewaterhouseCoopers GmbH Wirtschaftsprüfungsgesellschaft, shall have furnished to you a comfort letter or comfort letters, dated the respective dates of delivery thereof, in form and substance satisfactory to you; </w:t>
      </w:r>
    </w:p>
    <w:p>
      <w:pPr>
        <w:pStyle w:val="TextBody"/>
        <w:bidi w:val="0"/>
        <w:spacing w:before="120" w:after="0"/>
        <w:jc w:val="left"/>
        <w:rPr>
          <w:rFonts w:ascii="Times New Roman" w:hAnsi="Times New Roman"/>
          <w:sz w:val="20"/>
        </w:rPr>
      </w:pPr>
      <w:r>
        <w:rPr>
          <w:rFonts w:ascii="Times New Roman" w:hAnsi="Times New Roman"/>
          <w:sz w:val="20"/>
        </w:rPr>
        <w:t xml:space="preserve">(g) Except as disclosed or contemplated in the Pricing Prospectus, there shall not have been (x) any material adverse change, on a consolidated basis, in the authorized share capital of the Company; (y) any Material Adverse Effect or any development that would reasonably be expected to result in a Material Adverse Effect, the effect of which, in the case of each of (x) and (y), in the judgment of the Representatives (without relieving the Company of any obligation or liability it may otherwise have), is so material as to make it impracticable or inadvisable to proceed with the offering or delivery of the Securities being delivered at such Time of Delivery on the terms and in the manner contemplated in the Pricing Prospectus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(h) On or after the Applicable Time there shall not have occurred any of the following: (i) a suspension or limitation in trading in securities generally on Nasdaq; (ii) a suspension or limitation in trading in the Ordinary Shares on Nasdaq; (iii) a general banking moratorium shall have been declared by either United States federal or New York authorities or a material disruption in commercial banking or securities settlement or clearance services in the United States; (iv) any outbreak or escalation of national or international hostilities or (v) the occurrence of any other crisis or calamity, or any change in the United States or international political, financial or economic condition, if the effect of any such event specified in clause (iv) or (v) in your judgment makes it impracticable or inadvisable to proceed with the offering or the delivery of the Securities being delivered at such Time of Delivery on the terms and in the manner contemplated in the Pricing Prospectus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Ordinary Shares shall not have been delisted from Nasdaq; </w:t>
      </w:r>
    </w:p>
    <w:p>
      <w:pPr>
        <w:pStyle w:val="TextBody"/>
        <w:bidi w:val="0"/>
        <w:spacing w:before="120" w:after="0"/>
        <w:jc w:val="left"/>
        <w:rPr>
          <w:rFonts w:ascii="Times New Roman" w:hAnsi="Times New Roman"/>
          <w:sz w:val="20"/>
        </w:rPr>
      </w:pPr>
      <w:r>
        <w:rPr>
          <w:rFonts w:ascii="Times New Roman" w:hAnsi="Times New Roman"/>
          <w:sz w:val="20"/>
        </w:rPr>
        <w:t xml:space="preserve">(j) The Company shall have complied with the provisions of Section 5(d) hereof with respect to the furnishing of prospectuses on the Business Day next succeeding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(k) 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(g) of this Section and as to such other matters as you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(l) The Company shall have furnished to you, on the date hereof and at such Time of Delivery, a certificate of the Chief Financial Officer of the Company in form and substance satisfactory to you; and </w:t>
      </w:r>
    </w:p>
    <w:p>
      <w:pPr>
        <w:pStyle w:val="TextBody"/>
        <w:bidi w:val="0"/>
        <w:spacing w:before="120" w:after="0"/>
        <w:jc w:val="left"/>
        <w:rPr>
          <w:rFonts w:ascii="Times New Roman" w:hAnsi="Times New Roman"/>
          <w:sz w:val="20"/>
        </w:rPr>
      </w:pPr>
      <w:r>
        <w:rPr>
          <w:rFonts w:ascii="Times New Roman" w:hAnsi="Times New Roman"/>
          <w:sz w:val="20"/>
        </w:rPr>
        <w:t xml:space="preserve">(m) The Company shall have obtained and delivered to the Underwriters executed copies of an agreement from each officer, executive director and non-executive director of the Company listed on Schedule III hereto, substantially to the effect set forth in Annex I hereto in form and substance satisfactory to you. </w:t>
      </w:r>
    </w:p>
    <w:p>
      <w:pPr>
        <w:pStyle w:val="TextBody"/>
        <w:bidi w:val="0"/>
        <w:spacing w:before="240" w:after="0"/>
        <w:jc w:val="left"/>
        <w:rPr>
          <w:rFonts w:ascii="Times New Roman" w:hAnsi="Times New Roman"/>
          <w:sz w:val="20"/>
        </w:rPr>
      </w:pPr>
      <w:r>
        <w:rPr>
          <w:rFonts w:ascii="Times New Roman" w:hAnsi="Times New Roman"/>
          <w:sz w:val="20"/>
        </w:rPr>
        <w:t xml:space="preserve">9. (a)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any Preliminary Prospectus, the Pricing Prospectus or the Prospectus, or any amendment or supplement thereto, or any Issuer Free Writing Prospectus or any Testing-the-Waters Communication, in reliance upon and in conformity with the Underwriter Information. </w:t>
      </w:r>
    </w:p>
    <w:p>
      <w:pPr>
        <w:pStyle w:val="TextBody"/>
        <w:bidi w:val="0"/>
        <w:spacing w:before="120" w:after="0"/>
        <w:jc w:val="left"/>
        <w:rPr>
          <w:rFonts w:ascii="Times New Roman" w:hAnsi="Times New Roman"/>
          <w:sz w:val="20"/>
        </w:rPr>
      </w:pPr>
      <w:r>
        <w:rPr>
          <w:rFonts w:ascii="Times New Roman" w:hAnsi="Times New Roman"/>
          <w:sz w:val="20"/>
        </w:rPr>
        <w:t xml:space="preserve">(b) 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any Preliminary Prospectus,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figure appearing in the fifth paragraph under the caption “Underwriting”, and the information contained in the fourteenth, fifteenth, and seventeenth paragraphs under the caption “Underwriting”. </w:t>
      </w:r>
    </w:p>
    <w:p>
      <w:pPr>
        <w:pStyle w:val="TextBody"/>
        <w:bidi w:val="0"/>
        <w:spacing w:before="120" w:after="0"/>
        <w:jc w:val="left"/>
        <w:rPr>
          <w:rFonts w:ascii="Times New Roman" w:hAnsi="Times New Roman"/>
          <w:sz w:val="20"/>
        </w:rPr>
      </w:pPr>
      <w:r>
        <w:rPr>
          <w:rFonts w:ascii="Times New Roman" w:hAnsi="Times New Roman"/>
          <w:sz w:val="20"/>
        </w:rPr>
        <w:t xml:space="preserve">(c) 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any statement as to or an admission of fault, culpability or a failure to act, by or on behalf of any indemnified party. </w:t>
      </w:r>
    </w:p>
    <w:p>
      <w:pPr>
        <w:pStyle w:val="TextBody"/>
        <w:bidi w:val="0"/>
        <w:spacing w:before="120" w:after="0"/>
        <w:jc w:val="left"/>
        <w:rPr>
          <w:rFonts w:ascii="Times New Roman" w:hAnsi="Times New Roman"/>
          <w:sz w:val="20"/>
        </w:rPr>
      </w:pPr>
      <w:r>
        <w:rPr>
          <w:rFonts w:ascii="Times New Roman" w:hAnsi="Times New Roman"/>
          <w:sz w:val="20"/>
        </w:rPr>
        <w:t xml:space="preserve">(d) 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Securities.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Times New Roman" w:hAnsi="Times New Roman"/>
          <w:i/>
          <w:sz w:val="20"/>
        </w:rPr>
        <w:t>pro rata</w:t>
      </w:r>
      <w:r>
        <w:rPr>
          <w:rFonts w:ascii="Times New Roman" w:hAnsi="Times New Roman"/>
          <w:sz w:val="20"/>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Securities underwritten by it and distributed to investors were offered to investors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w:t>
      </w:r>
    </w:p>
    <w:p>
      <w:pPr>
        <w:pStyle w:val="TextBody"/>
        <w:bidi w:val="0"/>
        <w:spacing w:before="120" w:after="0"/>
        <w:jc w:val="left"/>
        <w:rPr>
          <w:rFonts w:ascii="Times New Roman" w:hAnsi="Times New Roman"/>
          <w:sz w:val="20"/>
        </w:rPr>
      </w:pPr>
      <w:r>
        <w:rPr>
          <w:rFonts w:ascii="Times New Roman" w:hAnsi="Times New Roman"/>
          <w:sz w:val="20"/>
        </w:rPr>
        <w:t xml:space="preserve">(e) The obligations of the Company under this Section 9 shall be in addition to any liability which the Company may otherwise have and shall extend, upon the same terms and conditions, to each employee, officer and director of each Underwriter,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employee, officer, executive director and non-executive director of the Company and to each person, if any, who controls the Company within the meaning of the Act. </w:t>
      </w:r>
    </w:p>
    <w:p>
      <w:pPr>
        <w:pStyle w:val="TextBody"/>
        <w:bidi w:val="0"/>
        <w:spacing w:before="240" w:after="0"/>
        <w:jc w:val="left"/>
        <w:rPr>
          <w:rFonts w:ascii="Times New Roman" w:hAnsi="Times New Roman"/>
          <w:sz w:val="20"/>
        </w:rPr>
      </w:pPr>
      <w:r>
        <w:rPr>
          <w:rFonts w:ascii="Times New Roman" w:hAnsi="Times New Roman"/>
          <w:sz w:val="20"/>
        </w:rPr>
        <w:t xml:space="preserve">10. (a) If any Underwriter shall default in its obligation to purchase the Securities which it has agreed to purchase hereunder at a Time of Delivery, you may in your discretion arrange for you or another party or other parties to purchase such Securities on the terms contained herein. If within thirty six hours after such default by any Underwriter you do not arrange for the purchase of such Securities, then the Company shall be entitled to a further period of thirty six hours within which to procure another party or other parties satisfactory to you to purchase such Securities on such terms. In the event that, within the respective prescribed periods, you notify the Company that you have so arranged for the purchase of such Securities, or the Company notifies you that it has so arranged for the purchase of such Securities,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after giving effect to any arrangements for the purchase of the Securities of a defaulting Underwriter or Underwriters by you and the Company as provided in subsection (a) above, the aggregate number of such Securities which remains unpurchased does not exceed one eleventh of the aggregate number of all the Securities to be purchased at such Time of Delivery, then the Company shall have the right to require each non defaulting Underwriter to purchase the number of Securities which such Underwriter agreed to purchase hereunder at such Time of Delivery and, in addition, to require each non defaulting Underwriter to purchase its pro rata share (based on the number of Securities which such Underwriter agreed to purchase hereunder) of the Securities of such defaulting Underwriter or Underwriters for which such arrangements have not been made; but nothing herein shall relieve a defaulting Underwriter from liability for its default. </w:t>
      </w:r>
    </w:p>
    <w:p>
      <w:pPr>
        <w:pStyle w:val="TextBody"/>
        <w:bidi w:val="0"/>
        <w:spacing w:before="120" w:after="0"/>
        <w:jc w:val="left"/>
        <w:rPr>
          <w:rFonts w:ascii="Times New Roman" w:hAnsi="Times New Roman"/>
          <w:sz w:val="20"/>
        </w:rPr>
      </w:pPr>
      <w:r>
        <w:rPr>
          <w:rFonts w:ascii="Times New Roman" w:hAnsi="Times New Roman"/>
          <w:sz w:val="20"/>
        </w:rPr>
        <w:t xml:space="preserve">(c) If, after giving effect to any arrangements for the purchase of the Securities of a defaulting Underwriter or Underwriters by you and the Company as provided in subsection (a) above, the aggregate number of such Securities which remains unpurchased exceeds one eleventh of the aggregate number of all the Securities to be purchased at such Time of Delivery, or if the Company shall not exercise the right described in subsection (b) above to require non defaulting Underwriters to purchase Securities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 </w:t>
      </w:r>
    </w:p>
    <w:p>
      <w:pPr>
        <w:pStyle w:val="TextBody"/>
        <w:bidi w:val="0"/>
        <w:spacing w:before="240" w:after="0"/>
        <w:jc w:val="left"/>
        <w:rPr>
          <w:rFonts w:ascii="Times New Roman" w:hAnsi="Times New Roman"/>
          <w:sz w:val="20"/>
        </w:rPr>
      </w:pPr>
      <w:r>
        <w:rPr>
          <w:rFonts w:ascii="Times New Roman" w:hAnsi="Times New Roman"/>
          <w:sz w:val="20"/>
        </w:rPr>
        <w:t xml:space="preserve">11. 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any employee, officer, executive director or non-executive director or controlling person of the Company, and shall survive delivery of and payment for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12. If this Agreement shall be terminated pursuant to Section 10 hereof, the Company shall not then be under any liability to any Underwriter except as provided in Sections 7 and 9 hereof; but, if for any other reason, any Securities are not delivered by or on behalf of the Company as provided herein, the Company will reimburse the Underwriters through you for all out of pocket expenses approved in writing by you, including fees and disbursements of counsel, reasonably incurred by the Underwriters in making preparations for the purchase, sale and delivery of the Securities not so delivered, but the Company shall then be under no further liability to any Underwriter except as provided in Sections 7 and 9 hereof. </w:t>
      </w:r>
    </w:p>
    <w:p>
      <w:pPr>
        <w:pStyle w:val="TextBody"/>
        <w:bidi w:val="0"/>
        <w:spacing w:before="240" w:after="0"/>
        <w:jc w:val="left"/>
        <w:rPr>
          <w:rFonts w:ascii="Times New Roman" w:hAnsi="Times New Roman"/>
          <w:sz w:val="20"/>
        </w:rPr>
      </w:pPr>
      <w:r>
        <w:rPr>
          <w:rFonts w:ascii="Times New Roman" w:hAnsi="Times New Roman"/>
          <w:sz w:val="20"/>
        </w:rPr>
        <w:t xml:space="preserve">13. In all dealings hereunder, you shall act on behalf of each of the Underwriters, and the parties hereto shall be entitled to act and rely upon any statement, request, notice or agreement on behalf of any Underwriter made or given by you.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requests, notices and agreements hereunder shall be in writing, and if to the Underwriters shall be delivered or sent by mail or facsimile transmission to you as the Representatives at Jefferies LLC and Jefferies GmbH, 520 Madison Avenue, New York, NY 10022, Attention: General Counsel, Facsimile: (646) 619-4437; Leerink Partners LLC, 1301 Avenue of the Americas, 5th Floor, New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York, NY 10019, Attention: Stuart R. Nayman, Esq., Facsimile: (646) 499-7051; Cantor Fitzgerald &amp; Co., 110 East 59th Street, New York NY 10022, Attention: General Counsel, Facsimile: (212) 829-4708; with a copy (which shall not constitute notice) to Covington &amp; Burling LLP, 30 Hudson Yards, New York, NY 10001, Attention: Brian K. Rosenzweig; Matthew T. Gehl; and if to the Company shall be delivered or sent by mail or facsimile transmission to 72076 Tübingen, Federal Republic of Germany, Attention: Secretary; with copies (which shall not constitute notice) to Davis Polk &amp; Wardwell LLP, 450 Lexington Avenue, New York, NY 10017, Attention: Yasin Keshvargar, Facsimile: (212) 701-5839 and NautaDutilh N.V., Beethovenstraat 400, 1082 PR Amsterdam, Attention: Paul van der Bijl; provided, however, that any notice to an Underwriter pursuant to Section 9(c) hereof shall be delivered or sent by mail or facsimile transmission to such Underwriter at its address set forth in its Underwriters’ Questionnaire, or telex constituting such Questionnaire, which address will be supplied to the Company by you upon request. Any such statements, requests, notices or agreements shall take effect upon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14. This Agreement shall be binding upon, and inure solely to the benefit of, the Underwriters, the Company and, to the extent provided in Section 9 hereof, the employees, officers and directors of the Company and each person who controls the Company or any Underwriter, or any director, officer, employee, or affiliate of any Underwriter, and their respective heirs, executors, administrators, successors and assigns, and no other person shall acquire or have any right under or by virtue of this Agreement. No purchaser of any of the Securities from any Underwriter shall be deemed a successor or assign by reason merely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15. Time shall be of the essence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16. The Company acknowledges and agrees that (i) the purchase and sale of the Securities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(iv) the Company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The Company agrees that it will not claim that the Underwriters, or any of them, has rendered advisory services of any nature or respect, or owes a fiduciary or similar duty to the Company, in connection with such transaction or the process leading thereto. </w:t>
      </w:r>
    </w:p>
    <w:p>
      <w:pPr>
        <w:pStyle w:val="TextBody"/>
        <w:bidi w:val="0"/>
        <w:spacing w:before="240" w:after="0"/>
        <w:jc w:val="left"/>
        <w:rPr>
          <w:rFonts w:ascii="Times New Roman" w:hAnsi="Times New Roman"/>
          <w:sz w:val="20"/>
        </w:rPr>
      </w:pPr>
      <w:r>
        <w:rPr>
          <w:rFonts w:ascii="Times New Roman" w:hAnsi="Times New Roman"/>
          <w:sz w:val="20"/>
        </w:rPr>
        <w:t xml:space="preserve">17. This Agreement supersedes all prior agreements and understandings (whether written or oral) between the Company and the Underwriters, or any of them,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18. Each party hereby irrevocably submits to the exclusive jurisdiction of the state and federal courts sitting in the City of New York, Borough of Manhattan, for the adjudication of any dispute hereunder or in connection with any of the transactions contemplated hereby, and hereby irrevocably waives, and agrees not to assert in any suit, action or proceeding, any claim that it is not personally subject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(certified or registered mail, return receipt requested) to such party at the address in effect for notices under Section 13 of this Agreement and agrees that such service shall constitute good and sufficient notice of process and notice thereof. Nothing contained herein shall be deemed to limit in any way any right to serve process in any manner permitted by law. The Company hereby irrevocably appoints the office of the General Counsel of Immatics US, Inc., which currently maintains an office at 13203 Murphy Rd., Suite 100, Stafford, Texas 77477 as its agent to receive service of process or other legal summons for purposes of any such suit, action or proceeding that may be instituted in any state or federal court in the Borough of Manhattan in the City of New York, United States of America. To the extent that the Company has or hereafter may acquire any immunity (sovereign or otherwise) from jurisdiction of any court of (i) the Netherlands, (ii) the United States or the State of New York, (iii) any jurisdiction in which it owns or leases property or assets or from any legal process (whether through service of notice, attachment prior to judgment, attachment in aid of execution, execution, set-off or otherwise) with respect to itself or its respective property and assets or this Agreement, the Company hereby irrevocably waives such immunity in respect of its obligations under this Agreement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19. The Company and each of the Underwriters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20. Notwithstanding anything herein to the contrary, the Company is authorized to disclose to any persons U.S. federal and state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 </w:t>
      </w:r>
    </w:p>
    <w:p>
      <w:pPr>
        <w:pStyle w:val="TextBody"/>
        <w:bidi w:val="0"/>
        <w:spacing w:before="240" w:after="0"/>
        <w:jc w:val="left"/>
        <w:rPr>
          <w:rFonts w:ascii="Times New Roman" w:hAnsi="Times New Roman"/>
          <w:sz w:val="20"/>
        </w:rPr>
      </w:pPr>
      <w:r>
        <w:rPr>
          <w:rFonts w:ascii="Times New Roman" w:hAnsi="Times New Roman"/>
          <w:sz w:val="20"/>
        </w:rPr>
        <w:t xml:space="preserve">21. 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22. Currency Provisions.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agrees to indemnify each Underwriter, each employee, officer and director of each Underwriter and each person, if any, who controls any Underwriter within the meaning of the Act and each broker-dealer or other affiliate of any Underwriter, against any loss incurred as a result of any judgment or order being given or made for any amount due hereunder and such judgment or order being expressed and paid in a currency (the “judgment currency”) other than U.S. dollars and as a result of any variation as between (i) the rate of exchange at which the U.S. dollar amount is converted into the judgment currency for the purpose of such judgment or order, and (ii) the rate of exchange at which such indemnified person is able to purchase U.S. dollars with the amount of the judgment currency actually received by the indemnified person. The foregoing indemnity shall constitute a separate and independent obligation of the Company and shall continue in full force and effect notwithstanding any such judgment or order as aforesaid. The term “rate of exchange” shall include any premiums and costs of exchange payable in connection with the purchase of, or conversion into, the relevant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will indemnify and hold harmless the Underwriters against any documentary, stamp or similar issue tax, including any interest and penalties, on the issue and sale of the Securities by the Company to the Underwriters and on the execution and delivery of this Agreement. All payments made by the Company under this Agreement shall be made free and clear of any withholding or deduction for or on account of any present or future taxes, duties, assessments or governmental charges of whatever nature (including any amounts that result from the payment of fees, compensation or reimbursement of costs contemplated by this Agreement) imposed or levied by or on behalf of the Netherlands or by any department, agency or other political subdivision or any taxing authority thereof or therein, and all interest, penalties or similar liabilities with respect thereto (collectively, “Dutch Taxes”), unless such deduction or withholding is required by law. If any Dutch Taxes are required by law to be deducted or withheld by the Company in connection with such payment or repurchase, the Company will increase the amount to be paid to the applicable Underwriter so that the full amount of such payment is received by such Underwriter; provided that the Company will not be required to pay any such additional amounts to the extent that the obligation to withhold or deduct any amounts arises as a result of any present or former connection between such Underwriter and the relevant jurisdiction other than any such connection arising solely as a result of the transaction described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23. Recognition of the U.S. Special Resolution Regimes.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(c) As used in this section: </w:t>
      </w:r>
    </w:p>
    <w:p>
      <w:pPr>
        <w:pStyle w:val="TextBody"/>
        <w:bidi w:val="0"/>
        <w:spacing w:before="120" w:after="0"/>
        <w:jc w:val="left"/>
        <w:rPr/>
      </w:pPr>
      <w:r>
        <w:rPr/>
        <w:t>“</w:t>
      </w:r>
      <w:r>
        <w:rPr>
          <w:rFonts w:ascii="Times New Roman" w:hAnsi="Times New Roman"/>
          <w:sz w:val="20"/>
        </w:rPr>
        <w:t xml:space="preserve">BHC Act Affiliate” has the meaning assigned to the term “affiliate” in, and shall be interpreted in accordance with, 12 U.S.C. § 1841(k). </w:t>
      </w:r>
    </w:p>
    <w:p>
      <w:pPr>
        <w:pStyle w:val="TextBody"/>
        <w:bidi w:val="0"/>
        <w:spacing w:before="120" w:after="0"/>
        <w:jc w:val="left"/>
        <w:rPr/>
      </w:pPr>
      <w:r>
        <w:rPr/>
        <w:t>“</w:t>
      </w:r>
      <w:r>
        <w:rPr>
          <w:rFonts w:ascii="Times New Roman" w:hAnsi="Times New Roman"/>
          <w:sz w:val="20"/>
        </w:rPr>
        <w:t xml:space="preserve">Covered Entity”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120" w:after="0"/>
        <w:jc w:val="left"/>
        <w:rPr/>
      </w:pPr>
      <w:r>
        <w:rPr/>
        <w:t>“</w:t>
      </w:r>
      <w:r>
        <w:rPr>
          <w:rFonts w:ascii="Times New Roman" w:hAnsi="Times New Roman"/>
          <w:sz w:val="20"/>
        </w:rPr>
        <w:t xml:space="preserve">Default Right” has the meaning assigned to that term in, and shall be interpreted in accordance with, 12 C.F.R. §§ 252.81, 47.2 or 382.1, as applicable. </w:t>
      </w:r>
    </w:p>
    <w:p>
      <w:pPr>
        <w:pStyle w:val="TextBody"/>
        <w:bidi w:val="0"/>
        <w:spacing w:before="120" w:after="0"/>
        <w:jc w:val="left"/>
        <w:rPr/>
      </w:pPr>
      <w:r>
        <w:rPr/>
        <w:t>“</w:t>
      </w:r>
      <w:r>
        <w:rPr>
          <w:rFonts w:ascii="Times New Roman" w:hAnsi="Times New Roman"/>
          <w:sz w:val="20"/>
        </w:rPr>
        <w:t xml:space="preserve">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24. Contractual Recognition of EU Bail-in.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and to the exclusion of any other term of this Agreement or any other agreements, arrangements, or understanding between any of the parties hereto, the Company acknowledges and accepts that a EU BRRD Liability arising under this Agreement may be subject to the exercise of EU Bail-in Powers by the Relevant EU Resolution Authority, and acknowledges, accepts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(i) the effect of the exercise of EU Bail-in Powers by the Relevant EU Resolution Authority in relation to any EU BRRD Liability of any Underwriter to the Company under this Agreement, that (without limitation) may include and result in any of the following, or some combination thereof: </w:t>
      </w:r>
    </w:p>
    <w:p>
      <w:pPr>
        <w:pStyle w:val="TextBody"/>
        <w:bidi w:val="0"/>
        <w:spacing w:before="120" w:after="0"/>
        <w:jc w:val="left"/>
        <w:rPr>
          <w:rFonts w:ascii="Times New Roman" w:hAnsi="Times New Roman"/>
          <w:sz w:val="20"/>
        </w:rPr>
      </w:pPr>
      <w:r>
        <w:rPr>
          <w:rFonts w:ascii="Times New Roman" w:hAnsi="Times New Roman"/>
          <w:sz w:val="20"/>
        </w:rPr>
        <w:t xml:space="preserve">(A) the reduction of all, or a portion, of the EU BRRD Liability or outstanding amounts due thereon; </w:t>
      </w:r>
    </w:p>
    <w:p>
      <w:pPr>
        <w:pStyle w:val="TextBody"/>
        <w:bidi w:val="0"/>
        <w:spacing w:before="120" w:after="0"/>
        <w:jc w:val="left"/>
        <w:rPr>
          <w:rFonts w:ascii="Times New Roman" w:hAnsi="Times New Roman"/>
          <w:sz w:val="20"/>
        </w:rPr>
      </w:pPr>
      <w:r>
        <w:rPr>
          <w:rFonts w:ascii="Times New Roman" w:hAnsi="Times New Roman"/>
          <w:sz w:val="20"/>
        </w:rPr>
        <w:t xml:space="preserve">(B) the conversion of all, or a portion, of the EU BRRD Liability into shares, other securities or other obligations of the Underwriters or another person, and the issue to or conferral on the Company of such shares, securities or obligations; </w:t>
      </w:r>
    </w:p>
    <w:p>
      <w:pPr>
        <w:pStyle w:val="TextBody"/>
        <w:bidi w:val="0"/>
        <w:spacing w:before="120" w:after="0"/>
        <w:jc w:val="left"/>
        <w:rPr>
          <w:rFonts w:ascii="Times New Roman" w:hAnsi="Times New Roman"/>
          <w:sz w:val="20"/>
        </w:rPr>
      </w:pPr>
      <w:r>
        <w:rPr>
          <w:rFonts w:ascii="Times New Roman" w:hAnsi="Times New Roman"/>
          <w:sz w:val="20"/>
        </w:rPr>
        <w:t xml:space="preserve">(C) the cancellation of the EU BRRD Liability; and/or </w:t>
      </w:r>
    </w:p>
    <w:p>
      <w:pPr>
        <w:pStyle w:val="TextBody"/>
        <w:bidi w:val="0"/>
        <w:spacing w:before="120" w:after="0"/>
        <w:jc w:val="left"/>
        <w:rPr>
          <w:rFonts w:ascii="Times New Roman" w:hAnsi="Times New Roman"/>
          <w:sz w:val="20"/>
        </w:rPr>
      </w:pPr>
      <w:r>
        <w:rPr>
          <w:rFonts w:ascii="Times New Roman" w:hAnsi="Times New Roman"/>
          <w:sz w:val="20"/>
        </w:rPr>
        <w:t xml:space="preserve">(D) the amendment or alteration of any interest, if applicable, thereon, the maturity or the dates on which any payments are due, including by suspending payment for a temporary period; and </w:t>
      </w:r>
    </w:p>
    <w:p>
      <w:pPr>
        <w:pStyle w:val="TextBody"/>
        <w:bidi w:val="0"/>
        <w:spacing w:before="120" w:after="0"/>
        <w:jc w:val="left"/>
        <w:rPr>
          <w:rFonts w:ascii="Times New Roman" w:hAnsi="Times New Roman"/>
          <w:sz w:val="20"/>
        </w:rPr>
      </w:pPr>
      <w:r>
        <w:rPr>
          <w:rFonts w:ascii="Times New Roman" w:hAnsi="Times New Roman"/>
          <w:sz w:val="20"/>
        </w:rPr>
        <w:t xml:space="preserve">(ii) the variation of the terms of this Agreement, as deemed necessary by the Relevant EU Resolution Authority, to give effect to the exercise of EU Bail-in Powers by the Relevant EU Resolution Authority. </w:t>
      </w:r>
    </w:p>
    <w:p>
      <w:pPr>
        <w:pStyle w:val="TextBody"/>
        <w:bidi w:val="0"/>
        <w:spacing w:before="120" w:after="0"/>
        <w:jc w:val="left"/>
        <w:rPr>
          <w:rFonts w:ascii="Times New Roman" w:hAnsi="Times New Roman"/>
          <w:sz w:val="20"/>
        </w:rPr>
      </w:pPr>
      <w:r>
        <w:rPr>
          <w:rFonts w:ascii="Times New Roman" w:hAnsi="Times New Roman"/>
          <w:sz w:val="20"/>
        </w:rPr>
        <w:t xml:space="preserve">(b) For purposes of this Section 24: </w:t>
      </w:r>
    </w:p>
    <w:p>
      <w:pPr>
        <w:pStyle w:val="TextBody"/>
        <w:bidi w:val="0"/>
        <w:spacing w:before="120" w:after="0"/>
        <w:jc w:val="left"/>
        <w:rPr/>
      </w:pPr>
      <w:r>
        <w:rPr/>
        <w:t>“</w:t>
      </w:r>
      <w:r>
        <w:rPr>
          <w:rFonts w:ascii="Times New Roman" w:hAnsi="Times New Roman"/>
          <w:sz w:val="20"/>
        </w:rPr>
        <w:t xml:space="preserve">EU Bail-in Legislation” means in relation to a member state of the European Economic Area which has implemented, or which at any time implements, the EU BRRD, the relevant implementing law, regulation, rule or requirement as described in the EU Bail-in Legislation Schedule from time to time. </w:t>
      </w:r>
    </w:p>
    <w:p>
      <w:pPr>
        <w:pStyle w:val="TextBody"/>
        <w:bidi w:val="0"/>
        <w:spacing w:before="120" w:after="0"/>
        <w:jc w:val="left"/>
        <w:rPr/>
      </w:pPr>
      <w:r>
        <w:rPr/>
        <w:t>“</w:t>
      </w:r>
      <w:r>
        <w:rPr>
          <w:rFonts w:ascii="Times New Roman" w:hAnsi="Times New Roman"/>
          <w:sz w:val="20"/>
        </w:rPr>
        <w:t xml:space="preserve">EU Bail-in Powers” means any EU Write-down and Conversion Powers in relation to the relevant EU Bail-in Legislation.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EU BRRD” means Directive 2014/59/EU establishing a framework for the recovery and resolution of credit institutions and investment firms, as amended. </w:t>
      </w:r>
    </w:p>
    <w:p>
      <w:pPr>
        <w:pStyle w:val="TextBody"/>
        <w:bidi w:val="0"/>
        <w:spacing w:before="120" w:after="0"/>
        <w:jc w:val="left"/>
        <w:rPr/>
      </w:pPr>
      <w:r>
        <w:rPr/>
        <w:t>“</w:t>
      </w:r>
      <w:r>
        <w:rPr>
          <w:rFonts w:ascii="Times New Roman" w:hAnsi="Times New Roman"/>
          <w:sz w:val="20"/>
        </w:rPr>
        <w:t xml:space="preserve">EU BRRD Liability” means a liability in respect of which the relevant EU Write Down and Conversion Powers in the applicable EU Bail-in Legislation may be exercised. </w:t>
      </w:r>
    </w:p>
    <w:p>
      <w:pPr>
        <w:pStyle w:val="TextBody"/>
        <w:bidi w:val="0"/>
        <w:spacing w:before="120" w:after="0"/>
        <w:jc w:val="left"/>
        <w:rPr/>
      </w:pPr>
      <w:r>
        <w:rPr/>
        <w:t>“</w:t>
      </w:r>
      <w:r>
        <w:rPr>
          <w:rFonts w:ascii="Times New Roman" w:hAnsi="Times New Roman"/>
          <w:sz w:val="20"/>
        </w:rPr>
        <w:t xml:space="preserve">EU Bail-in Legislation Schedule” means the document described as such, then in effect, and published by the Loan Market Association (or any successor person) from time to time at https://www.lma.eu.com/documents-guidelines/eu-bail-legislation-schedule (or any such successor webpage). </w:t>
      </w:r>
    </w:p>
    <w:p>
      <w:pPr>
        <w:pStyle w:val="TextBody"/>
        <w:bidi w:val="0"/>
        <w:spacing w:before="120" w:after="0"/>
        <w:jc w:val="left"/>
        <w:rPr/>
      </w:pPr>
      <w:r>
        <w:rPr/>
        <w:t>“</w:t>
      </w:r>
      <w:r>
        <w:rPr>
          <w:rFonts w:ascii="Times New Roman" w:hAnsi="Times New Roman"/>
          <w:sz w:val="20"/>
        </w:rPr>
        <w:t xml:space="preserve">EU Write-down and Conversion Powers” has the meaning given to it in the EU Bail-in Legislation Schedule. </w:t>
      </w:r>
    </w:p>
    <w:p>
      <w:pPr>
        <w:pStyle w:val="TextBody"/>
        <w:bidi w:val="0"/>
        <w:spacing w:before="120" w:after="0"/>
        <w:jc w:val="left"/>
        <w:rPr/>
      </w:pPr>
      <w:r>
        <w:rPr/>
        <w:t>“</w:t>
      </w:r>
      <w:r>
        <w:rPr>
          <w:rFonts w:ascii="Times New Roman" w:hAnsi="Times New Roman"/>
          <w:sz w:val="20"/>
        </w:rPr>
        <w:t xml:space="preserve">Relevant EU Resolution Authority” means the resolution authority with the ability to exercise any EU Bail-in Powers in relation to a particular Underwriter. </w:t>
      </w:r>
    </w:p>
    <w:p>
      <w:pPr>
        <w:pStyle w:val="TextBody"/>
        <w:bidi w:val="0"/>
        <w:spacing w:before="240" w:after="0"/>
        <w:jc w:val="left"/>
        <w:rPr>
          <w:rFonts w:ascii="Times New Roman" w:hAnsi="Times New Roman"/>
          <w:sz w:val="20"/>
        </w:rPr>
      </w:pPr>
      <w:r>
        <w:rPr>
          <w:rFonts w:ascii="Times New Roman" w:hAnsi="Times New Roman"/>
          <w:sz w:val="20"/>
        </w:rPr>
        <w:t xml:space="preserve">If the foregoing is in accordance with your understanding, please sign and return to us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8"/>
        <w:gridCol w:w="61"/>
        <w:gridCol w:w="3633"/>
      </w:tblGrid>
      <w:tr>
        <w:trPr/>
        <w:tc>
          <w:tcPr>
            <w:tcW w:w="38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IMMATICS N.V.</w:t>
            </w:r>
          </w:p>
        </w:tc>
      </w:tr>
      <w:tr>
        <w:trPr>
          <w:trHeight w:val="240" w:hRule="atLeast"/>
        </w:trPr>
        <w:tc>
          <w:tcPr>
            <w:tcW w:w="388"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r>
      <w:tr>
        <w:trPr/>
        <w:tc>
          <w:tcPr>
            <w:tcW w:w="388"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3" w:type="dxa"/>
            <w:tcBorders>
              <w:bottom w:val="single" w:sz="2" w:space="0" w:color="000000"/>
            </w:tcBorders>
            <w:tcMar>
              <w:bottom w:w="28" w:type="dxa"/>
            </w:tcMar>
          </w:tcPr>
          <w:p>
            <w:pPr>
              <w:pStyle w:val="TableContents"/>
              <w:bidi w:val="0"/>
              <w:spacing w:before="0" w:after="283"/>
              <w:jc w:val="left"/>
              <w:rPr/>
            </w:pPr>
            <w:r>
              <w:rPr/>
              <w:t>/s/ Venkat Ramanan</w:t>
            </w:r>
          </w:p>
        </w:tc>
      </w:tr>
      <w:tr>
        <w:trPr/>
        <w:tc>
          <w:tcPr>
            <w:tcW w:w="38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3" w:type="dxa"/>
            <w:tcBorders/>
          </w:tcPr>
          <w:p>
            <w:pPr>
              <w:pStyle w:val="TableContents"/>
              <w:bidi w:val="0"/>
              <w:spacing w:before="0" w:after="283"/>
              <w:jc w:val="left"/>
              <w:rPr/>
            </w:pPr>
            <w:r>
              <w:rPr/>
              <w:t>Name: Venkat Ramanan</w:t>
            </w:r>
          </w:p>
        </w:tc>
      </w:tr>
      <w:tr>
        <w:trPr/>
        <w:tc>
          <w:tcPr>
            <w:tcW w:w="38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3" w:type="dxa"/>
            <w:tcBorders/>
          </w:tcPr>
          <w:p>
            <w:pPr>
              <w:pStyle w:val="TableContents"/>
              <w:bidi w:val="0"/>
              <w:spacing w:before="0" w:after="283"/>
              <w:jc w:val="left"/>
              <w:rPr/>
            </w:pPr>
            <w:r>
              <w:rPr/>
              <w:t>Title: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Accepted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JEFFERIES GMBH </w:t>
      </w:r>
    </w:p>
    <w:p>
      <w:pPr>
        <w:pStyle w:val="TextBody"/>
        <w:bidi w:val="0"/>
        <w:spacing w:before="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CANTOR FITZGERALD &amp; 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Acting individually and as Representatives </w:t>
      </w:r>
    </w:p>
    <w:p>
      <w:pPr>
        <w:pStyle w:val="TextBody"/>
        <w:bidi w:val="0"/>
        <w:spacing w:before="0" w:after="0"/>
        <w:jc w:val="left"/>
        <w:rPr>
          <w:rFonts w:ascii="Times New Roman" w:hAnsi="Times New Roman"/>
          <w:sz w:val="20"/>
        </w:rPr>
      </w:pPr>
      <w:r>
        <w:rPr>
          <w:rFonts w:ascii="Times New Roman" w:hAnsi="Times New Roman"/>
          <w:sz w:val="20"/>
        </w:rPr>
        <w:t xml:space="preserve">of the several Underwriters named </w:t>
      </w:r>
    </w:p>
    <w:p>
      <w:pPr>
        <w:pStyle w:val="TextBody"/>
        <w:bidi w:val="0"/>
        <w:spacing w:before="0" w:after="0"/>
        <w:jc w:val="left"/>
        <w:rPr>
          <w:rFonts w:ascii="Times New Roman" w:hAnsi="Times New Roman"/>
          <w:sz w:val="20"/>
        </w:rPr>
      </w:pPr>
      <w:r>
        <w:rPr>
          <w:rFonts w:ascii="Times New Roman" w:hAnsi="Times New Roman"/>
          <w:sz w:val="20"/>
        </w:rPr>
        <w:t xml:space="preserve">in the attached Schedule I.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82"/>
        <w:gridCol w:w="181"/>
        <w:gridCol w:w="4155"/>
        <w:gridCol w:w="118"/>
        <w:gridCol w:w="309"/>
        <w:gridCol w:w="118"/>
        <w:gridCol w:w="494"/>
        <w:gridCol w:w="118"/>
        <w:gridCol w:w="3830"/>
      </w:tblGrid>
      <w:tr>
        <w:trPr/>
        <w:tc>
          <w:tcPr>
            <w:tcW w:w="882"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4155"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5218" w:type="dxa"/>
            <w:gridSpan w:val="3"/>
            <w:tcBorders/>
          </w:tcPr>
          <w:p>
            <w:pPr>
              <w:pStyle w:val="TableContents"/>
              <w:bidi w:val="0"/>
              <w:spacing w:before="0" w:after="283"/>
              <w:jc w:val="left"/>
              <w:rPr>
                <w:b/>
              </w:rPr>
            </w:pPr>
            <w:r>
              <w:rPr>
                <w:b/>
              </w:rPr>
              <w:t>JEFFERIES LLC</w:t>
            </w:r>
          </w:p>
        </w:tc>
        <w:tc>
          <w:tcPr>
            <w:tcW w:w="118"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94"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830" w:type="dxa"/>
            <w:tcBorders/>
          </w:tcPr>
          <w:p>
            <w:pPr>
              <w:pStyle w:val="TableContents"/>
              <w:bidi w:val="0"/>
              <w:spacing w:before="0" w:after="283"/>
              <w:jc w:val="left"/>
              <w:rPr>
                <w:sz w:val="4"/>
                <w:szCs w:val="4"/>
              </w:rPr>
            </w:pPr>
            <w:r>
              <w:rPr>
                <w:sz w:val="4"/>
                <w:szCs w:val="4"/>
              </w:rPr>
            </w:r>
          </w:p>
        </w:tc>
      </w:tr>
      <w:tr>
        <w:trPr>
          <w:trHeight w:val="240" w:hRule="atLeast"/>
        </w:trPr>
        <w:tc>
          <w:tcPr>
            <w:tcW w:w="882" w:type="dxa"/>
            <w:tcBorders/>
            <w:vAlign w:val="center"/>
          </w:tcPr>
          <w:p>
            <w:pPr>
              <w:pStyle w:val="TableContents"/>
              <w:bidi w:val="0"/>
              <w:spacing w:before="0" w:after="283"/>
              <w:jc w:val="left"/>
              <w:rPr>
                <w:sz w:val="4"/>
                <w:szCs w:val="4"/>
              </w:rPr>
            </w:pPr>
            <w:r>
              <w:rPr>
                <w:sz w:val="4"/>
                <w:szCs w:val="4"/>
              </w:rPr>
            </w:r>
          </w:p>
        </w:tc>
        <w:tc>
          <w:tcPr>
            <w:tcW w:w="4336" w:type="dxa"/>
            <w:gridSpan w:val="2"/>
            <w:tcBorders/>
            <w:vAlign w:val="center"/>
          </w:tcPr>
          <w:p>
            <w:pPr>
              <w:pStyle w:val="TableContents"/>
              <w:bidi w:val="0"/>
              <w:spacing w:before="0" w:after="283"/>
              <w:jc w:val="left"/>
              <w:rPr>
                <w:sz w:val="4"/>
                <w:szCs w:val="4"/>
              </w:rPr>
            </w:pPr>
            <w:r>
              <w:rPr>
                <w:sz w:val="4"/>
                <w:szCs w:val="4"/>
              </w:rPr>
            </w:r>
          </w:p>
        </w:tc>
        <w:tc>
          <w:tcPr>
            <w:tcW w:w="427" w:type="dxa"/>
            <w:gridSpan w:val="2"/>
            <w:tcBorders/>
            <w:vAlign w:val="center"/>
          </w:tcPr>
          <w:p>
            <w:pPr>
              <w:pStyle w:val="TableContents"/>
              <w:bidi w:val="0"/>
              <w:spacing w:before="0" w:after="283"/>
              <w:jc w:val="left"/>
              <w:rPr>
                <w:sz w:val="4"/>
                <w:szCs w:val="4"/>
              </w:rPr>
            </w:pPr>
            <w:r>
              <w:rPr>
                <w:sz w:val="4"/>
                <w:szCs w:val="4"/>
              </w:rPr>
            </w:r>
          </w:p>
        </w:tc>
        <w:tc>
          <w:tcPr>
            <w:tcW w:w="612" w:type="dxa"/>
            <w:gridSpan w:val="2"/>
            <w:tcBorders/>
            <w:vAlign w:val="center"/>
          </w:tcPr>
          <w:p>
            <w:pPr>
              <w:pStyle w:val="TableContents"/>
              <w:bidi w:val="0"/>
              <w:spacing w:before="0" w:after="283"/>
              <w:jc w:val="left"/>
              <w:rPr>
                <w:sz w:val="4"/>
                <w:szCs w:val="4"/>
              </w:rPr>
            </w:pPr>
            <w:r>
              <w:rPr>
                <w:sz w:val="4"/>
                <w:szCs w:val="4"/>
              </w:rPr>
            </w:r>
          </w:p>
        </w:tc>
        <w:tc>
          <w:tcPr>
            <w:tcW w:w="3948"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By:</w:t>
            </w:r>
          </w:p>
        </w:tc>
        <w:tc>
          <w:tcPr>
            <w:tcW w:w="181" w:type="dxa"/>
            <w:tcBorders>
              <w:bottom w:val="single" w:sz="2" w:space="0" w:color="000000"/>
            </w:tcBorders>
            <w:tcMar>
              <w:bottom w:w="28" w:type="dxa"/>
            </w:tcMar>
            <w:vAlign w:val="bottom"/>
          </w:tcPr>
          <w:p>
            <w:pPr>
              <w:pStyle w:val="TableContents"/>
              <w:bidi w:val="0"/>
              <w:spacing w:before="0" w:after="283"/>
              <w:jc w:val="left"/>
              <w:rPr/>
            </w:pPr>
            <w:r>
              <w:rPr/>
              <w:t> </w:t>
            </w:r>
          </w:p>
        </w:tc>
        <w:tc>
          <w:tcPr>
            <w:tcW w:w="4155" w:type="dxa"/>
            <w:tcBorders>
              <w:bottom w:val="single" w:sz="2" w:space="0" w:color="000000"/>
            </w:tcBorders>
            <w:tcMar>
              <w:bottom w:w="28" w:type="dxa"/>
            </w:tcMar>
          </w:tcPr>
          <w:p>
            <w:pPr>
              <w:pStyle w:val="TableContents"/>
              <w:bidi w:val="0"/>
              <w:spacing w:before="0" w:after="283"/>
              <w:jc w:val="left"/>
              <w:rPr/>
            </w:pPr>
            <w:r>
              <w:rPr/>
              <w:t>/s/ Jack Fabbri</w:t>
            </w:r>
          </w:p>
        </w:tc>
        <w:tc>
          <w:tcPr>
            <w:tcW w:w="118"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94"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830" w:type="dxa"/>
            <w:tcBorders/>
          </w:tcPr>
          <w:p>
            <w:pPr>
              <w:pStyle w:val="TableContents"/>
              <w:bidi w:val="0"/>
              <w:spacing w:before="0" w:after="283"/>
              <w:jc w:val="left"/>
              <w:rPr>
                <w:sz w:val="4"/>
                <w:szCs w:val="4"/>
              </w:rPr>
            </w:pPr>
            <w:r>
              <w:rPr>
                <w:sz w:val="4"/>
                <w:szCs w:val="4"/>
              </w:rPr>
            </w:r>
          </w:p>
        </w:tc>
      </w:tr>
      <w:tr>
        <w:trPr/>
        <w:tc>
          <w:tcPr>
            <w:tcW w:w="5218" w:type="dxa"/>
            <w:gridSpan w:val="3"/>
            <w:tcBorders/>
          </w:tcPr>
          <w:p>
            <w:pPr>
              <w:pStyle w:val="TableContents"/>
              <w:bidi w:val="0"/>
              <w:spacing w:before="0" w:after="283"/>
              <w:jc w:val="left"/>
              <w:rPr/>
            </w:pPr>
            <w:r>
              <w:rPr/>
              <w:t>Name: Jack Fabbri</w:t>
            </w:r>
          </w:p>
        </w:tc>
        <w:tc>
          <w:tcPr>
            <w:tcW w:w="118"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94"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830" w:type="dxa"/>
            <w:tcBorders/>
          </w:tcPr>
          <w:p>
            <w:pPr>
              <w:pStyle w:val="TableContents"/>
              <w:bidi w:val="0"/>
              <w:spacing w:before="0" w:after="283"/>
              <w:jc w:val="left"/>
              <w:rPr>
                <w:sz w:val="4"/>
                <w:szCs w:val="4"/>
              </w:rPr>
            </w:pPr>
            <w:r>
              <w:rPr>
                <w:sz w:val="4"/>
                <w:szCs w:val="4"/>
              </w:rPr>
            </w:r>
          </w:p>
        </w:tc>
      </w:tr>
      <w:tr>
        <w:trPr/>
        <w:tc>
          <w:tcPr>
            <w:tcW w:w="5218" w:type="dxa"/>
            <w:gridSpan w:val="3"/>
            <w:tcBorders/>
          </w:tcPr>
          <w:p>
            <w:pPr>
              <w:pStyle w:val="TableContents"/>
              <w:bidi w:val="0"/>
              <w:spacing w:before="0" w:after="283"/>
              <w:jc w:val="left"/>
              <w:rPr/>
            </w:pPr>
            <w:r>
              <w:rPr/>
              <w:t>Title: Managing Director</w:t>
            </w:r>
          </w:p>
        </w:tc>
        <w:tc>
          <w:tcPr>
            <w:tcW w:w="118"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94"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830" w:type="dxa"/>
            <w:tcBorders/>
          </w:tcPr>
          <w:p>
            <w:pPr>
              <w:pStyle w:val="TableContents"/>
              <w:bidi w:val="0"/>
              <w:spacing w:before="0" w:after="283"/>
              <w:jc w:val="left"/>
              <w:rPr>
                <w:sz w:val="4"/>
                <w:szCs w:val="4"/>
              </w:rPr>
            </w:pPr>
            <w:r>
              <w:rPr>
                <w:sz w:val="4"/>
                <w:szCs w:val="4"/>
              </w:rPr>
            </w:r>
          </w:p>
        </w:tc>
      </w:tr>
      <w:tr>
        <w:trPr>
          <w:trHeight w:val="240" w:hRule="atLeast"/>
        </w:trPr>
        <w:tc>
          <w:tcPr>
            <w:tcW w:w="5218" w:type="dxa"/>
            <w:gridSpan w:val="3"/>
            <w:tcBorders/>
            <w:vAlign w:val="center"/>
          </w:tcPr>
          <w:p>
            <w:pPr>
              <w:pStyle w:val="TableContents"/>
              <w:bidi w:val="0"/>
              <w:spacing w:before="0" w:after="283"/>
              <w:jc w:val="left"/>
              <w:rPr>
                <w:sz w:val="4"/>
                <w:szCs w:val="4"/>
              </w:rPr>
            </w:pPr>
            <w:r>
              <w:rPr>
                <w:sz w:val="4"/>
                <w:szCs w:val="4"/>
              </w:rPr>
            </w:r>
          </w:p>
        </w:tc>
        <w:tc>
          <w:tcPr>
            <w:tcW w:w="427" w:type="dxa"/>
            <w:gridSpan w:val="2"/>
            <w:tcBorders/>
            <w:vAlign w:val="center"/>
          </w:tcPr>
          <w:p>
            <w:pPr>
              <w:pStyle w:val="TableContents"/>
              <w:bidi w:val="0"/>
              <w:spacing w:before="0" w:after="283"/>
              <w:jc w:val="left"/>
              <w:rPr>
                <w:sz w:val="4"/>
                <w:szCs w:val="4"/>
              </w:rPr>
            </w:pPr>
            <w:r>
              <w:rPr>
                <w:sz w:val="4"/>
                <w:szCs w:val="4"/>
              </w:rPr>
            </w:r>
          </w:p>
        </w:tc>
        <w:tc>
          <w:tcPr>
            <w:tcW w:w="4560" w:type="dxa"/>
            <w:gridSpan w:val="4"/>
            <w:tcBorders/>
            <w:vAlign w:val="center"/>
          </w:tcPr>
          <w:p>
            <w:pPr>
              <w:pStyle w:val="TableContents"/>
              <w:bidi w:val="0"/>
              <w:spacing w:before="0" w:after="283"/>
              <w:jc w:val="left"/>
              <w:rPr>
                <w:sz w:val="4"/>
                <w:szCs w:val="4"/>
              </w:rPr>
            </w:pPr>
            <w:r>
              <w:rPr>
                <w:sz w:val="4"/>
                <w:szCs w:val="4"/>
              </w:rPr>
            </w:r>
          </w:p>
        </w:tc>
      </w:tr>
      <w:tr>
        <w:trPr/>
        <w:tc>
          <w:tcPr>
            <w:tcW w:w="5218" w:type="dxa"/>
            <w:gridSpan w:val="3"/>
            <w:tcBorders/>
          </w:tcPr>
          <w:p>
            <w:pPr>
              <w:pStyle w:val="TableContents"/>
              <w:bidi w:val="0"/>
              <w:spacing w:before="0" w:after="283"/>
              <w:jc w:val="left"/>
              <w:rPr>
                <w:b/>
              </w:rPr>
            </w:pPr>
            <w:r>
              <w:rPr>
                <w:b/>
              </w:rPr>
              <w:t>JEFFERIES GMBH</w:t>
            </w:r>
          </w:p>
        </w:tc>
        <w:tc>
          <w:tcPr>
            <w:tcW w:w="118"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442" w:type="dxa"/>
            <w:gridSpan w:val="3"/>
            <w:tcBorders/>
          </w:tcPr>
          <w:p>
            <w:pPr>
              <w:pStyle w:val="TableContents"/>
              <w:bidi w:val="0"/>
              <w:spacing w:before="0" w:after="283"/>
              <w:jc w:val="left"/>
              <w:rPr>
                <w:b/>
              </w:rPr>
            </w:pPr>
            <w:r>
              <w:rPr>
                <w:b/>
              </w:rPr>
              <w:t>JEFFERIES GMBH</w:t>
            </w:r>
          </w:p>
        </w:tc>
      </w:tr>
      <w:tr>
        <w:trPr>
          <w:trHeight w:val="240" w:hRule="atLeast"/>
        </w:trPr>
        <w:tc>
          <w:tcPr>
            <w:tcW w:w="882" w:type="dxa"/>
            <w:tcBorders/>
            <w:vAlign w:val="center"/>
          </w:tcPr>
          <w:p>
            <w:pPr>
              <w:pStyle w:val="TableContents"/>
              <w:bidi w:val="0"/>
              <w:spacing w:before="0" w:after="283"/>
              <w:jc w:val="left"/>
              <w:rPr>
                <w:sz w:val="4"/>
                <w:szCs w:val="4"/>
              </w:rPr>
            </w:pPr>
            <w:r>
              <w:rPr>
                <w:sz w:val="4"/>
                <w:szCs w:val="4"/>
              </w:rPr>
            </w:r>
          </w:p>
        </w:tc>
        <w:tc>
          <w:tcPr>
            <w:tcW w:w="4336" w:type="dxa"/>
            <w:gridSpan w:val="2"/>
            <w:tcBorders/>
            <w:vAlign w:val="center"/>
          </w:tcPr>
          <w:p>
            <w:pPr>
              <w:pStyle w:val="TableContents"/>
              <w:bidi w:val="0"/>
              <w:spacing w:before="0" w:after="283"/>
              <w:jc w:val="left"/>
              <w:rPr>
                <w:sz w:val="4"/>
                <w:szCs w:val="4"/>
              </w:rPr>
            </w:pPr>
            <w:r>
              <w:rPr>
                <w:sz w:val="4"/>
                <w:szCs w:val="4"/>
              </w:rPr>
            </w:r>
          </w:p>
        </w:tc>
        <w:tc>
          <w:tcPr>
            <w:tcW w:w="427" w:type="dxa"/>
            <w:gridSpan w:val="2"/>
            <w:tcBorders/>
            <w:vAlign w:val="center"/>
          </w:tcPr>
          <w:p>
            <w:pPr>
              <w:pStyle w:val="TableContents"/>
              <w:bidi w:val="0"/>
              <w:spacing w:before="0" w:after="283"/>
              <w:jc w:val="left"/>
              <w:rPr>
                <w:sz w:val="4"/>
                <w:szCs w:val="4"/>
              </w:rPr>
            </w:pPr>
            <w:r>
              <w:rPr>
                <w:sz w:val="4"/>
                <w:szCs w:val="4"/>
              </w:rPr>
            </w:r>
          </w:p>
        </w:tc>
        <w:tc>
          <w:tcPr>
            <w:tcW w:w="612" w:type="dxa"/>
            <w:gridSpan w:val="2"/>
            <w:tcBorders/>
            <w:vAlign w:val="center"/>
          </w:tcPr>
          <w:p>
            <w:pPr>
              <w:pStyle w:val="TableContents"/>
              <w:bidi w:val="0"/>
              <w:spacing w:before="0" w:after="283"/>
              <w:jc w:val="left"/>
              <w:rPr>
                <w:sz w:val="4"/>
                <w:szCs w:val="4"/>
              </w:rPr>
            </w:pPr>
            <w:r>
              <w:rPr>
                <w:sz w:val="4"/>
                <w:szCs w:val="4"/>
              </w:rPr>
            </w:r>
          </w:p>
        </w:tc>
        <w:tc>
          <w:tcPr>
            <w:tcW w:w="3948"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By:</w:t>
            </w:r>
          </w:p>
        </w:tc>
        <w:tc>
          <w:tcPr>
            <w:tcW w:w="181" w:type="dxa"/>
            <w:tcBorders>
              <w:bottom w:val="single" w:sz="2" w:space="0" w:color="000000"/>
            </w:tcBorders>
            <w:tcMar>
              <w:bottom w:w="28" w:type="dxa"/>
            </w:tcMar>
            <w:vAlign w:val="bottom"/>
          </w:tcPr>
          <w:p>
            <w:pPr>
              <w:pStyle w:val="TableContents"/>
              <w:bidi w:val="0"/>
              <w:spacing w:before="0" w:after="283"/>
              <w:jc w:val="left"/>
              <w:rPr/>
            </w:pPr>
            <w:r>
              <w:rPr/>
              <w:t> </w:t>
            </w:r>
          </w:p>
        </w:tc>
        <w:tc>
          <w:tcPr>
            <w:tcW w:w="4155" w:type="dxa"/>
            <w:tcBorders>
              <w:bottom w:val="single" w:sz="2" w:space="0" w:color="000000"/>
            </w:tcBorders>
            <w:tcMar>
              <w:bottom w:w="28" w:type="dxa"/>
            </w:tcMar>
          </w:tcPr>
          <w:p>
            <w:pPr>
              <w:pStyle w:val="TableContents"/>
              <w:bidi w:val="0"/>
              <w:spacing w:before="0" w:after="283"/>
              <w:jc w:val="left"/>
              <w:rPr/>
            </w:pPr>
            <w:r>
              <w:rPr/>
              <w:t>/s/ Dominik Gansloser</w:t>
            </w:r>
          </w:p>
        </w:tc>
        <w:tc>
          <w:tcPr>
            <w:tcW w:w="118"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94" w:type="dxa"/>
            <w:tcBorders/>
          </w:tcPr>
          <w:p>
            <w:pPr>
              <w:pStyle w:val="TableContents"/>
              <w:bidi w:val="0"/>
              <w:spacing w:before="0" w:after="283"/>
              <w:jc w:val="left"/>
              <w:rPr/>
            </w:pPr>
            <w:r>
              <w:rPr/>
              <w:t>By:</w:t>
            </w:r>
          </w:p>
        </w:tc>
        <w:tc>
          <w:tcPr>
            <w:tcW w:w="118" w:type="dxa"/>
            <w:tcBorders>
              <w:bottom w:val="single" w:sz="2" w:space="0" w:color="000000"/>
            </w:tcBorders>
            <w:tcMar>
              <w:bottom w:w="28" w:type="dxa"/>
            </w:tcMar>
            <w:vAlign w:val="bottom"/>
          </w:tcPr>
          <w:p>
            <w:pPr>
              <w:pStyle w:val="TableContents"/>
              <w:bidi w:val="0"/>
              <w:spacing w:before="0" w:after="283"/>
              <w:jc w:val="left"/>
              <w:rPr/>
            </w:pPr>
            <w:r>
              <w:rPr/>
              <w:t> </w:t>
            </w:r>
          </w:p>
        </w:tc>
        <w:tc>
          <w:tcPr>
            <w:tcW w:w="3830" w:type="dxa"/>
            <w:tcBorders>
              <w:bottom w:val="single" w:sz="2" w:space="0" w:color="000000"/>
            </w:tcBorders>
            <w:tcMar>
              <w:bottom w:w="28" w:type="dxa"/>
            </w:tcMar>
          </w:tcPr>
          <w:p>
            <w:pPr>
              <w:pStyle w:val="TableContents"/>
              <w:bidi w:val="0"/>
              <w:spacing w:before="0" w:after="283"/>
              <w:jc w:val="left"/>
              <w:rPr/>
            </w:pPr>
            <w:r>
              <w:rPr/>
              <w:t>/s/ Oliver Diehl</w:t>
            </w:r>
          </w:p>
        </w:tc>
      </w:tr>
      <w:tr>
        <w:trPr/>
        <w:tc>
          <w:tcPr>
            <w:tcW w:w="5218" w:type="dxa"/>
            <w:gridSpan w:val="3"/>
            <w:tcBorders/>
          </w:tcPr>
          <w:p>
            <w:pPr>
              <w:pStyle w:val="TableContents"/>
              <w:bidi w:val="0"/>
              <w:spacing w:before="0" w:after="283"/>
              <w:jc w:val="left"/>
              <w:rPr/>
            </w:pPr>
            <w:r>
              <w:rPr/>
              <w:t>Name: Dominik Gansloser</w:t>
            </w:r>
          </w:p>
        </w:tc>
        <w:tc>
          <w:tcPr>
            <w:tcW w:w="118"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442" w:type="dxa"/>
            <w:gridSpan w:val="3"/>
            <w:tcBorders/>
          </w:tcPr>
          <w:p>
            <w:pPr>
              <w:pStyle w:val="TableContents"/>
              <w:bidi w:val="0"/>
              <w:spacing w:before="0" w:after="283"/>
              <w:jc w:val="left"/>
              <w:rPr/>
            </w:pPr>
            <w:r>
              <w:rPr/>
              <w:t>Name: Oliver Diehl</w:t>
            </w:r>
          </w:p>
        </w:tc>
      </w:tr>
      <w:tr>
        <w:trPr/>
        <w:tc>
          <w:tcPr>
            <w:tcW w:w="5218" w:type="dxa"/>
            <w:gridSpan w:val="3"/>
            <w:tcBorders/>
          </w:tcPr>
          <w:p>
            <w:pPr>
              <w:pStyle w:val="TableContents"/>
              <w:bidi w:val="0"/>
              <w:spacing w:before="0" w:after="283"/>
              <w:jc w:val="left"/>
              <w:rPr/>
            </w:pPr>
            <w:r>
              <w:rPr/>
              <w:t>Title: EMEA Head of Structured Equity Solutions</w:t>
            </w:r>
          </w:p>
        </w:tc>
        <w:tc>
          <w:tcPr>
            <w:tcW w:w="118"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442" w:type="dxa"/>
            <w:gridSpan w:val="3"/>
            <w:tcBorders/>
          </w:tcPr>
          <w:p>
            <w:pPr>
              <w:pStyle w:val="TableContents"/>
              <w:bidi w:val="0"/>
              <w:spacing w:before="0" w:after="283"/>
              <w:jc w:val="left"/>
              <w:rPr/>
            </w:pPr>
            <w:r>
              <w:rPr/>
              <w:t>Title: EMEA Joint Head of ECM</w:t>
            </w:r>
          </w:p>
        </w:tc>
      </w:tr>
      <w:tr>
        <w:trPr>
          <w:trHeight w:val="240" w:hRule="atLeast"/>
        </w:trPr>
        <w:tc>
          <w:tcPr>
            <w:tcW w:w="5218" w:type="dxa"/>
            <w:gridSpan w:val="3"/>
            <w:tcBorders/>
            <w:vAlign w:val="center"/>
          </w:tcPr>
          <w:p>
            <w:pPr>
              <w:pStyle w:val="TableContents"/>
              <w:bidi w:val="0"/>
              <w:spacing w:before="0" w:after="283"/>
              <w:jc w:val="left"/>
              <w:rPr>
                <w:sz w:val="4"/>
                <w:szCs w:val="4"/>
              </w:rPr>
            </w:pPr>
            <w:r>
              <w:rPr>
                <w:sz w:val="4"/>
                <w:szCs w:val="4"/>
              </w:rPr>
            </w:r>
          </w:p>
        </w:tc>
        <w:tc>
          <w:tcPr>
            <w:tcW w:w="427" w:type="dxa"/>
            <w:gridSpan w:val="2"/>
            <w:tcBorders/>
            <w:vAlign w:val="center"/>
          </w:tcPr>
          <w:p>
            <w:pPr>
              <w:pStyle w:val="TableContents"/>
              <w:bidi w:val="0"/>
              <w:spacing w:before="0" w:after="283"/>
              <w:jc w:val="left"/>
              <w:rPr>
                <w:sz w:val="4"/>
                <w:szCs w:val="4"/>
              </w:rPr>
            </w:pPr>
            <w:r>
              <w:rPr>
                <w:sz w:val="4"/>
                <w:szCs w:val="4"/>
              </w:rPr>
            </w:r>
          </w:p>
        </w:tc>
        <w:tc>
          <w:tcPr>
            <w:tcW w:w="612" w:type="dxa"/>
            <w:gridSpan w:val="2"/>
            <w:tcBorders/>
            <w:vAlign w:val="center"/>
          </w:tcPr>
          <w:p>
            <w:pPr>
              <w:pStyle w:val="TableContents"/>
              <w:bidi w:val="0"/>
              <w:spacing w:before="0" w:after="283"/>
              <w:jc w:val="left"/>
              <w:rPr>
                <w:sz w:val="4"/>
                <w:szCs w:val="4"/>
              </w:rPr>
            </w:pPr>
            <w:r>
              <w:rPr>
                <w:sz w:val="4"/>
                <w:szCs w:val="4"/>
              </w:rPr>
            </w:r>
          </w:p>
        </w:tc>
        <w:tc>
          <w:tcPr>
            <w:tcW w:w="3948" w:type="dxa"/>
            <w:gridSpan w:val="2"/>
            <w:tcBorders/>
            <w:vAlign w:val="center"/>
          </w:tcPr>
          <w:p>
            <w:pPr>
              <w:pStyle w:val="TableContents"/>
              <w:bidi w:val="0"/>
              <w:spacing w:before="0" w:after="283"/>
              <w:jc w:val="left"/>
              <w:rPr>
                <w:sz w:val="4"/>
                <w:szCs w:val="4"/>
              </w:rPr>
            </w:pPr>
            <w:r>
              <w:rPr>
                <w:sz w:val="4"/>
                <w:szCs w:val="4"/>
              </w:rPr>
            </w:r>
          </w:p>
        </w:tc>
      </w:tr>
      <w:tr>
        <w:trPr/>
        <w:tc>
          <w:tcPr>
            <w:tcW w:w="5218" w:type="dxa"/>
            <w:gridSpan w:val="3"/>
            <w:tcBorders/>
            <w:vAlign w:val="bottom"/>
          </w:tcPr>
          <w:p>
            <w:pPr>
              <w:pStyle w:val="TableContents"/>
              <w:bidi w:val="0"/>
              <w:spacing w:before="0" w:after="283"/>
              <w:jc w:val="left"/>
              <w:rPr>
                <w:b/>
              </w:rPr>
            </w:pPr>
            <w:r>
              <w:rPr>
                <w:b/>
              </w:rPr>
              <w:t>LEERINK PARTNERS LLC</w:t>
            </w:r>
          </w:p>
        </w:tc>
        <w:tc>
          <w:tcPr>
            <w:tcW w:w="118"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830"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882" w:type="dxa"/>
            <w:tcBorders/>
            <w:vAlign w:val="center"/>
          </w:tcPr>
          <w:p>
            <w:pPr>
              <w:pStyle w:val="TableContents"/>
              <w:bidi w:val="0"/>
              <w:spacing w:before="0" w:after="283"/>
              <w:jc w:val="left"/>
              <w:rPr>
                <w:sz w:val="4"/>
                <w:szCs w:val="4"/>
              </w:rPr>
            </w:pPr>
            <w:r>
              <w:rPr>
                <w:sz w:val="4"/>
                <w:szCs w:val="4"/>
              </w:rPr>
            </w:r>
          </w:p>
        </w:tc>
        <w:tc>
          <w:tcPr>
            <w:tcW w:w="4336" w:type="dxa"/>
            <w:gridSpan w:val="2"/>
            <w:tcBorders/>
            <w:vAlign w:val="center"/>
          </w:tcPr>
          <w:p>
            <w:pPr>
              <w:pStyle w:val="TableContents"/>
              <w:bidi w:val="0"/>
              <w:spacing w:before="0" w:after="283"/>
              <w:jc w:val="left"/>
              <w:rPr>
                <w:sz w:val="4"/>
                <w:szCs w:val="4"/>
              </w:rPr>
            </w:pPr>
            <w:r>
              <w:rPr>
                <w:sz w:val="4"/>
                <w:szCs w:val="4"/>
              </w:rPr>
            </w:r>
          </w:p>
        </w:tc>
        <w:tc>
          <w:tcPr>
            <w:tcW w:w="427" w:type="dxa"/>
            <w:gridSpan w:val="2"/>
            <w:tcBorders/>
            <w:vAlign w:val="center"/>
          </w:tcPr>
          <w:p>
            <w:pPr>
              <w:pStyle w:val="TableContents"/>
              <w:bidi w:val="0"/>
              <w:spacing w:before="0" w:after="283"/>
              <w:jc w:val="left"/>
              <w:rPr>
                <w:sz w:val="4"/>
                <w:szCs w:val="4"/>
              </w:rPr>
            </w:pPr>
            <w:r>
              <w:rPr>
                <w:sz w:val="4"/>
                <w:szCs w:val="4"/>
              </w:rPr>
            </w:r>
          </w:p>
        </w:tc>
        <w:tc>
          <w:tcPr>
            <w:tcW w:w="612" w:type="dxa"/>
            <w:gridSpan w:val="2"/>
            <w:tcBorders/>
            <w:vAlign w:val="center"/>
          </w:tcPr>
          <w:p>
            <w:pPr>
              <w:pStyle w:val="TableContents"/>
              <w:bidi w:val="0"/>
              <w:spacing w:before="0" w:after="283"/>
              <w:jc w:val="left"/>
              <w:rPr>
                <w:sz w:val="4"/>
                <w:szCs w:val="4"/>
              </w:rPr>
            </w:pPr>
            <w:r>
              <w:rPr>
                <w:sz w:val="4"/>
                <w:szCs w:val="4"/>
              </w:rPr>
            </w:r>
          </w:p>
        </w:tc>
        <w:tc>
          <w:tcPr>
            <w:tcW w:w="3948"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By:</w:t>
            </w:r>
          </w:p>
        </w:tc>
        <w:tc>
          <w:tcPr>
            <w:tcW w:w="181" w:type="dxa"/>
            <w:tcBorders>
              <w:bottom w:val="single" w:sz="2" w:space="0" w:color="000000"/>
            </w:tcBorders>
            <w:tcMar>
              <w:bottom w:w="28" w:type="dxa"/>
            </w:tcMar>
            <w:vAlign w:val="bottom"/>
          </w:tcPr>
          <w:p>
            <w:pPr>
              <w:pStyle w:val="TableContents"/>
              <w:bidi w:val="0"/>
              <w:spacing w:before="0" w:after="283"/>
              <w:jc w:val="left"/>
              <w:rPr/>
            </w:pPr>
            <w:r>
              <w:rPr/>
              <w:t> </w:t>
            </w:r>
          </w:p>
        </w:tc>
        <w:tc>
          <w:tcPr>
            <w:tcW w:w="4155" w:type="dxa"/>
            <w:tcBorders>
              <w:bottom w:val="single" w:sz="2" w:space="0" w:color="000000"/>
            </w:tcBorders>
            <w:tcMar>
              <w:bottom w:w="28" w:type="dxa"/>
            </w:tcMar>
          </w:tcPr>
          <w:p>
            <w:pPr>
              <w:pStyle w:val="TableContents"/>
              <w:bidi w:val="0"/>
              <w:spacing w:before="0" w:after="283"/>
              <w:jc w:val="left"/>
              <w:rPr/>
            </w:pPr>
            <w:r>
              <w:rPr/>
              <w:t>/s/ Gabriel P. Cavazos</w:t>
            </w:r>
          </w:p>
        </w:tc>
        <w:tc>
          <w:tcPr>
            <w:tcW w:w="118"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94"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830" w:type="dxa"/>
            <w:tcBorders/>
          </w:tcPr>
          <w:p>
            <w:pPr>
              <w:pStyle w:val="TableContents"/>
              <w:bidi w:val="0"/>
              <w:spacing w:before="0" w:after="283"/>
              <w:jc w:val="left"/>
              <w:rPr>
                <w:sz w:val="4"/>
                <w:szCs w:val="4"/>
              </w:rPr>
            </w:pPr>
            <w:r>
              <w:rPr>
                <w:sz w:val="4"/>
                <w:szCs w:val="4"/>
              </w:rPr>
            </w:r>
          </w:p>
        </w:tc>
      </w:tr>
      <w:tr>
        <w:trPr/>
        <w:tc>
          <w:tcPr>
            <w:tcW w:w="5218" w:type="dxa"/>
            <w:gridSpan w:val="3"/>
            <w:tcBorders/>
            <w:vAlign w:val="bottom"/>
          </w:tcPr>
          <w:p>
            <w:pPr>
              <w:pStyle w:val="TableContents"/>
              <w:bidi w:val="0"/>
              <w:spacing w:before="0" w:after="283"/>
              <w:jc w:val="left"/>
              <w:rPr/>
            </w:pPr>
            <w:r>
              <w:rPr/>
              <w:t>Name: Gabriel P. Cavazos</w:t>
            </w:r>
          </w:p>
        </w:tc>
        <w:tc>
          <w:tcPr>
            <w:tcW w:w="118"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830" w:type="dxa"/>
            <w:tcBorders/>
            <w:vAlign w:val="bottom"/>
          </w:tcPr>
          <w:p>
            <w:pPr>
              <w:pStyle w:val="TableContents"/>
              <w:bidi w:val="0"/>
              <w:spacing w:before="0" w:after="283"/>
              <w:jc w:val="left"/>
              <w:rPr>
                <w:sz w:val="4"/>
                <w:szCs w:val="4"/>
              </w:rPr>
            </w:pPr>
            <w:r>
              <w:rPr>
                <w:sz w:val="4"/>
                <w:szCs w:val="4"/>
              </w:rPr>
            </w:r>
          </w:p>
        </w:tc>
      </w:tr>
      <w:tr>
        <w:trPr/>
        <w:tc>
          <w:tcPr>
            <w:tcW w:w="5218" w:type="dxa"/>
            <w:gridSpan w:val="3"/>
            <w:tcBorders/>
            <w:vAlign w:val="bottom"/>
          </w:tcPr>
          <w:p>
            <w:pPr>
              <w:pStyle w:val="TableContents"/>
              <w:bidi w:val="0"/>
              <w:spacing w:before="0" w:after="283"/>
              <w:jc w:val="left"/>
              <w:rPr/>
            </w:pPr>
            <w:r>
              <w:rPr/>
              <w:t>Title: Senior Managing Director Investment Banking, Biopharma</w:t>
            </w:r>
          </w:p>
        </w:tc>
        <w:tc>
          <w:tcPr>
            <w:tcW w:w="118"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830"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5218" w:type="dxa"/>
            <w:gridSpan w:val="3"/>
            <w:tcBorders/>
            <w:vAlign w:val="center"/>
          </w:tcPr>
          <w:p>
            <w:pPr>
              <w:pStyle w:val="TableContents"/>
              <w:bidi w:val="0"/>
              <w:spacing w:before="0" w:after="283"/>
              <w:jc w:val="left"/>
              <w:rPr>
                <w:sz w:val="4"/>
                <w:szCs w:val="4"/>
              </w:rPr>
            </w:pPr>
            <w:r>
              <w:rPr>
                <w:sz w:val="4"/>
                <w:szCs w:val="4"/>
              </w:rPr>
            </w:r>
          </w:p>
        </w:tc>
        <w:tc>
          <w:tcPr>
            <w:tcW w:w="427" w:type="dxa"/>
            <w:gridSpan w:val="2"/>
            <w:tcBorders/>
            <w:vAlign w:val="center"/>
          </w:tcPr>
          <w:p>
            <w:pPr>
              <w:pStyle w:val="TableContents"/>
              <w:bidi w:val="0"/>
              <w:spacing w:before="0" w:after="283"/>
              <w:jc w:val="left"/>
              <w:rPr>
                <w:sz w:val="4"/>
                <w:szCs w:val="4"/>
              </w:rPr>
            </w:pPr>
            <w:r>
              <w:rPr>
                <w:sz w:val="4"/>
                <w:szCs w:val="4"/>
              </w:rPr>
            </w:r>
          </w:p>
        </w:tc>
        <w:tc>
          <w:tcPr>
            <w:tcW w:w="612" w:type="dxa"/>
            <w:gridSpan w:val="2"/>
            <w:tcBorders/>
            <w:vAlign w:val="center"/>
          </w:tcPr>
          <w:p>
            <w:pPr>
              <w:pStyle w:val="TableContents"/>
              <w:bidi w:val="0"/>
              <w:spacing w:before="0" w:after="283"/>
              <w:jc w:val="left"/>
              <w:rPr>
                <w:sz w:val="4"/>
                <w:szCs w:val="4"/>
              </w:rPr>
            </w:pPr>
            <w:r>
              <w:rPr>
                <w:sz w:val="4"/>
                <w:szCs w:val="4"/>
              </w:rPr>
            </w:r>
          </w:p>
        </w:tc>
        <w:tc>
          <w:tcPr>
            <w:tcW w:w="3948" w:type="dxa"/>
            <w:gridSpan w:val="2"/>
            <w:tcBorders/>
            <w:vAlign w:val="center"/>
          </w:tcPr>
          <w:p>
            <w:pPr>
              <w:pStyle w:val="TableContents"/>
              <w:bidi w:val="0"/>
              <w:spacing w:before="0" w:after="283"/>
              <w:jc w:val="left"/>
              <w:rPr>
                <w:sz w:val="4"/>
                <w:szCs w:val="4"/>
              </w:rPr>
            </w:pPr>
            <w:r>
              <w:rPr>
                <w:sz w:val="4"/>
                <w:szCs w:val="4"/>
              </w:rPr>
            </w:r>
          </w:p>
        </w:tc>
      </w:tr>
      <w:tr>
        <w:trPr/>
        <w:tc>
          <w:tcPr>
            <w:tcW w:w="5218" w:type="dxa"/>
            <w:gridSpan w:val="3"/>
            <w:tcBorders/>
            <w:vAlign w:val="bottom"/>
          </w:tcPr>
          <w:p>
            <w:pPr>
              <w:pStyle w:val="TableContents"/>
              <w:bidi w:val="0"/>
              <w:spacing w:before="0" w:after="283"/>
              <w:jc w:val="left"/>
              <w:rPr>
                <w:b/>
              </w:rPr>
            </w:pPr>
            <w:r>
              <w:rPr>
                <w:b/>
              </w:rPr>
              <w:t>CANTOR FITZGERALD &amp; CO.</w:t>
            </w:r>
          </w:p>
        </w:tc>
        <w:tc>
          <w:tcPr>
            <w:tcW w:w="118"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830"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882" w:type="dxa"/>
            <w:tcBorders/>
            <w:vAlign w:val="center"/>
          </w:tcPr>
          <w:p>
            <w:pPr>
              <w:pStyle w:val="TableContents"/>
              <w:bidi w:val="0"/>
              <w:spacing w:before="0" w:after="283"/>
              <w:jc w:val="left"/>
              <w:rPr>
                <w:sz w:val="4"/>
                <w:szCs w:val="4"/>
              </w:rPr>
            </w:pPr>
            <w:r>
              <w:rPr>
                <w:sz w:val="4"/>
                <w:szCs w:val="4"/>
              </w:rPr>
            </w:r>
          </w:p>
        </w:tc>
        <w:tc>
          <w:tcPr>
            <w:tcW w:w="4336" w:type="dxa"/>
            <w:gridSpan w:val="2"/>
            <w:tcBorders/>
            <w:vAlign w:val="center"/>
          </w:tcPr>
          <w:p>
            <w:pPr>
              <w:pStyle w:val="TableContents"/>
              <w:bidi w:val="0"/>
              <w:spacing w:before="0" w:after="283"/>
              <w:jc w:val="left"/>
              <w:rPr>
                <w:sz w:val="4"/>
                <w:szCs w:val="4"/>
              </w:rPr>
            </w:pPr>
            <w:r>
              <w:rPr>
                <w:sz w:val="4"/>
                <w:szCs w:val="4"/>
              </w:rPr>
            </w:r>
          </w:p>
        </w:tc>
        <w:tc>
          <w:tcPr>
            <w:tcW w:w="427" w:type="dxa"/>
            <w:gridSpan w:val="2"/>
            <w:tcBorders/>
            <w:vAlign w:val="center"/>
          </w:tcPr>
          <w:p>
            <w:pPr>
              <w:pStyle w:val="TableContents"/>
              <w:bidi w:val="0"/>
              <w:spacing w:before="0" w:after="283"/>
              <w:jc w:val="left"/>
              <w:rPr>
                <w:sz w:val="4"/>
                <w:szCs w:val="4"/>
              </w:rPr>
            </w:pPr>
            <w:r>
              <w:rPr>
                <w:sz w:val="4"/>
                <w:szCs w:val="4"/>
              </w:rPr>
            </w:r>
          </w:p>
        </w:tc>
        <w:tc>
          <w:tcPr>
            <w:tcW w:w="612" w:type="dxa"/>
            <w:gridSpan w:val="2"/>
            <w:tcBorders/>
            <w:vAlign w:val="center"/>
          </w:tcPr>
          <w:p>
            <w:pPr>
              <w:pStyle w:val="TableContents"/>
              <w:bidi w:val="0"/>
              <w:spacing w:before="0" w:after="283"/>
              <w:jc w:val="left"/>
              <w:rPr>
                <w:sz w:val="4"/>
                <w:szCs w:val="4"/>
              </w:rPr>
            </w:pPr>
            <w:r>
              <w:rPr>
                <w:sz w:val="4"/>
                <w:szCs w:val="4"/>
              </w:rPr>
            </w:r>
          </w:p>
        </w:tc>
        <w:tc>
          <w:tcPr>
            <w:tcW w:w="3948" w:type="dxa"/>
            <w:gridSpan w:val="2"/>
            <w:tcBorders/>
            <w:vAlign w:val="center"/>
          </w:tcPr>
          <w:p>
            <w:pPr>
              <w:pStyle w:val="TableContents"/>
              <w:bidi w:val="0"/>
              <w:spacing w:before="0" w:after="283"/>
              <w:jc w:val="left"/>
              <w:rPr>
                <w:sz w:val="4"/>
                <w:szCs w:val="4"/>
              </w:rPr>
            </w:pPr>
            <w:r>
              <w:rPr>
                <w:sz w:val="4"/>
                <w:szCs w:val="4"/>
              </w:rPr>
            </w:r>
          </w:p>
        </w:tc>
      </w:tr>
      <w:tr>
        <w:trPr/>
        <w:tc>
          <w:tcPr>
            <w:tcW w:w="882" w:type="dxa"/>
            <w:tcBorders/>
          </w:tcPr>
          <w:p>
            <w:pPr>
              <w:pStyle w:val="TableContents"/>
              <w:bidi w:val="0"/>
              <w:spacing w:before="0" w:after="283"/>
              <w:jc w:val="left"/>
              <w:rPr/>
            </w:pPr>
            <w:r>
              <w:rPr/>
              <w:t>By:</w:t>
            </w:r>
          </w:p>
        </w:tc>
        <w:tc>
          <w:tcPr>
            <w:tcW w:w="181" w:type="dxa"/>
            <w:tcBorders>
              <w:bottom w:val="single" w:sz="2" w:space="0" w:color="000000"/>
            </w:tcBorders>
            <w:tcMar>
              <w:bottom w:w="28" w:type="dxa"/>
            </w:tcMar>
            <w:vAlign w:val="bottom"/>
          </w:tcPr>
          <w:p>
            <w:pPr>
              <w:pStyle w:val="TableContents"/>
              <w:bidi w:val="0"/>
              <w:spacing w:before="0" w:after="283"/>
              <w:jc w:val="left"/>
              <w:rPr/>
            </w:pPr>
            <w:r>
              <w:rPr/>
              <w:t> </w:t>
            </w:r>
          </w:p>
        </w:tc>
        <w:tc>
          <w:tcPr>
            <w:tcW w:w="4155" w:type="dxa"/>
            <w:tcBorders>
              <w:bottom w:val="single" w:sz="2" w:space="0" w:color="000000"/>
            </w:tcBorders>
            <w:tcMar>
              <w:bottom w:w="28" w:type="dxa"/>
            </w:tcMar>
          </w:tcPr>
          <w:p>
            <w:pPr>
              <w:pStyle w:val="TableContents"/>
              <w:bidi w:val="0"/>
              <w:spacing w:before="0" w:after="283"/>
              <w:jc w:val="left"/>
              <w:rPr/>
            </w:pPr>
            <w:r>
              <w:rPr/>
              <w:t>/s/ Asif Ahmed</w:t>
            </w:r>
          </w:p>
        </w:tc>
        <w:tc>
          <w:tcPr>
            <w:tcW w:w="118" w:type="dxa"/>
            <w:tcBorders/>
            <w:vAlign w:val="bottom"/>
          </w:tcPr>
          <w:p>
            <w:pPr>
              <w:pStyle w:val="TableContents"/>
              <w:bidi w:val="0"/>
              <w:spacing w:before="0" w:after="283"/>
              <w:jc w:val="left"/>
              <w:rPr/>
            </w:pPr>
            <w:r>
              <w:rPr/>
              <w:t> </w:t>
            </w:r>
          </w:p>
        </w:tc>
        <w:tc>
          <w:tcPr>
            <w:tcW w:w="30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94"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830" w:type="dxa"/>
            <w:tcBorders/>
          </w:tcPr>
          <w:p>
            <w:pPr>
              <w:pStyle w:val="TableContents"/>
              <w:bidi w:val="0"/>
              <w:spacing w:before="0" w:after="283"/>
              <w:jc w:val="left"/>
              <w:rPr>
                <w:sz w:val="4"/>
                <w:szCs w:val="4"/>
              </w:rPr>
            </w:pPr>
            <w:r>
              <w:rPr>
                <w:sz w:val="4"/>
                <w:szCs w:val="4"/>
              </w:rPr>
            </w:r>
          </w:p>
        </w:tc>
      </w:tr>
      <w:tr>
        <w:trPr/>
        <w:tc>
          <w:tcPr>
            <w:tcW w:w="5218" w:type="dxa"/>
            <w:gridSpan w:val="3"/>
            <w:tcBorders/>
            <w:vAlign w:val="bottom"/>
          </w:tcPr>
          <w:p>
            <w:pPr>
              <w:pStyle w:val="TableContents"/>
              <w:bidi w:val="0"/>
              <w:spacing w:before="0" w:after="283"/>
              <w:jc w:val="left"/>
              <w:rPr/>
            </w:pPr>
            <w:r>
              <w:rPr/>
              <w:t>Name: Asif Ahmed</w:t>
            </w:r>
          </w:p>
        </w:tc>
        <w:tc>
          <w:tcPr>
            <w:tcW w:w="118"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830" w:type="dxa"/>
            <w:tcBorders/>
            <w:vAlign w:val="bottom"/>
          </w:tcPr>
          <w:p>
            <w:pPr>
              <w:pStyle w:val="TableContents"/>
              <w:bidi w:val="0"/>
              <w:spacing w:before="0" w:after="283"/>
              <w:jc w:val="left"/>
              <w:rPr>
                <w:sz w:val="4"/>
                <w:szCs w:val="4"/>
              </w:rPr>
            </w:pPr>
            <w:r>
              <w:rPr>
                <w:sz w:val="4"/>
                <w:szCs w:val="4"/>
              </w:rPr>
            </w:r>
          </w:p>
        </w:tc>
      </w:tr>
      <w:tr>
        <w:trPr/>
        <w:tc>
          <w:tcPr>
            <w:tcW w:w="5218" w:type="dxa"/>
            <w:gridSpan w:val="3"/>
            <w:tcBorders/>
            <w:vAlign w:val="bottom"/>
          </w:tcPr>
          <w:p>
            <w:pPr>
              <w:pStyle w:val="TableContents"/>
              <w:bidi w:val="0"/>
              <w:spacing w:before="0" w:after="283"/>
              <w:jc w:val="left"/>
              <w:rPr/>
            </w:pPr>
            <w:r>
              <w:rPr/>
              <w:t>Title: Managing Director, Co-Head of Equity Capital Markets</w:t>
            </w:r>
          </w:p>
        </w:tc>
        <w:tc>
          <w:tcPr>
            <w:tcW w:w="118"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383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55"/>
        <w:gridCol w:w="147"/>
        <w:gridCol w:w="60"/>
        <w:gridCol w:w="1142"/>
        <w:gridCol w:w="60"/>
        <w:gridCol w:w="147"/>
        <w:gridCol w:w="72"/>
        <w:gridCol w:w="1206"/>
        <w:gridCol w:w="60"/>
        <w:gridCol w:w="147"/>
        <w:gridCol w:w="70"/>
        <w:gridCol w:w="1176"/>
        <w:gridCol w:w="63"/>
      </w:tblGrid>
      <w:tr>
        <w:trPr/>
        <w:tc>
          <w:tcPr>
            <w:tcW w:w="585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8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147" w:type="dxa"/>
            <w:tcBorders/>
            <w:vAlign w:val="bottom"/>
          </w:tcPr>
          <w:p>
            <w:pPr>
              <w:pStyle w:val="TableContents"/>
              <w:bidi w:val="0"/>
              <w:spacing w:before="0" w:after="283"/>
              <w:jc w:val="left"/>
              <w:rPr/>
            </w:pPr>
            <w:r>
              <w:rPr/>
              <w:t>  </w:t>
            </w:r>
          </w:p>
        </w:tc>
        <w:tc>
          <w:tcPr>
            <w:tcW w:w="1202"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br/>
              <w:t>Firm</w:t>
            </w:r>
            <w:r>
              <w:rPr/>
              <w:br/>
            </w:r>
            <w:r>
              <w:rPr>
                <w:b/>
              </w:rPr>
              <w:t>Shares</w:t>
            </w:r>
            <w:r>
              <w:rPr/>
              <w:br/>
            </w:r>
            <w:r>
              <w:rPr>
                <w:b/>
              </w:rPr>
              <w:t>to be</w:t>
              <w:br/>
              <w:t>Purchased</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Pre-Funded</w:t>
              <w:br/>
              <w:t>Warrants to</w:t>
              <w:br/>
              <w:t>be</w:t>
              <w:br/>
              <w:t>Purchased</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2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w:t>
              <w:br/>
              <w:t>Number of</w:t>
              <w:br/>
              <w:t>Optional</w:t>
              <w:br/>
              <w:t>Shares</w:t>
              <w:br/>
              <w:t>Which May</w:t>
              <w:br/>
              <w:t>be</w:t>
              <w:br/>
              <w:t>Purchased</w:t>
            </w:r>
          </w:p>
        </w:tc>
        <w:tc>
          <w:tcPr>
            <w:tcW w:w="63" w:type="dxa"/>
            <w:tcBorders/>
            <w:vAlign w:val="bottom"/>
          </w:tcPr>
          <w:p>
            <w:pPr>
              <w:pStyle w:val="TableContents"/>
              <w:bidi w:val="0"/>
              <w:spacing w:before="0" w:after="283"/>
              <w:jc w:val="left"/>
              <w:rPr/>
            </w:pPr>
            <w:r>
              <w:rPr/>
              <w:t> </w:t>
            </w:r>
          </w:p>
        </w:tc>
      </w:tr>
      <w:tr>
        <w:trPr/>
        <w:tc>
          <w:tcPr>
            <w:tcW w:w="5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5,113,637</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1,704,545</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1,022,728</w:t>
            </w:r>
          </w:p>
        </w:tc>
        <w:tc>
          <w:tcPr>
            <w:tcW w:w="63" w:type="dxa"/>
            <w:tcBorders/>
            <w:shd w:fill="CCEEFF" w:val="clear"/>
            <w:vAlign w:val="bottom"/>
          </w:tcPr>
          <w:p>
            <w:pPr>
              <w:pStyle w:val="TableContents"/>
              <w:bidi w:val="0"/>
              <w:spacing w:before="0" w:after="283"/>
              <w:jc w:val="left"/>
              <w:rPr/>
            </w:pPr>
            <w:r>
              <w:rPr/>
              <w:t> </w:t>
            </w:r>
          </w:p>
        </w:tc>
      </w:tr>
      <w:tr>
        <w:trPr/>
        <w:tc>
          <w:tcPr>
            <w:tcW w:w="5855" w:type="dxa"/>
            <w:tcBorders/>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pPr>
            <w:r>
              <w:rPr/>
              <w:t>4,595,800</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pPr>
            <w:r>
              <w:rPr/>
              <w:t>1,531,933</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919,160</w:t>
            </w:r>
          </w:p>
        </w:tc>
        <w:tc>
          <w:tcPr>
            <w:tcW w:w="63" w:type="dxa"/>
            <w:tcBorders/>
            <w:vAlign w:val="bottom"/>
          </w:tcPr>
          <w:p>
            <w:pPr>
              <w:pStyle w:val="TableContents"/>
              <w:bidi w:val="0"/>
              <w:spacing w:before="0" w:after="283"/>
              <w:jc w:val="left"/>
              <w:rPr/>
            </w:pPr>
            <w:r>
              <w:rPr/>
              <w:t> </w:t>
            </w:r>
          </w:p>
        </w:tc>
      </w:tr>
      <w:tr>
        <w:trPr/>
        <w:tc>
          <w:tcPr>
            <w:tcW w:w="58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Cantor Fitzgerald &amp; Co.</w:t>
            </w:r>
          </w:p>
        </w:tc>
        <w:tc>
          <w:tcPr>
            <w:tcW w:w="14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3,236,479</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06" w:type="dxa"/>
            <w:tcBorders/>
            <w:shd w:fill="CCEEFF" w:val="clear"/>
            <w:vAlign w:val="bottom"/>
          </w:tcPr>
          <w:p>
            <w:pPr>
              <w:pStyle w:val="TableContents"/>
              <w:bidi w:val="0"/>
              <w:spacing w:before="0" w:after="283"/>
              <w:jc w:val="right"/>
              <w:rPr/>
            </w:pPr>
            <w:r>
              <w:rPr/>
              <w:t>1,078,826</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647,296</w:t>
            </w:r>
          </w:p>
        </w:tc>
        <w:tc>
          <w:tcPr>
            <w:tcW w:w="63" w:type="dxa"/>
            <w:tcBorders/>
            <w:shd w:fill="CCEEFF" w:val="clear"/>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4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12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8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2" w:type="dxa"/>
            <w:tcBorders/>
            <w:vAlign w:val="bottom"/>
          </w:tcPr>
          <w:p>
            <w:pPr>
              <w:pStyle w:val="TableContents"/>
              <w:bidi w:val="0"/>
              <w:spacing w:before="0" w:after="283"/>
              <w:jc w:val="right"/>
              <w:rPr>
                <w:b/>
              </w:rPr>
            </w:pPr>
            <w:r>
              <w:rPr>
                <w:b/>
              </w:rPr>
              <w:t>12,945,916</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06" w:type="dxa"/>
            <w:tcBorders/>
            <w:vAlign w:val="bottom"/>
          </w:tcPr>
          <w:p>
            <w:pPr>
              <w:pStyle w:val="TableContents"/>
              <w:bidi w:val="0"/>
              <w:spacing w:before="0" w:after="283"/>
              <w:jc w:val="right"/>
              <w:rPr>
                <w:b/>
              </w:rPr>
            </w:pPr>
            <w:r>
              <w:rPr>
                <w:b/>
              </w:rPr>
              <w:t>4,315,304</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b/>
              </w:rPr>
            </w:pPr>
            <w:r>
              <w:rPr>
                <w:b/>
              </w:rPr>
              <w:t>2,589,184</w:t>
            </w:r>
          </w:p>
        </w:tc>
        <w:tc>
          <w:tcPr>
            <w:tcW w:w="63" w:type="dxa"/>
            <w:tcBorders/>
            <w:vAlign w:val="bottom"/>
          </w:tcPr>
          <w:p>
            <w:pPr>
              <w:pStyle w:val="TableContents"/>
              <w:bidi w:val="0"/>
              <w:spacing w:before="0" w:after="283"/>
              <w:jc w:val="left"/>
              <w:rPr/>
            </w:pPr>
            <w:r>
              <w:rPr/>
              <w:t> </w:t>
            </w:r>
          </w:p>
        </w:tc>
      </w:tr>
      <w:tr>
        <w:trPr/>
        <w:tc>
          <w:tcPr>
            <w:tcW w:w="5855"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4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12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117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 </w:t>
      </w:r>
    </w:p>
    <w:p>
      <w:pPr>
        <w:pStyle w:val="TextBody"/>
        <w:bidi w:val="0"/>
        <w:spacing w:before="240" w:after="0"/>
        <w:jc w:val="left"/>
        <w:rPr>
          <w:rFonts w:ascii="Times New Roman" w:hAnsi="Times New Roman"/>
          <w:sz w:val="20"/>
        </w:rPr>
      </w:pPr>
      <w:r>
        <w:rPr>
          <w:rFonts w:ascii="Times New Roman" w:hAnsi="Times New Roman"/>
          <w:sz w:val="20"/>
        </w:rPr>
        <w:t xml:space="preserve">(a) Issuer Free Writing Prospectuses: </w:t>
      </w:r>
    </w:p>
    <w:p>
      <w:pPr>
        <w:pStyle w:val="TextBody"/>
        <w:bidi w:val="0"/>
        <w:spacing w:before="120" w:after="0"/>
        <w:jc w:val="left"/>
        <w:rPr>
          <w:rFonts w:ascii="Times New Roman" w:hAnsi="Times New Roman"/>
          <w:sz w:val="20"/>
        </w:rPr>
      </w:pPr>
      <w:r>
        <w:rPr>
          <w:rFonts w:ascii="Times New Roman" w:hAnsi="Times New Roman"/>
          <w:sz w:val="20"/>
        </w:rPr>
        <w:t xml:space="preserve">Free Writing Prospectus, dated August 20, 2026. </w:t>
      </w:r>
    </w:p>
    <w:p>
      <w:pPr>
        <w:pStyle w:val="TextBody"/>
        <w:bidi w:val="0"/>
        <w:spacing w:before="240" w:after="0"/>
        <w:jc w:val="left"/>
        <w:rPr>
          <w:rFonts w:ascii="Times New Roman" w:hAnsi="Times New Roman"/>
          <w:sz w:val="20"/>
        </w:rPr>
      </w:pPr>
      <w:r>
        <w:rPr>
          <w:rFonts w:ascii="Times New Roman" w:hAnsi="Times New Roman"/>
          <w:sz w:val="20"/>
        </w:rPr>
        <w:t xml:space="preserve">(b) Additional Documents Incorporated by Reference: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240" w:after="0"/>
        <w:jc w:val="left"/>
        <w:rPr>
          <w:rFonts w:ascii="Times New Roman" w:hAnsi="Times New Roman"/>
          <w:sz w:val="20"/>
        </w:rPr>
      </w:pPr>
      <w:r>
        <w:rPr>
          <w:rFonts w:ascii="Times New Roman" w:hAnsi="Times New Roman"/>
          <w:sz w:val="20"/>
        </w:rPr>
        <w:t xml:space="preserve">(c) Information other than the Pricing Prospectus that comprise the Pricing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The initial offering price per share for the Shares is $8.69. </w:t>
      </w:r>
    </w:p>
    <w:p>
      <w:pPr>
        <w:pStyle w:val="TextBody"/>
        <w:bidi w:val="0"/>
        <w:spacing w:before="120" w:after="0"/>
        <w:jc w:val="left"/>
        <w:rPr>
          <w:rFonts w:ascii="Times New Roman" w:hAnsi="Times New Roman"/>
          <w:sz w:val="20"/>
        </w:rPr>
      </w:pPr>
      <w:r>
        <w:rPr>
          <w:rFonts w:ascii="Times New Roman" w:hAnsi="Times New Roman"/>
          <w:sz w:val="20"/>
        </w:rPr>
        <w:t xml:space="preserve">The initial offering price per Pre-Funded Warrant is $8.689.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per Pre-Funded Warrant is $0.001. </w:t>
      </w:r>
    </w:p>
    <w:p>
      <w:pPr>
        <w:pStyle w:val="TextBody"/>
        <w:bidi w:val="0"/>
        <w:spacing w:before="120" w:after="0"/>
        <w:jc w:val="left"/>
        <w:rPr>
          <w:rFonts w:ascii="Times New Roman" w:hAnsi="Times New Roman"/>
          <w:sz w:val="20"/>
        </w:rPr>
      </w:pPr>
      <w:r>
        <w:rPr>
          <w:rFonts w:ascii="Times New Roman" w:hAnsi="Times New Roman"/>
          <w:sz w:val="20"/>
        </w:rPr>
        <w:t xml:space="preserve">The number of Firm Shares purchased by the Underwriters is 12,945,916. </w:t>
      </w:r>
    </w:p>
    <w:p>
      <w:pPr>
        <w:pStyle w:val="TextBody"/>
        <w:bidi w:val="0"/>
        <w:spacing w:before="120" w:after="0"/>
        <w:jc w:val="left"/>
        <w:rPr>
          <w:rFonts w:ascii="Times New Roman" w:hAnsi="Times New Roman"/>
          <w:sz w:val="20"/>
        </w:rPr>
      </w:pPr>
      <w:r>
        <w:rPr>
          <w:rFonts w:ascii="Times New Roman" w:hAnsi="Times New Roman"/>
          <w:sz w:val="20"/>
        </w:rPr>
        <w:t xml:space="preserve">The number of Optional Shares that may be purchased by the Underwriters is 2,589,184. </w:t>
      </w:r>
    </w:p>
    <w:p>
      <w:pPr>
        <w:pStyle w:val="TextBody"/>
        <w:bidi w:val="0"/>
        <w:spacing w:before="120" w:after="0"/>
        <w:jc w:val="left"/>
        <w:rPr>
          <w:rFonts w:ascii="Times New Roman" w:hAnsi="Times New Roman"/>
          <w:sz w:val="20"/>
        </w:rPr>
      </w:pPr>
      <w:r>
        <w:rPr>
          <w:rFonts w:ascii="Times New Roman" w:hAnsi="Times New Roman"/>
          <w:sz w:val="20"/>
        </w:rPr>
        <w:t xml:space="preserve">The number of Ordinary Shares to be purchased upon exercise of the Pre-Funded Warrants is 4,315,304. </w:t>
      </w:r>
    </w:p>
    <w:p>
      <w:pPr>
        <w:pStyle w:val="TextBody"/>
        <w:bidi w:val="0"/>
        <w:spacing w:before="120" w:after="0"/>
        <w:jc w:val="left"/>
        <w:rPr>
          <w:rFonts w:ascii="Times New Roman" w:hAnsi="Times New Roman"/>
          <w:sz w:val="20"/>
        </w:rPr>
      </w:pPr>
      <w:r>
        <w:rPr>
          <w:rFonts w:ascii="Times New Roman" w:hAnsi="Times New Roman"/>
          <w:sz w:val="20"/>
        </w:rPr>
        <w:t xml:space="preserve">Free Writing Prospectus, previously sent on August 20, 2026 containing preliminary terms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(d) Written Testing-the-Waters Communications: </w:t>
      </w:r>
    </w:p>
    <w:p>
      <w:pPr>
        <w:pStyle w:val="TextBody"/>
        <w:bidi w:val="0"/>
        <w:spacing w:before="120" w:after="0"/>
        <w:jc w:val="left"/>
        <w:rPr>
          <w:rFonts w:ascii="Times New Roman" w:hAnsi="Times New Roman"/>
          <w:sz w:val="20"/>
        </w:rPr>
      </w:pPr>
      <w:r>
        <w:rPr>
          <w:rFonts w:ascii="Times New Roman" w:hAnsi="Times New Roman"/>
          <w:sz w:val="20"/>
        </w:rPr>
        <w:t xml:space="preserve">Form of Pre-Funded Warrant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III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Harpreet Singh, Ph.D.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Venkat Ramanan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3.</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Cedrik Britten, M.D.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Carsten Reinhardt, M.D., Ph.D.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Toni Weinschenk, Ph.D.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Rainer Kramer, Ph.D.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7.</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Steffen Walter, Ph.D.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Jim Pepin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Jordan Silverstein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Amie Krause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Peter Chambré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Michael G. Atieh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Paul R. Carter, FCMA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Eliot Forster, Ph.D.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Heather L. Mason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Adam Stone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Mathias Hothum, Ph.D.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Alise Reicin, M.D.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I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 2026 </w:t>
      </w:r>
    </w:p>
    <w:p>
      <w:pPr>
        <w:pStyle w:val="TextBody"/>
        <w:bidi w:val="0"/>
        <w:spacing w:before="240" w:after="0"/>
        <w:jc w:val="left"/>
        <w:rPr>
          <w:rFonts w:ascii="Times New Roman" w:hAnsi="Times New Roman"/>
          <w:sz w:val="20"/>
        </w:rPr>
      </w:pPr>
      <w:r>
        <w:rPr>
          <w:rFonts w:ascii="Times New Roman" w:hAnsi="Times New Roman"/>
          <w:sz w:val="20"/>
        </w:rPr>
        <w:t xml:space="preserve">Jefferies LLC </w:t>
      </w:r>
    </w:p>
    <w:p>
      <w:pPr>
        <w:pStyle w:val="TextBody"/>
        <w:bidi w:val="0"/>
        <w:spacing w:before="0" w:after="0"/>
        <w:jc w:val="left"/>
        <w:rPr>
          <w:rFonts w:ascii="Times New Roman" w:hAnsi="Times New Roman"/>
          <w:sz w:val="20"/>
        </w:rPr>
      </w:pPr>
      <w:r>
        <w:rPr>
          <w:rFonts w:ascii="Times New Roman" w:hAnsi="Times New Roman"/>
          <w:sz w:val="20"/>
        </w:rPr>
        <w:t xml:space="preserve">520 Madison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240" w:after="0"/>
        <w:jc w:val="left"/>
        <w:rPr>
          <w:rFonts w:ascii="Times New Roman" w:hAnsi="Times New Roman"/>
          <w:sz w:val="20"/>
        </w:rPr>
      </w:pPr>
      <w:r>
        <w:rPr>
          <w:rFonts w:ascii="Times New Roman" w:hAnsi="Times New Roman"/>
          <w:sz w:val="20"/>
        </w:rPr>
        <w:t xml:space="preserve">Jefferies GmbH </w:t>
      </w:r>
    </w:p>
    <w:p>
      <w:pPr>
        <w:pStyle w:val="TextBody"/>
        <w:bidi w:val="0"/>
        <w:spacing w:before="0" w:after="0"/>
        <w:jc w:val="left"/>
        <w:rPr>
          <w:rFonts w:ascii="Times New Roman" w:hAnsi="Times New Roman"/>
          <w:sz w:val="20"/>
        </w:rPr>
      </w:pPr>
      <w:r>
        <w:rPr>
          <w:rFonts w:ascii="Times New Roman" w:hAnsi="Times New Roman"/>
          <w:sz w:val="20"/>
        </w:rPr>
        <w:t xml:space="preserve">Bockenheimer Landstr. 24 </w:t>
      </w:r>
    </w:p>
    <w:p>
      <w:pPr>
        <w:pStyle w:val="TextBody"/>
        <w:bidi w:val="0"/>
        <w:spacing w:before="0" w:after="0"/>
        <w:jc w:val="left"/>
        <w:rPr>
          <w:rFonts w:ascii="Times New Roman" w:hAnsi="Times New Roman"/>
          <w:sz w:val="20"/>
        </w:rPr>
      </w:pPr>
      <w:r>
        <w:rPr>
          <w:rFonts w:ascii="Times New Roman" w:hAnsi="Times New Roman"/>
          <w:sz w:val="20"/>
        </w:rPr>
        <w:t xml:space="preserve">60323 Frankfurt am Main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10019 </w:t>
      </w:r>
    </w:p>
    <w:p>
      <w:pPr>
        <w:pStyle w:val="TextBody"/>
        <w:bidi w:val="0"/>
        <w:spacing w:before="240" w:after="0"/>
        <w:jc w:val="left"/>
        <w:rPr>
          <w:rFonts w:ascii="Times New Roman" w:hAnsi="Times New Roman"/>
          <w:sz w:val="20"/>
        </w:rPr>
      </w:pPr>
      <w:r>
        <w:rPr>
          <w:rFonts w:ascii="Times New Roman" w:hAnsi="Times New Roman"/>
          <w:sz w:val="20"/>
        </w:rPr>
        <w:t xml:space="preserve">Cantor Fitzgerald &amp; Co. </w:t>
      </w:r>
    </w:p>
    <w:p>
      <w:pPr>
        <w:pStyle w:val="TextBody"/>
        <w:bidi w:val="0"/>
        <w:spacing w:before="0" w:after="0"/>
        <w:jc w:val="left"/>
        <w:rPr>
          <w:rFonts w:ascii="Times New Roman" w:hAnsi="Times New Roman"/>
          <w:sz w:val="20"/>
        </w:rPr>
      </w:pPr>
      <w:r>
        <w:rPr>
          <w:rFonts w:ascii="Times New Roman" w:hAnsi="Times New Roman"/>
          <w:sz w:val="20"/>
        </w:rPr>
        <w:t xml:space="preserve">110 East 59th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Immatics N.V. - Lock-Up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understands that you, as representatives (the “</w:t>
      </w:r>
      <w:r>
        <w:rPr>
          <w:rFonts w:ascii="Times New Roman" w:hAnsi="Times New Roman"/>
          <w:sz w:val="20"/>
          <w:u w:val="single"/>
        </w:rPr>
        <w:t>Representatives</w:t>
      </w:r>
      <w:r>
        <w:rPr>
          <w:rFonts w:ascii="Times New Roman" w:hAnsi="Times New Roman"/>
          <w:sz w:val="20"/>
        </w:rPr>
        <w:t>”), propose to enter into an Underwriting Agreement (the “</w:t>
      </w:r>
      <w:r>
        <w:rPr>
          <w:rFonts w:ascii="Times New Roman" w:hAnsi="Times New Roman"/>
          <w:sz w:val="20"/>
          <w:u w:val="single"/>
        </w:rPr>
        <w:t>Underwriting Agreement</w:t>
      </w:r>
      <w:r>
        <w:rPr>
          <w:rFonts w:ascii="Times New Roman" w:hAnsi="Times New Roman"/>
          <w:sz w:val="20"/>
        </w:rPr>
        <w:t>”) on behalf of the several Underwriters named in Schedule I to such agreement (collectively, the “</w:t>
      </w:r>
      <w:r>
        <w:rPr>
          <w:rFonts w:ascii="Times New Roman" w:hAnsi="Times New Roman"/>
          <w:sz w:val="20"/>
          <w:u w:val="single"/>
        </w:rPr>
        <w:t>Underwriters</w:t>
      </w:r>
      <w:r>
        <w:rPr>
          <w:rFonts w:ascii="Times New Roman" w:hAnsi="Times New Roman"/>
          <w:sz w:val="20"/>
        </w:rPr>
        <w:t>”), with Immatics N.V., a public limited company (</w:t>
      </w:r>
      <w:r>
        <w:rPr>
          <w:rFonts w:ascii="Times New Roman" w:hAnsi="Times New Roman"/>
          <w:i/>
          <w:sz w:val="20"/>
        </w:rPr>
        <w:t>naamloze vennootschap</w:t>
      </w:r>
      <w:r>
        <w:rPr>
          <w:rFonts w:ascii="Times New Roman" w:hAnsi="Times New Roman"/>
          <w:sz w:val="20"/>
        </w:rPr>
        <w:t>) under Dutch law (the “</w:t>
      </w:r>
      <w:r>
        <w:rPr>
          <w:rFonts w:ascii="Times New Roman" w:hAnsi="Times New Roman"/>
          <w:sz w:val="20"/>
          <w:u w:val="single"/>
        </w:rPr>
        <w:t>Company</w:t>
      </w:r>
      <w:r>
        <w:rPr>
          <w:rFonts w:ascii="Times New Roman" w:hAnsi="Times New Roman"/>
          <w:sz w:val="20"/>
        </w:rPr>
        <w:t>”), providing for a public offering (the “</w:t>
      </w:r>
      <w:r>
        <w:rPr>
          <w:rFonts w:ascii="Times New Roman" w:hAnsi="Times New Roman"/>
          <w:sz w:val="20"/>
          <w:u w:val="single"/>
        </w:rPr>
        <w:t>Offering</w:t>
      </w:r>
      <w:r>
        <w:rPr>
          <w:rFonts w:ascii="Times New Roman" w:hAnsi="Times New Roman"/>
          <w:sz w:val="20"/>
        </w:rPr>
        <w:t>”) of securities of the Company (the “</w:t>
      </w:r>
      <w:r>
        <w:rPr>
          <w:rFonts w:ascii="Times New Roman" w:hAnsi="Times New Roman"/>
          <w:sz w:val="20"/>
          <w:u w:val="single"/>
        </w:rPr>
        <w:t>Securities</w:t>
      </w:r>
      <w:r>
        <w:rPr>
          <w:rFonts w:ascii="Times New Roman" w:hAnsi="Times New Roman"/>
          <w:sz w:val="20"/>
        </w:rPr>
        <w:t xml:space="preserve">”) pursuant to a Registration Statement on Form F-3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In consideration of the agreement by the Underwriters to offer and sell the Securities, and of other good and valuable consideration the receipt and sufficiency of which is hereby acknowledged, the undersigned agrees that, during the period (the “</w:t>
      </w:r>
      <w:r>
        <w:rPr>
          <w:rFonts w:ascii="Times New Roman" w:hAnsi="Times New Roman"/>
          <w:sz w:val="20"/>
          <w:u w:val="single"/>
        </w:rPr>
        <w:t>Lock-Up Period</w:t>
      </w:r>
      <w:r>
        <w:rPr>
          <w:rFonts w:ascii="Times New Roman" w:hAnsi="Times New Roman"/>
          <w:sz w:val="20"/>
        </w:rPr>
        <w:t>”) beginning from the date hereof and continuing to and including the date 60 days after the date of the final prospectus covering the public offering of the Securities (the “</w:t>
      </w:r>
      <w:r>
        <w:rPr>
          <w:rFonts w:ascii="Times New Roman" w:hAnsi="Times New Roman"/>
          <w:sz w:val="20"/>
          <w:u w:val="single"/>
        </w:rPr>
        <w:t>Prospectus</w:t>
      </w:r>
      <w:r>
        <w:rPr>
          <w:rFonts w:ascii="Times New Roman" w:hAnsi="Times New Roman"/>
          <w:sz w:val="20"/>
        </w:rPr>
        <w:t>”), the undersigned shall not, and shall not cause or direct any of its affiliates to, (i) offer, sell, contract to sell, pledge, grant any option to purchase, lend or otherwise dispose of any ordinary shares of the Company, nominal value 0.01 per share (the “</w:t>
      </w:r>
      <w:r>
        <w:rPr>
          <w:rFonts w:ascii="Times New Roman" w:hAnsi="Times New Roman"/>
          <w:sz w:val="20"/>
          <w:u w:val="single"/>
        </w:rPr>
        <w:t>Ordinary Shares</w:t>
      </w:r>
      <w:r>
        <w:rPr>
          <w:rFonts w:ascii="Times New Roman" w:hAnsi="Times New Roman"/>
          <w:sz w:val="20"/>
        </w:rPr>
        <w:t>”), or any options or warrants to purchase any Ordinary Shares, or any securities convertible into, exchangeable for or that represent the right to receive Ordinary Shares (such options, warrants or other securities, collectively, “</w:t>
      </w:r>
      <w:r>
        <w:rPr>
          <w:rFonts w:ascii="Times New Roman" w:hAnsi="Times New Roman"/>
          <w:sz w:val="20"/>
          <w:u w:val="single"/>
        </w:rPr>
        <w:t>Derivative Instruments</w:t>
      </w:r>
      <w:r>
        <w:rPr>
          <w:rFonts w:ascii="Times New Roman" w:hAnsi="Times New Roman"/>
          <w:sz w:val="20"/>
        </w:rPr>
        <w:t>”), including without limitation any such Ordinary Shares or Derivative Instruments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Ordinary Shares or Derivative Instruments, whether any such transaction or arrangement (or instrument provided for thereunder) would be settled by delivery of Ordinary Shares or other securities, in cash or otherwise (any such sale, loan, pledge or other disposition, or transfer of economic consequences, a “</w:t>
      </w:r>
      <w:r>
        <w:rPr>
          <w:rFonts w:ascii="Times New Roman" w:hAnsi="Times New Roman"/>
          <w:sz w:val="20"/>
          <w:u w:val="single"/>
        </w:rPr>
        <w:t>Transfer</w:t>
      </w:r>
      <w:r>
        <w:rPr>
          <w:rFonts w:ascii="Times New Roman" w:hAnsi="Times New Roman"/>
          <w:sz w:val="20"/>
        </w:rPr>
        <w:t xml:space="preserve">”) or (iii) otherwise publicly announce any intention to engage in or cause any action or activity described in clause (i) above or transaction or arrangement described in clause (ii) above. The undersigned represents and warrants that the undersigned is not, and has not caused or directed any of its affiliates to be or become, currently a party to any agreement or arrangement that provides for, is designed to or which reasonably could be expected to lead to or result in any Transfer during the Lock-Up Period.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undersigned is not a natural person, the undersigned represents and warrants that no single natural person, entity or “group” (within the meaning of Section 13(d)(3) of the Securities Exchange Act of 1934, as amended),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undersigned may transfer the undersigned’s Ordinary Shares or Derivative Instruments: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w:t>
            </w:r>
            <w:r>
              <w:rPr>
                <w:rFonts w:ascii="Times New Roman" w:hAnsi="Times New Roman"/>
                <w:i/>
                <w:sz w:val="20"/>
              </w:rPr>
              <w:t>bona fide</w:t>
            </w:r>
            <w:r>
              <w:rPr>
                <w:rFonts w:ascii="Times New Roman" w:hAnsi="Times New Roman"/>
                <w:sz w:val="20"/>
              </w:rPr>
              <w:t xml:space="preserve"> gift or gifts;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will or intestacy;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operation of law, such as pursuant to a qualified domestic order, divorce settlement, divorce decree or separation agreement or other court or regulatory agency order;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member of the immediate family of the undersigned, any trust for the direct or indirect benefit of the undersigned or the immediate family of the undersigned or any corporation, partnership, limited liability company or other entity of which the undersigned and the immediate family of the undersigned are the legal and beneficial owner of all of the outstanding equity securities or similar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in connection with the establishment of a trading plan pursuant to Rule 10b5-1 under the Securities Exchange Act of 1934, as amended (the “</w:t>
            </w:r>
            <w:r>
              <w:rPr>
                <w:rFonts w:ascii="Times New Roman" w:hAnsi="Times New Roman"/>
                <w:sz w:val="20"/>
                <w:u w:val="single"/>
              </w:rPr>
              <w:t>Exchange Act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such plan does not provide for the transfer of Ordinary Shares or Derivative Instruments during the Lock-Up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any trading plan pursuant to Rule 10b5-1 under the Exchange Act that has been entered into by the undersigned prior to the date of the Underwriting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conversion, exercise or exchange of warrants to purchase Ordinary Shares (including transfers to the Company in connection with the “net” or “cashless” exercise of warrants) outstanding as of the date of the Underwriting Agreement and described in the Prospectus, </w:t>
            </w:r>
            <w:r>
              <w:rPr>
                <w:rFonts w:ascii="Times New Roman" w:hAnsi="Times New Roman"/>
                <w:i/>
                <w:sz w:val="20"/>
              </w:rPr>
              <w:t>provided</w:t>
            </w:r>
            <w:r>
              <w:rPr>
                <w:rFonts w:ascii="Times New Roman" w:hAnsi="Times New Roman"/>
                <w:sz w:val="20"/>
              </w:rPr>
              <w:t xml:space="preserve"> that any securities received upon such conversion, exercise or exchange shall remain subject to the restrictions set forth in this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exercise of options to purchase Ordinary Shares or other securities (including transfers to the Company in connection with the “net” or “cashless” exercise of options or such other securities) received pursuant to employee benefit or other compensation plans, </w:t>
            </w:r>
            <w:r>
              <w:rPr>
                <w:rFonts w:ascii="Times New Roman" w:hAnsi="Times New Roman"/>
                <w:i/>
                <w:sz w:val="20"/>
              </w:rPr>
              <w:t>provided</w:t>
            </w:r>
            <w:r>
              <w:rPr>
                <w:rFonts w:ascii="Times New Roman" w:hAnsi="Times New Roman"/>
                <w:sz w:val="20"/>
              </w:rPr>
              <w:t xml:space="preserve"> that such plan exists as of the date of the Underwriting Agreement and is described in the Prospectus, and </w:t>
            </w:r>
            <w:r>
              <w:rPr>
                <w:rFonts w:ascii="Times New Roman" w:hAnsi="Times New Roman"/>
                <w:i/>
                <w:sz w:val="20"/>
              </w:rPr>
              <w:t>provided further</w:t>
            </w:r>
            <w:r>
              <w:rPr>
                <w:rFonts w:ascii="Times New Roman" w:hAnsi="Times New Roman"/>
                <w:sz w:val="20"/>
              </w:rPr>
              <w:t xml:space="preserve"> that any Ordinary Shares received upon such exercise shall remain subject to the restrictions set forth in this Lock-Up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undersigned is a business entity, (A) to another business entity that is an affiliate (as defined in Rule 405 promulgated under the Securities Act of 1933, as amended) of the undersigned, or to any investment fund or other entity that controls or manages, or is under common control with, the undersigned or (B) to the undersigned’s limited partners, members or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w:t>
            </w:r>
            <w:r>
              <w:rPr>
                <w:rFonts w:ascii="Times New Roman" w:hAnsi="Times New Roman"/>
                <w:i/>
                <w:sz w:val="20"/>
              </w:rPr>
              <w:t>provided</w:t>
            </w:r>
            <w:r>
              <w:rPr>
                <w:rFonts w:ascii="Times New Roman" w:hAnsi="Times New Roman"/>
                <w:sz w:val="20"/>
              </w:rPr>
              <w:t xml:space="preserve"> that, in the event that such tender offer, merger, consolidation or other similar transaction is not completed, the undersigned’s Ordinary Shares and Derivative Instruments shall remain subject to the provisions of this Lock-Up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the prior written consent of each of the Representatives on behalf of the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Company, if such transfer is required by the Company’s policy with respect to the recoupment of incentive-based compensation;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provided further </w:t>
      </w:r>
      <w:r>
        <w:rPr>
          <w:rFonts w:ascii="Times New Roman" w:hAnsi="Times New Roman"/>
          <w:sz w:val="20"/>
        </w:rPr>
        <w:t xml:space="preserve">that, (a) in cases of clauses (i), (ii), (iii), (iv), (vi), (vii), (viii), (ix) and (x) above, no public announcement or filing under the Exchange Act shall be voluntarily made during the Lock-Up Period and any required filings under the Exchange Act during the Lock-Up Period shall clearly indicate the circumstances, nature and conditions of such transfer or disposition, (b) in cases of clauses (i), (ii), (iii), (iv) and (ix) above, such transfer shall not involve a disposition for value, (c) in cases of clauses (i), (iv) and (ix) above, the recipient thereof agrees to be bound in writing by the restrictions set forth herein and (d) in the case of clause (v) above, any public announcement or filing shall indicate that such plan does not provide for the transfer of Ordinary Shares or Derivative Instruments during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Lock-Up Agreement, “immediate family” shall mean any relationship by blood, marriage or adoption, not more remote than first cousin. For the purposes of this Lock-Up Agreement,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undersigned’s Ordinary Shares and Derivative Instruments are held by it free and clear of all liens, encumbrances, and claims whatsoever. The undersigned agrees and consents to the entry of stop transfer instructions with the Company’s transfer agent and registrar against the transfer of the undersigned’s Ordinary Shares except in compliance with the foregoing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the Underwriters have not made any recommendation or provided any investment advice to the undersigned with respect to this Lock-Up Agreement or the subject matter hereof, and the undersigned has consulted its own legal, accounting, financial, regulatory and tax advisors with respect to this Lock-Up Agreement and the subject matter hereof to the extent the undersigned has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shall be of no force or effect if (i) the Representatives or the Company inform the other in writing, prior to the execution of the Underwriting Agreement, that they have determined not to proceed with the Offering, (ii) the Underwriting Agreement does not become effective by September 15, 2026, or (iii) the Underwriting Agreement (other than the provisions thereof which survive termination) shall terminate or be terminated prior to payment for and delivery of the Securities to be sold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Very truly yours,</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Exact Name of Shareholder: ___________________________________</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Authorized Signature: ________________________________________</w:t>
            </w:r>
          </w:p>
        </w:tc>
      </w:tr>
    </w:tbl>
    <w:p>
      <w:pPr>
        <w:pStyle w:val="TextBody"/>
        <w:bidi w:val="0"/>
        <w:spacing w:before="120" w:after="0"/>
        <w:jc w:val="left"/>
        <w:rPr>
          <w:rFonts w:ascii="Times New Roman" w:hAnsi="Times New Roman"/>
          <w:sz w:val="20"/>
        </w:rPr>
      </w:pPr>
      <w:r>
        <w:rPr>
          <w:rFonts w:ascii="Times New Roman" w:hAnsi="Times New Roman"/>
          <w:sz w:val="20"/>
        </w:rPr>
        <w:t xml:space="preserve">Title: ______________________________________________________ </w:t>
      </w:r>
    </w:p>
    <w:p>
      <w:pPr>
        <w:pStyle w:val="TextBody"/>
        <w:bidi w:val="0"/>
        <w:spacing w:before="0" w:after="0"/>
        <w:jc w:val="right"/>
        <w:rPr>
          <w:rFonts w:ascii="Times New Roman" w:hAnsi="Times New Roman"/>
          <w:b/>
          <w:sz w:val="20"/>
        </w:rPr>
      </w:pPr>
      <w:bookmarkStart w:id="4" w:name="d153472dex41.htm"/>
      <w:bookmarkStart w:id="5" w:name="ksd153472dex41"/>
      <w:bookmarkEnd w:id="4"/>
      <w:bookmarkEnd w:id="5"/>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PRE-FUNDED WARRANT TO PURCHASE ORDINARY SHARES </w:t>
      </w:r>
    </w:p>
    <w:p>
      <w:pPr>
        <w:pStyle w:val="TextBody"/>
        <w:bidi w:val="0"/>
        <w:spacing w:before="120" w:after="0"/>
        <w:jc w:val="center"/>
        <w:rPr>
          <w:rFonts w:ascii="Times New Roman" w:hAnsi="Times New Roman"/>
          <w:b/>
          <w:sz w:val="20"/>
        </w:rPr>
      </w:pPr>
      <w:r>
        <w:rPr>
          <w:rFonts w:ascii="Times New Roman" w:hAnsi="Times New Roman"/>
          <w:b/>
          <w:sz w:val="20"/>
        </w:rPr>
        <w:t xml:space="preserve">IMMATICS N.V. </w:t>
      </w:r>
    </w:p>
    <w:p>
      <w:pPr>
        <w:pStyle w:val="TextBody"/>
        <w:bidi w:val="0"/>
        <w:spacing w:before="240" w:after="0"/>
        <w:jc w:val="left"/>
        <w:rPr>
          <w:rFonts w:ascii="Times New Roman" w:hAnsi="Times New Roman"/>
          <w:sz w:val="20"/>
        </w:rPr>
      </w:pPr>
      <w:r>
        <w:rPr>
          <w:rFonts w:ascii="Times New Roman" w:hAnsi="Times New Roman"/>
          <w:sz w:val="20"/>
        </w:rPr>
        <w:t xml:space="preserve">Number of Ordinary Shares: [_________] (subject to adjustment) </w:t>
      </w:r>
    </w:p>
    <w:p>
      <w:pPr>
        <w:pStyle w:val="TextBody"/>
        <w:bidi w:val="0"/>
        <w:spacing w:before="240" w:after="0"/>
        <w:jc w:val="left"/>
        <w:rPr>
          <w:rFonts w:ascii="Times New Roman" w:hAnsi="Times New Roman"/>
          <w:sz w:val="20"/>
        </w:rPr>
      </w:pPr>
      <w:r>
        <w:rPr>
          <w:rFonts w:ascii="Times New Roman" w:hAnsi="Times New Roman"/>
          <w:sz w:val="20"/>
        </w:rPr>
        <w:t xml:space="preserve">Warrant No. [___] </w:t>
      </w:r>
    </w:p>
    <w:p>
      <w:pPr>
        <w:pStyle w:val="TextBody"/>
        <w:bidi w:val="0"/>
        <w:spacing w:before="240" w:after="0"/>
        <w:jc w:val="left"/>
        <w:rPr>
          <w:rFonts w:ascii="Times New Roman" w:hAnsi="Times New Roman"/>
          <w:sz w:val="20"/>
        </w:rPr>
      </w:pPr>
      <w:r>
        <w:rPr>
          <w:rFonts w:ascii="Times New Roman" w:hAnsi="Times New Roman"/>
          <w:sz w:val="20"/>
        </w:rPr>
        <w:t>Date of Issuance: [___], 2026 (such date, the “</w:t>
      </w:r>
      <w:r>
        <w:rPr>
          <w:rFonts w:ascii="Times New Roman" w:hAnsi="Times New Roman"/>
          <w:b/>
          <w:sz w:val="20"/>
        </w:rPr>
        <w:t>Original Issue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Immatics N.V., a public limited liability company (</w:t>
      </w:r>
      <w:r>
        <w:rPr>
          <w:rFonts w:ascii="Times New Roman" w:hAnsi="Times New Roman"/>
          <w:i/>
          <w:sz w:val="20"/>
        </w:rPr>
        <w:t>naamloze vennootschap</w:t>
      </w:r>
      <w:r>
        <w:rPr>
          <w:rFonts w:ascii="Times New Roman" w:hAnsi="Times New Roman"/>
          <w:sz w:val="20"/>
        </w:rPr>
        <w:t>) under Dutch law (the “</w:t>
      </w:r>
      <w:r>
        <w:rPr>
          <w:rFonts w:ascii="Times New Roman" w:hAnsi="Times New Roman"/>
          <w:b/>
          <w:sz w:val="20"/>
        </w:rPr>
        <w:t>Company</w:t>
      </w:r>
      <w:r>
        <w:rPr>
          <w:rFonts w:ascii="Times New Roman" w:hAnsi="Times New Roman"/>
          <w:sz w:val="20"/>
        </w:rPr>
        <w:t>”), hereby certifies that, for good and valuable consideration, the receipt and sufficiency of which are hereby acknowledged, [___________] or its registered assigns (the “</w:t>
      </w:r>
      <w:r>
        <w:rPr>
          <w:rFonts w:ascii="Times New Roman" w:hAnsi="Times New Roman"/>
          <w:b/>
          <w:sz w:val="20"/>
        </w:rPr>
        <w:t>Holder</w:t>
      </w:r>
      <w:r>
        <w:rPr>
          <w:rFonts w:ascii="Times New Roman" w:hAnsi="Times New Roman"/>
          <w:sz w:val="20"/>
        </w:rPr>
        <w:t>”) is entitled, subject to the terms and conditions set forth below, to subscribe for and purchase from the Company up to a total of [______] ordinary shares, nominal value 0.01 per share (the “</w:t>
      </w:r>
      <w:r>
        <w:rPr>
          <w:rFonts w:ascii="Times New Roman" w:hAnsi="Times New Roman"/>
          <w:b/>
          <w:sz w:val="20"/>
        </w:rPr>
        <w:t>Ordinary Shares</w:t>
      </w:r>
      <w:r>
        <w:rPr>
          <w:rFonts w:ascii="Times New Roman" w:hAnsi="Times New Roman"/>
          <w:sz w:val="20"/>
        </w:rPr>
        <w:t>”), of the Company (each such share, a “</w:t>
      </w:r>
      <w:r>
        <w:rPr>
          <w:rFonts w:ascii="Times New Roman" w:hAnsi="Times New Roman"/>
          <w:b/>
          <w:sz w:val="20"/>
        </w:rPr>
        <w:t>Warrant Share</w:t>
      </w:r>
      <w:r>
        <w:rPr>
          <w:rFonts w:ascii="Times New Roman" w:hAnsi="Times New Roman"/>
          <w:sz w:val="20"/>
        </w:rPr>
        <w:t>” and all such shares, the “</w:t>
      </w:r>
      <w:r>
        <w:rPr>
          <w:rFonts w:ascii="Times New Roman" w:hAnsi="Times New Roman"/>
          <w:b/>
          <w:sz w:val="20"/>
        </w:rPr>
        <w:t>Warrant Shares</w:t>
      </w:r>
      <w:r>
        <w:rPr>
          <w:rFonts w:ascii="Times New Roman" w:hAnsi="Times New Roman"/>
          <w:sz w:val="20"/>
        </w:rPr>
        <w:t>”) at an exercise price equal to $0.001 per Warrant Share (as adjusted from time to time as provided in Section 8 herein, the “</w:t>
      </w:r>
      <w:r>
        <w:rPr>
          <w:rFonts w:ascii="Times New Roman" w:hAnsi="Times New Roman"/>
          <w:b/>
          <w:sz w:val="20"/>
        </w:rPr>
        <w:t>Exercise Price</w:t>
      </w:r>
      <w:r>
        <w:rPr>
          <w:rFonts w:ascii="Times New Roman" w:hAnsi="Times New Roman"/>
          <w:sz w:val="20"/>
        </w:rPr>
        <w:t>”) upon exercise of this Pre-Funded Warrant to Purchase Ordinary Shares (including any Pre-Funded Warrants to Purchase Ordinary Shares issued in exchange, transfer or replacement hereof, the “</w:t>
      </w:r>
      <w:r>
        <w:rPr>
          <w:rFonts w:ascii="Times New Roman" w:hAnsi="Times New Roman"/>
          <w:b/>
          <w:sz w:val="20"/>
        </w:rPr>
        <w:t>Warrant</w:t>
      </w:r>
      <w:r>
        <w:rPr>
          <w:rFonts w:ascii="Times New Roman" w:hAnsi="Times New Roman"/>
          <w:sz w:val="20"/>
        </w:rPr>
        <w:t>”) at any time and from time to time on or after the date hereof (the “</w:t>
      </w:r>
      <w:r>
        <w:rPr>
          <w:rFonts w:ascii="Times New Roman" w:hAnsi="Times New Roman"/>
          <w:b/>
          <w:sz w:val="20"/>
        </w:rPr>
        <w:t>Original Issue Date</w:t>
      </w:r>
      <w:r>
        <w:rPr>
          <w:rFonts w:ascii="Times New Roman" w:hAnsi="Times New Roman"/>
          <w:sz w:val="20"/>
        </w:rPr>
        <w:t>”). The purchase price of this Warrant is $[] (the “</w:t>
      </w:r>
      <w:r>
        <w:rPr>
          <w:rFonts w:ascii="Times New Roman" w:hAnsi="Times New Roman"/>
          <w:b/>
          <w:sz w:val="20"/>
        </w:rPr>
        <w:t>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Definitions</w:t>
      </w:r>
      <w:r>
        <w:rPr>
          <w:rFonts w:ascii="Times New Roman" w:hAnsi="Times New Roman"/>
          <w:sz w:val="20"/>
        </w:rPr>
        <w:t xml:space="preserve">. For purposes of this Warrant,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Affiliate</w:t>
      </w:r>
      <w:r>
        <w:rPr>
          <w:rFonts w:ascii="Times New Roman" w:hAnsi="Times New Roman"/>
          <w:sz w:val="20"/>
        </w:rPr>
        <w:t xml:space="preserve">” means any Person directly or indirectly controlled by, controlling or under common control with, a Holder, as such terms are used in and construed under Rule 405 under the Securities Act, but only for so long as such control shall continue.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Closing Sale Price</w:t>
      </w:r>
      <w:r>
        <w:rPr>
          <w:rFonts w:ascii="Times New Roman" w:hAnsi="Times New Roman"/>
          <w:sz w:val="20"/>
        </w:rPr>
        <w:t>” means, for any security as of any date, the last trade price for such security on the Principal Trading Market for such security, as reported by Bloomberg L.P., or, if such Principal Trading Market begins to operate on an extended hours basis and does not designate the last trade price, then the last trade price of such security prior to 4:00 P.M., New York City time, as reported by Bloomberg L.P., or if the security is not listed for trading on a national securities exchange or other trading market on the relevant date, the last quoted bid price for the security in the over-the-counter market on the relevant date as reported by OTC Markets Group Inc.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(the “</w:t>
      </w:r>
      <w:r>
        <w:rPr>
          <w:rFonts w:ascii="Times New Roman" w:hAnsi="Times New Roman"/>
          <w:b/>
          <w:sz w:val="20"/>
        </w:rPr>
        <w:t>Board of Directors</w:t>
      </w:r>
      <w:r>
        <w:rPr>
          <w:rFonts w:ascii="Times New Roman" w:hAnsi="Times New Roman"/>
          <w:sz w:val="20"/>
        </w:rPr>
        <w:t xml:space="preserve">”) shall use its good faith judgment to determine the fair market value. The Board of Directors’ determination shall be binding upon all parties absent demonstrable error. All such determinations shall be appropriately adjusted for any share dividend, share split, share combination or other similar transaction during the applicable calculation period.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b/>
          <w:sz w:val="20"/>
        </w:rPr>
        <w:t>Commission</w:t>
      </w:r>
      <w:r>
        <w:rPr>
          <w:rFonts w:ascii="Times New Roman" w:hAnsi="Times New Roman"/>
          <w:sz w:val="20"/>
        </w:rPr>
        <w:t xml:space="preserve">” means the United States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Exchange Act</w:t>
      </w:r>
      <w:r>
        <w:rPr>
          <w:rFonts w:ascii="Times New Roman" w:hAnsi="Times New Roman"/>
          <w:sz w:val="20"/>
        </w:rPr>
        <w:t xml:space="preserve">” means the Securities and Exchange Act of 1934, as amended.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sz w:val="20"/>
        </w:rPr>
        <w:t>Principal Trading Market</w:t>
      </w:r>
      <w:r>
        <w:rPr>
          <w:rFonts w:ascii="Times New Roman" w:hAnsi="Times New Roman"/>
          <w:sz w:val="20"/>
        </w:rPr>
        <w:t xml:space="preserve">” means the national securities exchange or other trading market on which the Ordinary Shares is primarily listed on and quoted for trading, which, as of the Original Issue Date, shall be the Nasdaq Stock Market.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sz w:val="20"/>
        </w:rPr>
        <w:t>Registration Statement</w:t>
      </w:r>
      <w:r>
        <w:rPr>
          <w:rFonts w:ascii="Times New Roman" w:hAnsi="Times New Roman"/>
          <w:sz w:val="20"/>
        </w:rPr>
        <w:t xml:space="preserve">” means the Company’s Registration Statement on Form F-3 (File No. 333-286151) that became effective on April 3, 2025.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b/>
          <w:sz w:val="20"/>
        </w:rPr>
        <w:t>Standard Settlement Period</w:t>
      </w:r>
      <w:r>
        <w:rPr>
          <w:rFonts w:ascii="Times New Roman" w:hAnsi="Times New Roman"/>
          <w:sz w:val="20"/>
        </w:rPr>
        <w:t xml:space="preserve">” means the standard settlement period, expressed in a number of Trading Days, for the Company’s primary trading market or quotation system with respect to the Ordinary Shares that is in effect on the date of delivery of an applicable Exercise Notice (as defined below), which as of the Original Issue Date was “T+1”.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Trading Day</w:t>
      </w:r>
      <w:r>
        <w:rPr>
          <w:rFonts w:ascii="Times New Roman" w:hAnsi="Times New Roman"/>
          <w:sz w:val="20"/>
        </w:rPr>
        <w:t xml:space="preserve">” means any weekday on which the Principal Trading Market is open for trading. If the Ordinary Shares are not listed or admitted for trading, “Trading Day” means any day except any Saturday, any Sunday, any day which is a federal legal holiday in the United States or any day on which banking institutions in New York City are authorized or required by law or other governmental action to close.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b/>
          <w:sz w:val="20"/>
        </w:rPr>
        <w:t>Transfer Agent</w:t>
      </w:r>
      <w:r>
        <w:rPr>
          <w:rFonts w:ascii="Times New Roman" w:hAnsi="Times New Roman"/>
          <w:sz w:val="20"/>
        </w:rPr>
        <w:t xml:space="preserve">” means Continental Stock Transfer &amp; Trust Company, the Company’s transfer agent and registrar for the Ordinary Shares, and any successor appointed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Issuance of Securities; Registration of Warrants</w:t>
      </w:r>
      <w:r>
        <w:rPr>
          <w:rFonts w:ascii="Times New Roman" w:hAnsi="Times New Roman"/>
          <w:sz w:val="20"/>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or cause the Transfer Agent to register, ownership of this Warrant, upon records to be maintained by the Company or the Transfer Agent, as applicable, for that purpose (the “</w:t>
      </w:r>
      <w:r>
        <w:rPr>
          <w:rFonts w:ascii="Times New Roman" w:hAnsi="Times New Roman"/>
          <w:b/>
          <w:sz w:val="20"/>
        </w:rPr>
        <w:t>Warrant Register</w:t>
      </w:r>
      <w:r>
        <w:rPr>
          <w:rFonts w:ascii="Times New Roman" w:hAnsi="Times New Roman"/>
          <w:sz w:val="20"/>
        </w:rPr>
        <w:t xml:space="preserve">”), in the name of the record Holder (which shall include the initial Holder or, as the case may be, any assignee to which this Warrant is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Registration of Transfers</w:t>
      </w:r>
      <w:r>
        <w:rPr>
          <w:rFonts w:ascii="Times New Roman" w:hAnsi="Times New Roman"/>
          <w:sz w:val="20"/>
        </w:rPr>
        <w:t>. Subject to compliance with all applicable securities laws, the Company shall, or will cause its Transfer Agent to, register the transfer of all or any portion of this Warrant in the Warrant Register, upon cancellation of this Warrant, and payment for all applicable transfer taxes (if any). Upon any such registration or transfer, a new warrant to purchase Ordinary Shares in substantially the form of this Warrant (any such new warrant, a “</w:t>
      </w:r>
      <w:r>
        <w:rPr>
          <w:rFonts w:ascii="Times New Roman" w:hAnsi="Times New Roman"/>
          <w:b/>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Section 3. Until due presentment for registration of transfer, the Company may treat the registered Holder hereof as the owner and holder of the Warrant for all purposes, and the Company shall not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Exercise and Duration of Warrants.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or any part of this Warrant shall be exercisable by the registered Holder in the manner set forth in Section 10 at any time and from time to time on or after the Original Issue Date. </w:t>
      </w:r>
    </w:p>
    <w:p>
      <w:pPr>
        <w:pStyle w:val="TextBody"/>
        <w:bidi w:val="0"/>
        <w:spacing w:before="120" w:after="0"/>
        <w:jc w:val="left"/>
        <w:rPr>
          <w:rFonts w:ascii="Times New Roman" w:hAnsi="Times New Roman"/>
          <w:sz w:val="20"/>
        </w:rPr>
      </w:pPr>
      <w:r>
        <w:rPr>
          <w:rFonts w:ascii="Times New Roman" w:hAnsi="Times New Roman"/>
          <w:sz w:val="20"/>
        </w:rPr>
        <w:t xml:space="preserve">(b) The Purchase Price of this Warrant was pre-funded to the Company on or before the Original Issue Date. The pre-funded amount of the Purchase Price shall be deemed pre-paid on the Warrant Shares issuable hereunder and, consequently, upon the issuance of any Warrant Shares pursuant to the exercise of this Warrant, such Warrant Shares shall have been paid up in full through pre-payment of the corresponding part of the pre-funded amount of the Purchase Price (and, to the extent such amount exceeds the nominal value of such Warrant Shares, such excess amount shall be deemed pre-paid share premium on the Warrant Shares) and the Company irrevocably consents to such payment being made in a currency other than the Euro. Consequently, no additional consideration (other than the Exercise Price per Warrant Share) shall be required to be paid by the Holder to effect any exercise of this Warrant. </w:t>
      </w:r>
    </w:p>
    <w:p>
      <w:pPr>
        <w:pStyle w:val="TextBody"/>
        <w:bidi w:val="0"/>
        <w:spacing w:before="120" w:after="0"/>
        <w:jc w:val="left"/>
        <w:rPr>
          <w:rFonts w:ascii="Times New Roman" w:hAnsi="Times New Roman"/>
          <w:sz w:val="20"/>
        </w:rPr>
      </w:pPr>
      <w:r>
        <w:rPr>
          <w:rFonts w:ascii="Times New Roman" w:hAnsi="Times New Roman"/>
          <w:sz w:val="20"/>
        </w:rPr>
        <w:t>(c) The Holder may exercise this Warrant by delivering to the Company an exercise notice, in the form attached as Schedule 1 hereto (the “</w:t>
      </w:r>
      <w:r>
        <w:rPr>
          <w:rFonts w:ascii="Times New Roman" w:hAnsi="Times New Roman"/>
          <w:b/>
          <w:sz w:val="20"/>
        </w:rPr>
        <w:t>Exercise Notice</w:t>
      </w:r>
      <w:r>
        <w:rPr>
          <w:rFonts w:ascii="Times New Roman" w:hAnsi="Times New Roman"/>
          <w:sz w:val="20"/>
        </w:rPr>
        <w:t>”), completed and duly signed. The date on which such exercise notice is delivered to the Company (as determined in accordance with the notice provisions hereof) is an “</w:t>
      </w:r>
      <w:r>
        <w:rPr>
          <w:rFonts w:ascii="Times New Roman" w:hAnsi="Times New Roman"/>
          <w:b/>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w:t>
      </w:r>
      <w:r>
        <w:rPr>
          <w:rFonts w:ascii="Times New Roman" w:hAnsi="Times New Roman"/>
          <w:b/>
          <w:sz w:val="20"/>
        </w:rPr>
        <w:t xml:space="preserve">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The Holder shall not be entitled to the return or refund of all,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portion, of any pre-paid Purchase Price under any circumstance or for any reason whatsoever. </w:t>
      </w:r>
      <w:r>
        <w:rPr>
          <w:rFonts w:ascii="Times New Roman" w:hAnsi="Times New Roman"/>
          <w:sz w:val="20"/>
        </w:rPr>
        <w:t xml:space="preserve">The Company may rely on all information provided in the Exercise Notice, including the disclosure of the Holder’s beneficial ownership, and shall not be liable if any information in the notice is incorrect or for any issuance over the Maximum Percentage.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Delivery of Warrant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Upon exercise of this Warrant, the Company shall promptly (but in no event later than the number of Trading Days comprising the Standard Settlement Period), upon the request of the Holder, credit such aggregate number of Warrant Shares to which the Holder is entitled pursuant to such exercise to the Holder’s or its designee’s balance account with The Depository Trust Company (“</w:t>
      </w:r>
      <w:r>
        <w:rPr>
          <w:rFonts w:ascii="Times New Roman" w:hAnsi="Times New Roman"/>
          <w:b/>
          <w:sz w:val="20"/>
        </w:rPr>
        <w:t>DTC</w:t>
      </w:r>
      <w:r>
        <w:rPr>
          <w:rFonts w:ascii="Times New Roman" w:hAnsi="Times New Roman"/>
          <w:sz w:val="20"/>
        </w:rPr>
        <w:t>”) through its Deposit/Withdrawal Agent Commission system if the Company is then a participant in such system, or if the Transfer Agent is not participating in the Fast Automated Securities Transfer Program (the “</w:t>
      </w:r>
      <w:r>
        <w:rPr>
          <w:rFonts w:ascii="Times New Roman" w:hAnsi="Times New Roman"/>
          <w:b/>
          <w:sz w:val="20"/>
        </w:rPr>
        <w:t>FAST Program</w:t>
      </w:r>
      <w:r>
        <w:rPr>
          <w:rFonts w:ascii="Times New Roman" w:hAnsi="Times New Roman"/>
          <w:sz w:val="20"/>
        </w:rPr>
        <w:t xml:space="preserve">”), issue and dispatch by overnight courier to the address as specified in the Exercise Notice, a certificate, registered in the name of the Holder or its designee, for the number of Warrant Shares to which the Holder is entitled pursuant to such exercise. The Company agrees to maintain a transfer agent that is a participant in the FAST program so long as this Warrant remains outstanding. </w:t>
      </w:r>
    </w:p>
    <w:p>
      <w:pPr>
        <w:pStyle w:val="TextBody"/>
        <w:bidi w:val="0"/>
        <w:spacing w:before="120" w:after="0"/>
        <w:jc w:val="left"/>
        <w:rPr>
          <w:rFonts w:ascii="Times New Roman" w:hAnsi="Times New Roman"/>
          <w:sz w:val="20"/>
        </w:rPr>
      </w:pPr>
      <w:r>
        <w:rPr>
          <w:rFonts w:ascii="Times New Roman" w:hAnsi="Times New Roman"/>
          <w:sz w:val="20"/>
        </w:rPr>
        <w:t>(b) If within the Standard Settlement Period after the Exercise Date, the Company fails to deliver to the Holder a certificate for the required number of Warrant Shares in the manner required pursuant to Section 5(a) or fails to credit the Holder’s or its designee’s balance account with DTC through its DWAC system if the Company is then a participant in such system, for such number of Warrant Shares to which the Holder is entitled, and if after such number of Trading Days comprising the Standard Settlement Period and prior to the receipt of such Warrant Shares, the Holder purchases (in an open market transaction or otherwise) Ordinary Shares to deliver in satisfaction of a sale by the Holder of the Warrant Shares which the Holder anticipated receiving upon such exercise (a “</w:t>
      </w:r>
      <w:r>
        <w:rPr>
          <w:rFonts w:ascii="Times New Roman" w:hAnsi="Times New Roman"/>
          <w:b/>
          <w:sz w:val="20"/>
        </w:rPr>
        <w:t>Buy-In</w:t>
      </w:r>
      <w:r>
        <w:rPr>
          <w:rFonts w:ascii="Times New Roman" w:hAnsi="Times New Roman"/>
          <w:sz w:val="20"/>
        </w:rPr>
        <w:t xml:space="preserve">”), then the Company shall, within three (3) Trading Days after the Holder’s request promptly honor its obligation to deliver to the Holder a certificate or certificates for such Warrant Shares and pay cash to the Holder in an amount equal to the excess (if any) of the Holder’s total purchase price (including brokerage commissions, if any) for the Ordinary Shares so purchased in the Buy-In less the product of (A) the number of Ordinary Shares purchased in the Buy-In, times (B) the Closing Sale Price of an Ordinary Share on the Exercise Date. </w:t>
      </w:r>
    </w:p>
    <w:p>
      <w:pPr>
        <w:pStyle w:val="TextBody"/>
        <w:bidi w:val="0"/>
        <w:spacing w:before="120" w:after="0"/>
        <w:jc w:val="left"/>
        <w:rPr>
          <w:rFonts w:ascii="Times New Roman" w:hAnsi="Times New Roman"/>
          <w:sz w:val="20"/>
        </w:rPr>
      </w:pPr>
      <w:r>
        <w:rPr>
          <w:rFonts w:ascii="Times New Roman" w:hAnsi="Times New Roman"/>
          <w:sz w:val="20"/>
        </w:rPr>
        <w:t>(c) To the extent permitted by law and subject to Section 5(b), the Company’s obligations to issue and deliver Warrant Shares in accordance with and subject to the terms hereof (including the limitations set forth in Section 11 below) are absolute and unconditional, irrespective of any action or inaction by the Holder to enforce the same, any waiver or consent with respect to any provision hereof, the recovery of any judgment against the Holder, or any other natural person or legal entity (each, a “</w:t>
      </w:r>
      <w:r>
        <w:rPr>
          <w:rFonts w:ascii="Times New Roman" w:hAnsi="Times New Roman"/>
          <w:b/>
          <w:sz w:val="20"/>
        </w:rPr>
        <w:t>Person</w:t>
      </w:r>
      <w:r>
        <w:rPr>
          <w:rFonts w:ascii="Times New Roman" w:hAnsi="Times New Roman"/>
          <w:sz w:val="20"/>
        </w:rPr>
        <w:t xml:space="preserve">”) or any action to enforce the same, or any setoff, counterclaim, recoupment, limitation or termination, or any breach or alleged breach by the Holder or any other Person of any obligation to the Company or any violation or alleged violation of law by the Holder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Ordinary Shares upon exercise of the Warrant as required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Charges, Taxes and Expenses</w:t>
      </w:r>
      <w:r>
        <w:rPr>
          <w:rFonts w:ascii="Times New Roman" w:hAnsi="Times New Roman"/>
          <w:sz w:val="20"/>
        </w:rPr>
        <w:t xml:space="preserve">. Issuance and delivery of Warrant Shares upon exercise of this Warrant shall be made without charge to the Holder for any issue, transfer tax or similar documentary tax, transfer agent fee or other incidental expense in respect of the issuance of such shares, all of which taxes and expenses shall be paid by the Company;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required to pay any tax that may be payable in respect of any transfer or in the registration of any certificates for Warrant Shares or the Warrants in a name other than that of the Holder or an Affiliate thereof. The Holder shall be responsible for all other taxes and tax liability that may arise as a result of the acquisition, holding, transferring or disposal of this Warrant or acquisition, holding or disposal of Warrant Shares acquired upon exercise hereof.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Ordinary Shares,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Section 8). The Company covenants that all Warrant Shares so issuable and deliverable shall, upon issuance and the payment of the applicable Exercise Price in accordance with the terms hereof, be duly and validly authorized, issued and fully paid and non-assessable (meaning that a holder of a Warrant Share shall not by reason of merely being such a holder be subject to assessment or calls by the Company or its creditors for further payment on such Warrant Share). The Company will take all such action as may be reasonably necessary to assure that such Warrant Shares may be issued as provided herein without violation of any applicable law or regulation, or of any requirements of any securities exchange or automated quotation system upon which the Ordinary Shares may be listed. The Company further covenants that it will not, without the prior written consent of the Holder, take any actions to increase the nominal value of the Ordinary Shares above the pre-funded Purchase Price per Warrant Share at any time while this Warrant is outstanding.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Certain Adjustments</w:t>
      </w:r>
      <w:r>
        <w:rPr>
          <w:rFonts w:ascii="Times New Roman" w:hAnsi="Times New Roman"/>
          <w:sz w:val="20"/>
        </w:rPr>
        <w:t>. The Exercise Price and number of Warrant Shares issuable upon exercise of this Warrant (the “</w:t>
      </w:r>
      <w:r>
        <w:rPr>
          <w:rFonts w:ascii="Times New Roman" w:hAnsi="Times New Roman"/>
          <w:b/>
          <w:sz w:val="20"/>
        </w:rPr>
        <w:t>Number of Warrant Shares</w:t>
      </w:r>
      <w:r>
        <w:rPr>
          <w:rFonts w:ascii="Times New Roman" w:hAnsi="Times New Roman"/>
          <w:sz w:val="20"/>
        </w:rPr>
        <w:t xml:space="preserve">”) are subject to adjustment from time to time as set forth in this Section 8.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Share Dividends and Splits</w:t>
      </w:r>
      <w:r>
        <w:rPr>
          <w:rFonts w:ascii="Times New Roman" w:hAnsi="Times New Roman"/>
          <w:sz w:val="20"/>
        </w:rPr>
        <w:t xml:space="preserve">. If the Company, at any time while this Warrant is outstanding, (i) pays a share dividend on its Ordinary Shares that is payable in Ordinary Shares, (ii) subdivides its outstanding Ordinary Shares into a larger number of Ordinary Shares, (iii) combines its outstanding Ordinary Shares into a smaller number of Ordinary Shares or (iv) creates by reclassification of other classes of shares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Company’s capital any additional Ordinary Shares of the Company, then in each such case the Number of Warrant Shares shall be multiplied by a fraction, the numerator of which shall be the number of Ordinary Shares outstanding immediately after such event and the denominator of which shall be the number of Ordinary Shares outstanding immediately before such event. Any adjustment made pursuant to clause (i) of this paragraph shall become effective immediately after the record date for the determination of shareholders entitled to receive such dividend or distribution, provided, however, that if such record date shall have been fixed and such dividend is not fully paid on the date fixed therefor, the Number of Warrant Shares shall be recomputed accordingly as of the close of business on such record date and thereafter the Number of Warrant Shares shall be adjusted pursuant to this paragraph as of the time of actual payment of such dividends. Any adjustment pursuant to clause (ii), (iii) or (iv) of this paragraph shall become effective immediately after the effective date of such subdivision, combination or issuance.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Pro Rata Distributions</w:t>
      </w:r>
      <w:r>
        <w:rPr>
          <w:rFonts w:ascii="Times New Roman" w:hAnsi="Times New Roman"/>
          <w:sz w:val="20"/>
        </w:rPr>
        <w:t>. If the Company, at any time while this Warrant is outstanding, distributes to all holders of Ordinary Shares for no consideration (i) evidences of its indebtedness, (ii) any security (other than a distribution of Ordinary Shares covered by the preceding paragraph), (iii) rights or warrants to subscribe for or purchase any security (including Ordinary Shares), or (iv) cash or any other asset (in each case, a “</w:t>
      </w:r>
      <w:r>
        <w:rPr>
          <w:rFonts w:ascii="Times New Roman" w:hAnsi="Times New Roman"/>
          <w:b/>
          <w:sz w:val="20"/>
        </w:rPr>
        <w:t>Distribution</w:t>
      </w:r>
      <w:r>
        <w:rPr>
          <w:rFonts w:ascii="Times New Roman" w:hAnsi="Times New Roman"/>
          <w:sz w:val="20"/>
        </w:rPr>
        <w:t xml:space="preserve">”), other than any Fundamental Transaction as to which Section 8(c) applies, then in each such case, the Holder shall be entitled to participate in such Distribution to the same extent that the Holder would have participated therein if the Holder had held the number of Warrant Shares acquirable upon complete exercise of this Warrant (without regard to any limitations on exercise hereof, including without limitation, the ownership limitation set forth in Section 10(a) hereof) immediately before the date of which a record is taken for such Distribution, or, if no such record is taken, the date as of which the record holders of Ordinary Shares are to be determined for the participation in such Distribution;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to the extent that the Holder’s right to participate in any such Distribution would result in the Holder exceeding the ownership limitation set forth in Section 10(a) hereof, then the Holder shall not be entitled to participate in such Distribution to such extent (or in the beneficial ownership of Ordinary Shares as a result of such Distribution to such extent) and the portion of such Distribution shall be held in abeyance for the benefit of the Holder until such time, if ever, as the delivery to such Holder of such portion would not result in the Holder exceeding the ownership limitation set forth in Section 10(a) hereof.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Fundamental Transactions</w:t>
      </w:r>
      <w:r>
        <w:rPr>
          <w:rFonts w:ascii="Times New Roman" w:hAnsi="Times New Roman"/>
          <w:sz w:val="20"/>
        </w:rPr>
        <w:t xml:space="preserve">. If, at any time while this Warrant is outstanding (i) the Company effects any merger or consolidation of the Company with or into another Person, in which the Company is not the surviving entity or in which the shareholders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transaction or a series of related transactions, (iii) pursuant to any tender offer or exchange offer (whether by the Company or another Person), shareholders of the Company tender shares representing more than 50% of the voting power in the general meeting of the Company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Company or such other Person, as applicable, accepts such tender for payment, (iv) the Company consummates a share purchase agreement or other business combination (including, without limitation, a reorganization, recapitalization, spin-off or similar transaction) with another Person whereby such other Person acquires more than the 50% of the voting power in the general meeting of the Company (except for any such transaction in which the shareholders of the Company immediately prior to such transaction maintain, in substantially the same proportions, the voting power of such Person immediately after the transaction) or (v) the Company effects any reclassification of the Ordinary Shares or any compulsory share exchange pursuant to which the Ordinary Shares are effectively converted into or exchanged for other securities, cash or property (other than as a result of a subdivision or combination of Ordinary Shares covered by Section 8(a) above) (in any such case, a “</w:t>
      </w:r>
      <w:r>
        <w:rPr>
          <w:rFonts w:ascii="Times New Roman" w:hAnsi="Times New Roman"/>
          <w:b/>
          <w:sz w:val="20"/>
        </w:rPr>
        <w:t>Fundamental Transaction</w:t>
      </w:r>
      <w:r>
        <w:rPr>
          <w:rFonts w:ascii="Times New Roman" w:hAnsi="Times New Roman"/>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(including any Distributions then held in abeyance pursuant to Section 8(b) above) without regard to any limitations on exercise contained herein (in the case of clause (iii) above, assuming it had tendered, and the offeror had accepted, such Warrant Shares) (the “</w:t>
      </w:r>
      <w:r>
        <w:rPr>
          <w:rFonts w:ascii="Times New Roman" w:hAnsi="Times New Roman"/>
          <w:b/>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(A) the Alternate Consideration is solely cash and the Company provides for the simultaneous “cashless exercise” of this Warrant pursuant to Section 10 below or (B)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(c) shall similarly apply to subsequent transactions analogous of a Fundamental Transaction type. Notwithstanding the foregoing, in the event of a Fundamental Transaction where the consideration payable to holders of Ordinary Shares consists solely of cash, then this Warrant shall automatically be deemed to be exercised in full in a “cashless exercise” pursuant to Section 10 below effective immediately prior to and contingent upon the consummation of such Fundamental Transaction.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Exercise Price</w:t>
      </w:r>
      <w:r>
        <w:rPr>
          <w:rFonts w:ascii="Times New Roman" w:hAnsi="Times New Roman"/>
          <w:sz w:val="20"/>
        </w:rPr>
        <w:t xml:space="preserve">. Simultaneously with any adjustment to the Number of Warrant Shares pursuant to Section 8, the Exercise Price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nominal value of the Ordinary Shares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Calculations</w:t>
      </w:r>
      <w:r>
        <w:rPr>
          <w:rFonts w:ascii="Times New Roman" w:hAnsi="Times New Roman"/>
          <w:sz w:val="20"/>
        </w:rPr>
        <w:t xml:space="preserve">. All calculations under this Section 8 shall be made to the nearest one-hundredth of one cent or the nearest whole share,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Notice of Adjustments</w:t>
      </w:r>
      <w:r>
        <w:rPr>
          <w:rFonts w:ascii="Times New Roman" w:hAnsi="Times New Roman"/>
          <w:sz w:val="20"/>
        </w:rPr>
        <w:t xml:space="preserve">. Upon the occurrence of each adjustment pursuant to this Section 8, the Company at its expense will, at the written request of the Holder, promptly compute such adjustment, in good faith, in accordance with the terms of this Warrant and provide the Holder a notice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Ordinary Shares, including, without limitation, any granting of rights or warrants to subscribe for or purchase any shares of the Company or any subsidiary, (ii) authorizes or approves, enters into any agreement contemplating or solicits shareholder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Ordinary Shares in order to participate in or vote with respect to such transaction or event;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shareholder approval for any Fundamental Transaction contemplated by Section 8(c), other than a Fundamental Transaction under clause (iii) of Section 8(c), then, except if such notice and the contents thereof shall be deemed to constitute material non-public information, the Company shall deliver to the Holder a notice of such Fundamental Transaction at least ten (10) days prior to the date such Fundamental Transaction is consummated.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Cashless Exercise</w:t>
      </w:r>
      <w:r>
        <w:rPr>
          <w:rFonts w:ascii="Times New Roman" w:hAnsi="Times New Roman"/>
          <w:sz w:val="20"/>
        </w:rPr>
        <w:t xml:space="preserve">. Notwithstanding anything contained herein to the contrary, this Warrant may only be exercised through a “cashless exercise.” Upon exercise, the Company shall issue to the Holder the number of Warrant Shares in an exchange of securities effected pursuant to Section 3(a)(9) of the Securities Act as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X = Y [(A-B)/A] where: </w:t>
      </w:r>
    </w:p>
    <w:p>
      <w:pPr>
        <w:pStyle w:val="TextBody"/>
        <w:bidi w:val="0"/>
        <w:spacing w:before="120" w:after="0"/>
        <w:jc w:val="left"/>
        <w:rPr/>
      </w:pPr>
      <w:r>
        <w:rPr/>
        <w:t>“</w:t>
      </w:r>
      <w:r>
        <w:rPr>
          <w:rFonts w:ascii="Times New Roman" w:hAnsi="Times New Roman"/>
          <w:sz w:val="20"/>
        </w:rPr>
        <w:t xml:space="preserve">X” equals the number of Warrant Shares to be issued to the Holder; </w:t>
      </w:r>
    </w:p>
    <w:p>
      <w:pPr>
        <w:pStyle w:val="TextBody"/>
        <w:bidi w:val="0"/>
        <w:spacing w:before="12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120" w:after="0"/>
        <w:jc w:val="left"/>
        <w:rPr/>
      </w:pPr>
      <w:r>
        <w:rPr/>
        <w:t>“</w:t>
      </w:r>
      <w:r>
        <w:rPr>
          <w:rFonts w:ascii="Times New Roman" w:hAnsi="Times New Roman"/>
          <w:sz w:val="20"/>
        </w:rPr>
        <w:t xml:space="preserve">A” equals the Closing Sale Price per Ordinary Shares as of the Trading Day on the date immediately preceding the Exercise Date; and </w:t>
      </w:r>
    </w:p>
    <w:p>
      <w:pPr>
        <w:pStyle w:val="TextBody"/>
        <w:bidi w:val="0"/>
        <w:spacing w:before="120" w:after="0"/>
        <w:jc w:val="left"/>
        <w:rPr/>
      </w:pPr>
      <w:r>
        <w:rPr/>
        <w:t>“</w:t>
      </w:r>
      <w:r>
        <w:rPr>
          <w:rFonts w:ascii="Times New Roman" w:hAnsi="Times New Roman"/>
          <w:sz w:val="20"/>
        </w:rPr>
        <w:t xml:space="preserve">B” equals the Exercise Price per Warrant Share then in effect on the Exercise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such a “cashless exercise” transaction shall be deemed to have been acquired by the Holder, and the holding period for the Warrant Shares shall be deemed to have commenced, on Original Issue Date (provided that the Commission continues to take the position that such treatment is proper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In no event will the exercise of this Warrant be settled in cash.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Limitations on 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cause the aggregate number of Ordinary Shares beneficially owned by the Holder, its Affiliates and any other Persons whose beneficial ownership of Ordinary Shares would be aggregated with the Holder’s for purposes of Section 13(d) of the Exchange Act, to exceed 9.99% (the “</w:t>
      </w:r>
      <w:r>
        <w:rPr>
          <w:rFonts w:ascii="Times New Roman" w:hAnsi="Times New Roman"/>
          <w:b/>
          <w:sz w:val="20"/>
        </w:rPr>
        <w:t>Maximum Percentage</w:t>
      </w:r>
      <w:r>
        <w:rPr>
          <w:rFonts w:ascii="Times New Roman" w:hAnsi="Times New Roman"/>
          <w:sz w:val="20"/>
        </w:rPr>
        <w:t xml:space="preserve">”) of the total number of issued and outstanding Ordinary Shares of the Company following such exercise. Any portion of an exercise that would result in the issuance of shares in excess of the Maximum Percentage shall be treated as null and void ab initio. For purposes of this Warrant, in determining the number of outstanding Ordinary Shares, the Holder may rely on the number of outstanding Ordinary Shares as reflected in (x) the Company’s most recent Form 20-F or quarterly condensed consolidated financial statements filed as an exhibit to Form 6-K, as the case may be, filed with the Commission prior to the date hereof, (y) a more recent public announcement by the Company or (z) any other notice by the Company or its transfer agent setting forth the number of Ordinary outstanding. Upon the written request of the Holder, the Company shall within three (3) Trading Days confirm in writing or by electronic mail to the Holder the number of Ordinary Shares then outstanding. In any case, the number of outstanding Ordinary Shares shall be determined after giving effect to the conversion or exercise of securities of the Company, including this Warrant, by the Holder since the date as of which such number of outstanding Ordinary Shares was reported. By written notice to the Company, the Holder may from time to time increase or decrease the Maximum Percentage to any other percentage specified not in excess of 19.99% specified in such notice; provided that any such increase will not be effective until the sixty-first (61st) day after such notice is delivered to the Company. For purposes of this Section 10(a), the aggregate number of Ordinary Shares or voting securities beneficially owned by the Holder, its Affiliates and any other Persons whose beneficial ownership of Ordinary Shares would be aggregated with the Holder’s for purposes of Section 13(d) of the Exchange Act shall include the Ordinary Shares issuable upon the exercise of this Warrant with respect to which such determination is being made, but shall exclude the number of Ordinary Shares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Ordinary Shares, including without limitation any debt,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 right, option, warrant or other instrument that is at any time convertible into or exercisable or exchangeable for, or otherwise entitles the holder thereof to receive, Ordinary Shares), is subject to a limitation on conversion or exercise analogous to the limitation contained herein and is beneficially owned by the Holder, its Affiliates or other any other Persons whose beneficial ownership of Ordinary Shares would be aggregated with the Holder’s for purposes of Section 13(d) of the Exchange Act. For purposes of clarity, the Warrant Shares issuable pursuant to the terms of this Warrant in excess of the Maximum Percentage shall not be deemed to be beneficially owned by the Holder for any purpose including for purposes of Section 13(d) of the Exchange Act or Rule 16a-1(a)(1) promulgated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(b) This Section 10 shall not restrict the number of Ordinary Shares which a Holder may receive or beneficially own in order to determine the amount of securities or other consideration that such Holder may receive in the event of a Fundamental Transaction as contemplated in Section 8(c)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via confirmed email prior to 5:30 P.M., New York City time, on a Trading Day, (ii) the next Trading Day after the date of transmission, if such notice or communication is delivered via confirmed email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addresses and email addresses for such communications shall be: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Immatics N.V. </w:t>
      </w:r>
    </w:p>
    <w:p>
      <w:pPr>
        <w:pStyle w:val="TextBody"/>
        <w:bidi w:val="0"/>
        <w:spacing w:before="0" w:after="0"/>
        <w:jc w:val="left"/>
        <w:rPr>
          <w:rFonts w:ascii="Times New Roman" w:hAnsi="Times New Roman"/>
          <w:sz w:val="20"/>
        </w:rPr>
      </w:pPr>
      <w:r>
        <w:rPr>
          <w:rFonts w:ascii="Times New Roman" w:hAnsi="Times New Roman"/>
          <w:sz w:val="20"/>
        </w:rPr>
        <w:t xml:space="preserve">Paul-Ehrlich-Strasse 15 </w:t>
      </w:r>
    </w:p>
    <w:p>
      <w:pPr>
        <w:pStyle w:val="TextBody"/>
        <w:bidi w:val="0"/>
        <w:spacing w:before="0" w:after="0"/>
        <w:jc w:val="left"/>
        <w:rPr>
          <w:rFonts w:ascii="Times New Roman" w:hAnsi="Times New Roman"/>
          <w:sz w:val="20"/>
        </w:rPr>
      </w:pPr>
      <w:r>
        <w:rPr>
          <w:rFonts w:ascii="Times New Roman" w:hAnsi="Times New Roman"/>
          <w:sz w:val="20"/>
        </w:rPr>
        <w:t xml:space="preserve">72076 Tübingen </w:t>
      </w:r>
    </w:p>
    <w:p>
      <w:pPr>
        <w:pStyle w:val="TextBody"/>
        <w:bidi w:val="0"/>
        <w:spacing w:before="0" w:after="0"/>
        <w:jc w:val="left"/>
        <w:rPr>
          <w:rFonts w:ascii="Times New Roman" w:hAnsi="Times New Roman"/>
          <w:sz w:val="20"/>
        </w:rPr>
      </w:pPr>
      <w:r>
        <w:rPr>
          <w:rFonts w:ascii="Times New Roman" w:hAnsi="Times New Roman"/>
          <w:sz w:val="20"/>
        </w:rPr>
        <w:t xml:space="preserve">Germany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warrants@immatics.com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Davis Polk &amp; Wardwell LLP </w:t>
      </w:r>
    </w:p>
    <w:p>
      <w:pPr>
        <w:pStyle w:val="TextBody"/>
        <w:bidi w:val="0"/>
        <w:spacing w:before="0" w:after="0"/>
        <w:jc w:val="left"/>
        <w:rPr>
          <w:rFonts w:ascii="Times New Roman" w:hAnsi="Times New Roman"/>
          <w:sz w:val="20"/>
        </w:rPr>
      </w:pPr>
      <w:r>
        <w:rPr>
          <w:rFonts w:ascii="Times New Roman" w:hAnsi="Times New Roman"/>
          <w:sz w:val="20"/>
        </w:rPr>
        <w:t xml:space="preserve">450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0" w:after="0"/>
        <w:jc w:val="left"/>
        <w:rPr>
          <w:rFonts w:ascii="Times New Roman" w:hAnsi="Times New Roman"/>
          <w:sz w:val="20"/>
        </w:rPr>
      </w:pPr>
      <w:r>
        <w:rPr>
          <w:rFonts w:ascii="Times New Roman" w:hAnsi="Times New Roman"/>
          <w:sz w:val="20"/>
        </w:rPr>
        <w:t xml:space="preserve">Attention: Yasin Keshvargar </w:t>
      </w:r>
    </w:p>
    <w:p>
      <w:pPr>
        <w:pStyle w:val="TextBody"/>
        <w:bidi w:val="0"/>
        <w:spacing w:before="0" w:after="0"/>
        <w:jc w:val="left"/>
        <w:rPr>
          <w:rFonts w:ascii="Times New Roman" w:hAnsi="Times New Roman"/>
          <w:sz w:val="20"/>
        </w:rPr>
      </w:pPr>
      <w:r>
        <w:rPr>
          <w:rFonts w:ascii="Times New Roman" w:hAnsi="Times New Roman"/>
          <w:sz w:val="20"/>
        </w:rPr>
        <w:t xml:space="preserve">Email: yasin.keshvargar@davispolk.com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the Holder, to its address or email address set forth herein or on the books and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Or, in each of the above instances, to such other address or email address as the recipient party has specified by written notice given to each other party at least five (5) days prior to the effectiveness of such change.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Warrant Agent</w:t>
      </w:r>
      <w:r>
        <w:rPr>
          <w:rFonts w:ascii="Times New Roman" w:hAnsi="Times New Roman"/>
          <w:sz w:val="20"/>
        </w:rPr>
        <w:t xml:space="preserve">. The Company or its Transfer Agent shall initially serve as warrant agent under this Warrant. Upon ten (10)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Rights as a Shareholder</w:t>
      </w:r>
      <w:r>
        <w:rPr>
          <w:rFonts w:ascii="Times New Roman" w:hAnsi="Times New Roman"/>
          <w:sz w:val="20"/>
        </w:rPr>
        <w:t xml:space="preserve">.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shareholder of the Company or any right to vote, give or withhold consent to any corporate action (whether any reorganization, issue of shares, reclassification of shares, consolidation, merger, demerger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Authorized Shares</w:t>
      </w:r>
      <w:r>
        <w:rPr>
          <w:rFonts w:ascii="Times New Roman" w:hAnsi="Times New Roman"/>
          <w:sz w:val="20"/>
        </w:rPr>
        <w:t xml:space="preserve">. Except and to the extent as waived or consented to by the Holder, the Company shall not by any action, including, without limitation, amending its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nominal value of any Warrant Shares above the pre-funded Purchase Price per Warrant Share, (ii) take all such action as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necessary or appropriate in order that the Company may validly and legally issue fully paid and nonassessable Warrant Shares (meaning that a holder of a Warrant Share shall not by reason of merely being such a holder be subject to assessment or calls by the Company or its creditors for further payment on such Warrant Share) upon the exercise of this Warrant, and (iii) obtain all such authorizations, exemptions or consents from any public regulatory body having jurisdiction thereof as may be necessary to enable the Company to perform its obligations under this Warrant.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Amendment and Waiver</w:t>
      </w:r>
      <w:r>
        <w:rPr>
          <w:rFonts w:ascii="Times New Roman" w:hAnsi="Times New Roman"/>
          <w:sz w:val="20"/>
        </w:rPr>
        <w:t xml:space="preserve">. Except as otherwise provided herein, this Warrant may be modified or amended or the provisions hereof waived with the written consent of the Company and the Holder.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NOTHING CONTAINED HEREIN SHALL BE DEEMED TO LIMIT IN ANY WAY ANY RIGHT TO SERVE PROCESS IN ANY MANNER PERMITTED BY LAW. EACH OF THE COMPANY AND THE HOLDER HEREBY WAIVES ALL RIGHTS TO A TRIAL BY JURY.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Severability</w:t>
      </w:r>
      <w:r>
        <w:rPr>
          <w:rFonts w:ascii="Times New Roman" w:hAnsi="Times New Roman"/>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26"/>
        <w:gridCol w:w="70"/>
        <w:gridCol w:w="3586"/>
      </w:tblGrid>
      <w:tr>
        <w:trPr/>
        <w:tc>
          <w:tcPr>
            <w:tcW w:w="426"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IMMATICS N.V.</w:t>
            </w:r>
          </w:p>
        </w:tc>
      </w:tr>
      <w:tr>
        <w:trPr>
          <w:trHeight w:val="240" w:hRule="atLeast"/>
        </w:trPr>
        <w:tc>
          <w:tcPr>
            <w:tcW w:w="426" w:type="dxa"/>
            <w:tcBorders/>
            <w:vAlign w:val="center"/>
          </w:tcPr>
          <w:p>
            <w:pPr>
              <w:pStyle w:val="TableContents"/>
              <w:bidi w:val="0"/>
              <w:spacing w:before="0" w:after="283"/>
              <w:jc w:val="left"/>
              <w:rPr>
                <w:sz w:val="4"/>
                <w:szCs w:val="4"/>
              </w:rPr>
            </w:pPr>
            <w:r>
              <w:rPr>
                <w:sz w:val="4"/>
                <w:szCs w:val="4"/>
              </w:rPr>
            </w:r>
          </w:p>
        </w:tc>
        <w:tc>
          <w:tcPr>
            <w:tcW w:w="3656" w:type="dxa"/>
            <w:gridSpan w:val="2"/>
            <w:tcBorders/>
            <w:vAlign w:val="center"/>
          </w:tcPr>
          <w:p>
            <w:pPr>
              <w:pStyle w:val="TableContents"/>
              <w:bidi w:val="0"/>
              <w:spacing w:before="0" w:after="283"/>
              <w:jc w:val="left"/>
              <w:rPr>
                <w:sz w:val="4"/>
                <w:szCs w:val="4"/>
              </w:rPr>
            </w:pPr>
            <w:r>
              <w:rPr>
                <w:sz w:val="4"/>
                <w:szCs w:val="4"/>
              </w:rPr>
            </w:r>
          </w:p>
        </w:tc>
      </w:tr>
      <w:tr>
        <w:trPr/>
        <w:tc>
          <w:tcPr>
            <w:tcW w:w="426" w:type="dxa"/>
            <w:tcBorders/>
          </w:tcPr>
          <w:p>
            <w:pPr>
              <w:pStyle w:val="TableContents"/>
              <w:bidi w:val="0"/>
              <w:spacing w:before="0" w:after="283"/>
              <w:jc w:val="left"/>
              <w:rPr/>
            </w:pPr>
            <w:r>
              <w:rPr/>
              <w:t>By:</w:t>
            </w:r>
          </w:p>
        </w:tc>
        <w:tc>
          <w:tcPr>
            <w:tcW w:w="70" w:type="dxa"/>
            <w:tcBorders>
              <w:bottom w:val="single" w:sz="2" w:space="0" w:color="000000"/>
            </w:tcBorders>
            <w:tcMar>
              <w:bottom w:w="28" w:type="dxa"/>
            </w:tcMar>
            <w:vAlign w:val="bottom"/>
          </w:tcPr>
          <w:p>
            <w:pPr>
              <w:pStyle w:val="TableContents"/>
              <w:bidi w:val="0"/>
              <w:spacing w:before="0" w:after="283"/>
              <w:jc w:val="left"/>
              <w:rPr/>
            </w:pPr>
            <w:r>
              <w:rPr/>
              <w:t> </w:t>
            </w:r>
          </w:p>
        </w:tc>
        <w:tc>
          <w:tcPr>
            <w:tcW w:w="3586" w:type="dxa"/>
            <w:tcBorders>
              <w:bottom w:val="single" w:sz="2" w:space="0" w:color="000000"/>
            </w:tcBorders>
            <w:tcMar>
              <w:bottom w:w="28" w:type="dxa"/>
            </w:tcMar>
          </w:tcPr>
          <w:p>
            <w:pPr>
              <w:pStyle w:val="TableContents"/>
              <w:bidi w:val="0"/>
              <w:spacing w:before="0" w:after="283"/>
              <w:jc w:val="left"/>
              <w:rPr/>
            </w:pPr>
            <w:r>
              <w:rPr/>
              <w:t> </w:t>
            </w:r>
          </w:p>
        </w:tc>
      </w:tr>
      <w:tr>
        <w:trPr/>
        <w:tc>
          <w:tcPr>
            <w:tcW w:w="426"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5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26"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35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Pre-Funded Warrant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EXERCISE NOTICE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undersigned is the Holder of Warrant No. ___ (the “Warrant”) issued by Immatics N.V., a public limited liability company (</w:t>
            </w:r>
            <w:r>
              <w:rPr>
                <w:rFonts w:ascii="Times New Roman" w:hAnsi="Times New Roman"/>
                <w:i/>
                <w:sz w:val="20"/>
              </w:rPr>
              <w:t>naamloze vennootschap</w:t>
            </w:r>
            <w:r>
              <w:rPr>
                <w:rFonts w:ascii="Times New Roman" w:hAnsi="Times New Roman"/>
                <w:sz w:val="20"/>
              </w:rPr>
              <w:t xml:space="preserve">) under Dutch law (the “Company”). Capitalized terms used herein and not otherwise defined herein have the respective meanings set forth in the applicable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hereby exercises its right to purchase ___________ Warrant Shares pursuant to the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intends that payment of the Exercise Price shall be made as a “Cashless Exercise” under Section 9 of the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this Exercise Notice, the Company shall deliver to the Holder Warrant Shares determined in accordance with the terms of the Warrant. The Warrant Shares shall be delivered through DWAC to the following account: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Broker Name: </w:t>
      </w:r>
    </w:p>
    <w:p>
      <w:pPr>
        <w:pStyle w:val="TextBody"/>
        <w:bidi w:val="0"/>
        <w:spacing w:before="120" w:after="0"/>
        <w:jc w:val="left"/>
        <w:rPr>
          <w:rFonts w:ascii="Times New Roman" w:hAnsi="Times New Roman"/>
          <w:sz w:val="20"/>
        </w:rPr>
      </w:pPr>
      <w:r>
        <w:rPr>
          <w:rFonts w:ascii="Times New Roman" w:hAnsi="Times New Roman"/>
          <w:sz w:val="20"/>
        </w:rPr>
        <w:t xml:space="preserve">DTC Participant Number: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its delivery of this Exercise Notice, the undersigned represents and warrants to the Company that in giving effect to the exercise evidenced hereby, the Holder, its Affiliates and any other Persons whose beneficial ownership of Ordinary Shares would be aggregated with the Holder’s for purposes of Section 13(d) of the Exchange Act will not beneficially own in excess of the number of Ordinary Shares permitted to be owned under Section 10(a) of the Warrant to which this notice relates.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4"/>
        <w:gridCol w:w="61"/>
        <w:gridCol w:w="3327"/>
      </w:tblGrid>
      <w:tr>
        <w:trPr/>
        <w:tc>
          <w:tcPr>
            <w:tcW w:w="69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of Holder*</w:t>
            </w:r>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sz w:val="4"/>
                <w:szCs w:val="4"/>
              </w:rPr>
            </w:pPr>
            <w:r>
              <w:rPr>
                <w:sz w:val="4"/>
                <w:szCs w:val="4"/>
              </w:rPr>
            </w:r>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sz w:val="4"/>
                <w:szCs w:val="4"/>
              </w:rPr>
            </w:pPr>
            <w:r>
              <w:rPr>
                <w:sz w:val="4"/>
                <w:szCs w:val="4"/>
              </w:rPr>
            </w:r>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sz w:val="4"/>
                <w:szCs w:val="4"/>
              </w:rPr>
            </w:pPr>
            <w:r>
              <w:rPr>
                <w:sz w:val="4"/>
                <w:szCs w:val="4"/>
              </w:rPr>
            </w:r>
          </w:p>
        </w:tc>
      </w:tr>
      <w:tr>
        <w:trPr>
          <w:trHeight w:val="12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0"/>
              <w:jc w:val="left"/>
              <w:rPr>
                <w:rFonts w:ascii="Times New Roman" w:hAnsi="Times New Roman"/>
                <w:sz w:val="20"/>
              </w:rPr>
            </w:pPr>
            <w:r>
              <w:rPr>
                <w:rFonts w:ascii="Times New Roman" w:hAnsi="Times New Roman"/>
                <w:sz w:val="20"/>
              </w:rPr>
              <w:t>Date:</w:t>
            </w:r>
          </w:p>
        </w:tc>
        <w:tc>
          <w:tcPr>
            <w:tcW w:w="61"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tc>
      </w:tr>
    </w:tbl>
    <w:p>
      <w:pPr>
        <w:pStyle w:val="TextBody"/>
        <w:bidi w:val="0"/>
        <w:spacing w:before="0" w:after="0"/>
        <w:jc w:val="right"/>
        <w:rPr>
          <w:rFonts w:ascii="Times New Roman" w:hAnsi="Times New Roman"/>
          <w:b/>
          <w:sz w:val="20"/>
        </w:rPr>
      </w:pPr>
      <w:bookmarkStart w:id="6" w:name="d153472dex51.htm"/>
      <w:bookmarkStart w:id="7" w:name="ksd153472dex51"/>
      <w:bookmarkEnd w:id="6"/>
      <w:bookmarkEnd w:id="7"/>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1"/>
        <w:gridCol w:w="120"/>
        <w:gridCol w:w="3364"/>
        <w:gridCol w:w="120"/>
        <w:gridCol w:w="1500"/>
      </w:tblGrid>
      <w:tr>
        <w:trPr/>
        <w:tc>
          <w:tcPr>
            <w:tcW w:w="51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r>
      <w:tr>
        <w:trPr/>
        <w:tc>
          <w:tcPr>
            <w:tcW w:w="5101" w:type="dxa"/>
            <w:tcBorders/>
          </w:tcPr>
          <w:p>
            <w:pPr>
              <w:pStyle w:val="TableContents"/>
              <w:bidi w:val="0"/>
              <w:spacing w:before="0" w:after="283"/>
              <w:jc w:val="left"/>
              <w:rPr/>
            </w:pPr>
            <w:r>
              <w:rPr/>
              <w:t>ATTORNEYS  CIVIL LAW NOTARIES  TAX ADVISERS</w:t>
            </w:r>
          </w:p>
        </w:tc>
        <w:tc>
          <w:tcPr>
            <w:tcW w:w="120" w:type="dxa"/>
            <w:tcBorders/>
            <w:vAlign w:val="bottom"/>
          </w:tcPr>
          <w:p>
            <w:pPr>
              <w:pStyle w:val="TableContents"/>
              <w:bidi w:val="0"/>
              <w:spacing w:before="0" w:after="283"/>
              <w:jc w:val="left"/>
              <w:rPr/>
            </w:pPr>
            <w:r>
              <w:rPr/>
              <w:t>  </w:t>
            </w:r>
          </w:p>
        </w:tc>
        <w:tc>
          <w:tcPr>
            <w:tcW w:w="3364" w:type="dxa"/>
            <w:tcBorders/>
          </w:tcPr>
          <w:p>
            <w:pPr>
              <w:pStyle w:val="TableContents"/>
              <w:bidi w:val="0"/>
              <w:spacing w:before="0" w:after="283"/>
              <w:jc w:val="left"/>
              <w:rPr/>
            </w:pPr>
            <w:r>
              <w:rPr/>
              <w:drawing>
                <wp:inline distT="0" distB="0" distL="0" distR="0">
                  <wp:extent cx="1285240" cy="1549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85240" cy="15494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150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Beethovenstraat 400 </w:t>
      </w:r>
    </w:p>
    <w:p>
      <w:pPr>
        <w:pStyle w:val="TextBody"/>
        <w:bidi w:val="0"/>
        <w:spacing w:before="0" w:after="0"/>
        <w:jc w:val="left"/>
        <w:rPr>
          <w:rFonts w:ascii="Times New Roman" w:hAnsi="Times New Roman"/>
          <w:sz w:val="20"/>
        </w:rPr>
      </w:pPr>
      <w:r>
        <w:rPr>
          <w:rFonts w:ascii="Times New Roman" w:hAnsi="Times New Roman"/>
          <w:sz w:val="20"/>
        </w:rPr>
        <w:t xml:space="preserve">1082 PR Amsterdam </w:t>
      </w:r>
    </w:p>
    <w:p>
      <w:pPr>
        <w:pStyle w:val="TextBody"/>
        <w:bidi w:val="0"/>
        <w:spacing w:before="0" w:after="0"/>
        <w:jc w:val="left"/>
        <w:rPr>
          <w:rFonts w:ascii="Times New Roman" w:hAnsi="Times New Roman"/>
          <w:sz w:val="20"/>
        </w:rPr>
      </w:pPr>
      <w:r>
        <w:rPr>
          <w:rFonts w:ascii="Times New Roman" w:hAnsi="Times New Roman"/>
          <w:sz w:val="20"/>
        </w:rPr>
        <w:t xml:space="preserve">T +31 20 71 71 000 </w:t>
      </w:r>
    </w:p>
    <w:p>
      <w:pPr>
        <w:pStyle w:val="TextBody"/>
        <w:bidi w:val="0"/>
        <w:spacing w:before="480" w:after="0"/>
        <w:jc w:val="center"/>
        <w:rPr>
          <w:rFonts w:ascii="Times New Roman" w:hAnsi="Times New Roman"/>
          <w:sz w:val="20"/>
        </w:rPr>
      </w:pPr>
      <w:r>
        <w:rPr>
          <w:rFonts w:ascii="Times New Roman" w:hAnsi="Times New Roman"/>
          <w:sz w:val="20"/>
        </w:rPr>
        <w:t xml:space="preserve">Amsterdam, August 26, 2026. </w:t>
      </w:r>
    </w:p>
    <w:p>
      <w:pPr>
        <w:pStyle w:val="TextBody"/>
        <w:bidi w:val="0"/>
        <w:spacing w:before="240" w:after="0"/>
        <w:jc w:val="left"/>
        <w:rPr>
          <w:rFonts w:ascii="Times New Roman" w:hAnsi="Times New Roman"/>
          <w:sz w:val="20"/>
        </w:rPr>
      </w:pPr>
      <w:r>
        <w:rPr>
          <w:rFonts w:ascii="Times New Roman" w:hAnsi="Times New Roman"/>
          <w:sz w:val="20"/>
        </w:rPr>
        <w:t xml:space="preserve">To the Company: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legal counsel as to Dutch law to the Company in connection with the Offering and the filing of the Prospectus Supplement with the SEC. This opinion letter is rendered to you in order to be filed with the SEC as an exhibit to the Company’s report on Form 6-K to be filed with the SEC in connection with the closing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Capitalised terms used in this opinion letter have the meanings set forth in Exhibit A to this opinion letter. The headings used in this opinion letter are for convenience of reference only and are not to affect its construction or to be taken into consideration in its interpretation.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strictly limited to the matters stated in it and may not be read as extending by implication to any matters not specifically referred to in it. Nothing in this opinion letter should be taken as expressing an opinion in respect of any representations or warranties, or other information, contained in any document reviewed by us in connection with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expressed in this opinion letter, we have reviewed and relied upon drafts of the Reviewed Documents, the Registration Statement and the Prospectus Supplement as filed with SEC and pdf copies or drafts, as applicable, of the Corporate Documents and we have assumed that the Reviewed Documents shall be entered into for bona fide commercial reasons. We have not investigated or verified any factual matter disclosed to us in the course of our review.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sets out our opinion on certain matters of the laws with general applicability of the Netherlands, and, insofar as they are directly applicable in the Netherlands, of the European Union, as at today’s date and as presently interpreted under published authoritative case law of the Dutch courts, the General Court and the Court of Justice of the European Union. We do not express any opinion on Dutch or European competition law, data protection law, tax law, securitisation law or regulatory law. No undertaking is assumed on our part to revise, update or amend this opinion letter in connection with, or to notify or inform you of, any developments and/or changes of Dutch law subsequent to today’s date. We do not purport to opine on the consequences of amendments to the Reviewed Documents, the Registration Statement, the Prospectus Supplement or the Corporate Documents subsequent to the date of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All legal relationships are subject to NautaDutilh N.V.’s general terms and conditions (see https://www.nautadutilh.com/terms), which apply mutatis mutandis to our relationship with third parties relying on statements of NautaDutilh N.V., include a limitation of liability clause, have been filed with the Rotterdam District Court and will be provided free of charge upon request. NautaDutilh N.V.; corporate seat Rotterdam; trade register no. 24338323.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284605" cy="1543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84605" cy="1543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opinions expressed in this opinion letter are to be construed and interpreted in accordance with Dutch law. The competent courts at Amsterdam, the Netherlands, have exclusive jurisdiction to settle any issues of interpretation or liability arising out of or in connection with this opinion letter. Any legal relationship arising out of or in connection with this opinion letter (whether contractual or non-contractual), including the above submission to jurisdiction, is governed by Dutch law and shall be subject to the general terms and conditions of NautaDutilh. Any liability arising out of or in connection with this opinion letter shall be limited to the amount which is paid out under NautaDutilh’s insurance policy in the matter concerned. No person other than NautaDutilh may be held liable in connection with this opinion letter. </w:t>
      </w:r>
    </w:p>
    <w:p>
      <w:pPr>
        <w:pStyle w:val="TextBody"/>
        <w:bidi w:val="0"/>
        <w:spacing w:before="240" w:after="0"/>
        <w:jc w:val="left"/>
        <w:rPr>
          <w:rFonts w:ascii="Times New Roman" w:hAnsi="Times New Roman"/>
          <w:sz w:val="20"/>
        </w:rPr>
      </w:pPr>
      <w:r>
        <w:rPr>
          <w:rFonts w:ascii="Times New Roman" w:hAnsi="Times New Roman"/>
          <w:sz w:val="20"/>
        </w:rPr>
        <w:t xml:space="preserve">In this opinion letter, legal concepts are expressed in English terms. The Dutch legal concepts concerned may not be identical in meaning to the concepts described by the English terms as they exist under the law of other jurisdictions. In the event of a conflict or inconsistency, the relevant expression shall be deemed to refer only to the Dutch legal concepts described by the English terms.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opinion letter, we have assumed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drafts of documents reviewed by us will be signed in the form of those drafts, each copy of a document conforms to the original, each original is authentic, and each signature is the genuine signature of the individual purported to have placed that signature;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has been declared effective by the SEC and the Prospectus Supplement has been filed with the SEC, in each case in the form reviewed by us prior to the first Relevant Moment;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signature under any document is an electronic signature (as opposed to a handwritten (“wet ink”) signature) only, it is either a qualified electronic signature within the meaning of the eIDAS Regulation, or the method used for signing is otherwise sufficiently reliable;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each Relevant Moment, (i) Ordinary Shares shall have been admitted for trading on a trading system outside the European Economic Area comparable to a regulated market or a multilateral trading facility as referred to in Section 2:86c(1) DCC and (ii) no financial instruments issued by the Company (or depository receipts for or otherwise representing such financial instruments) shall have been admitted to trading on a regulated market, multilateral trading facility or organised trading facility operating in the European Economic Area (and no request for admission of any such financial instruments to trading on any such trading venue shall have been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Deed of Incorporation and the Deed of Conversion is a valid notarial deed; </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284605" cy="1543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84605" cy="1543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f.</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(i) no internal regulations (</w:t>
            </w:r>
            <w:r>
              <w:rPr>
                <w:rFonts w:ascii="Times New Roman" w:hAnsi="Times New Roman"/>
                <w:i/>
                <w:sz w:val="20"/>
              </w:rPr>
              <w:t>reglementen</w:t>
            </w:r>
            <w:r>
              <w:rPr>
                <w:rFonts w:ascii="Times New Roman" w:hAnsi="Times New Roman"/>
                <w:sz w:val="20"/>
              </w:rPr>
              <w:t xml:space="preserve">) have been or shall have been, as applicable, adopted by any corporate body of the Company which would affect the validity of the resolutions recorded in the Resolutions and (ii) the Current Articles are the Articles of Association currently in force and as they will be in force at each Relevant Moment;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g.</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each Relevant Moment, (i) the resolutions recorded in the Resolutions shall accurately reflect the resolutions passed and shall be in full force and effect and (ii) the factual statements made and the confirmations given in the Resolutions and in each Deed of Issue shall be complete and correct;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at each Relevant Moment, the authorised share capital (</w:t>
            </w:r>
            <w:r>
              <w:rPr>
                <w:rFonts w:ascii="Times New Roman" w:hAnsi="Times New Roman"/>
                <w:i/>
                <w:sz w:val="20"/>
              </w:rPr>
              <w:t>maatschappelijk kapitaal</w:t>
            </w:r>
            <w:r>
              <w:rPr>
                <w:rFonts w:ascii="Times New Roman" w:hAnsi="Times New Roman"/>
                <w:sz w:val="20"/>
              </w:rPr>
              <w:t xml:space="preserve">) of the Company shall allow for the issuance of the Offer Shares, Option Shares and Warrant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Relevant Moment, the relevant Deed of Issue shall have been validly signed and executed on behalf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j.</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pre-funded amounts paid for the Warrants constitute payment (</w:t>
            </w:r>
            <w:r>
              <w:rPr>
                <w:rFonts w:ascii="Times New Roman" w:hAnsi="Times New Roman"/>
                <w:i/>
                <w:sz w:val="20"/>
              </w:rPr>
              <w:t>volstorting</w:t>
            </w:r>
            <w:r>
              <w:rPr>
                <w:rFonts w:ascii="Times New Roman" w:hAnsi="Times New Roman"/>
                <w:sz w:val="20"/>
              </w:rPr>
              <w:t xml:space="preserve">) of the underlying Warrant Shares, such amounts are at least equal to the aggregate nominal value of the underlying Warrant Shares, and such amounts shall have been paid in cash as provided for in the relevant Warrant Agreement and shall have been received and accepted by the Company ultimately upon the issuance of the relevant Warrant Shares and, where relevant, the Company shall have consented to payment in a currency other than Euro;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k.</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the Option and each Warrant (i) has been validly granted as a right to subscribe for Ordinary Shares (</w:t>
            </w:r>
            <w:r>
              <w:rPr>
                <w:rFonts w:ascii="Times New Roman" w:hAnsi="Times New Roman"/>
                <w:i/>
                <w:sz w:val="20"/>
              </w:rPr>
              <w:t>recht tot het nemen van aandelen</w:t>
            </w:r>
            <w:r>
              <w:rPr>
                <w:rFonts w:ascii="Times New Roman" w:hAnsi="Times New Roman"/>
                <w:sz w:val="20"/>
              </w:rPr>
              <w:t xml:space="preserve">), (ii) shall be in full force and effect upon being exercised and (iii) shall have been validly exercised in accordance with the terms of the Underwriting Agreement or the relevant Warrant Agreement,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l.</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to the extent made in the Netherlands, has been, is and will be made in conformity with the Prospectus Regulation, the PRIIPs Regulation and the rules promulgated thereunder;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m.</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each Relevant Moment, each of the assumptions made in this opinion letter was or will be, as applicable, correct in all aspects by reference to the facts and circumstances then existing. </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266825" cy="15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66825" cy="152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upon and subject to the foregoing and subject to the qualifications set forth in this opinion letter and to any matters, documents or events not disclosed to us, we express the following opinions: </w:t>
      </w:r>
    </w:p>
    <w:p>
      <w:pPr>
        <w:pStyle w:val="TextBody"/>
        <w:bidi w:val="0"/>
        <w:spacing w:before="120" w:after="0"/>
        <w:jc w:val="left"/>
        <w:rPr>
          <w:rFonts w:ascii="Times New Roman" w:hAnsi="Times New Roman"/>
          <w:b/>
          <w:sz w:val="20"/>
        </w:rPr>
      </w:pPr>
      <w:r>
        <w:rPr>
          <w:rFonts w:ascii="Times New Roman" w:hAnsi="Times New Roman"/>
          <w:b/>
          <w:sz w:val="20"/>
        </w:rPr>
        <w:t xml:space="preserve">Incorporation and Corporate Status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been duly incorporated as a </w:t>
            </w:r>
            <w:r>
              <w:rPr>
                <w:rFonts w:ascii="Times New Roman" w:hAnsi="Times New Roman"/>
                <w:i/>
                <w:sz w:val="20"/>
              </w:rPr>
              <w:t>besloten</w:t>
            </w:r>
            <w:r>
              <w:rPr>
                <w:rFonts w:ascii="Times New Roman" w:hAnsi="Times New Roman"/>
                <w:sz w:val="20"/>
              </w:rPr>
              <w:t xml:space="preserve"> </w:t>
            </w:r>
            <w:r>
              <w:rPr>
                <w:rFonts w:ascii="Times New Roman" w:hAnsi="Times New Roman"/>
                <w:i/>
                <w:sz w:val="20"/>
              </w:rPr>
              <w:t>vennootschap</w:t>
            </w:r>
            <w:r>
              <w:rPr>
                <w:rFonts w:ascii="Times New Roman" w:hAnsi="Times New Roman"/>
                <w:sz w:val="20"/>
              </w:rPr>
              <w:t xml:space="preserve"> </w:t>
            </w:r>
            <w:r>
              <w:rPr>
                <w:rFonts w:ascii="Times New Roman" w:hAnsi="Times New Roman"/>
                <w:i/>
                <w:sz w:val="20"/>
              </w:rPr>
              <w:t>met beperkte</w:t>
            </w:r>
            <w:r>
              <w:rPr>
                <w:rFonts w:ascii="Times New Roman" w:hAnsi="Times New Roman"/>
                <w:sz w:val="20"/>
              </w:rPr>
              <w:t xml:space="preserve"> </w:t>
            </w:r>
            <w:r>
              <w:rPr>
                <w:rFonts w:ascii="Times New Roman" w:hAnsi="Times New Roman"/>
                <w:i/>
                <w:sz w:val="20"/>
              </w:rPr>
              <w:t>aansprakelijkheid</w:t>
            </w:r>
            <w:r>
              <w:rPr>
                <w:rFonts w:ascii="Times New Roman" w:hAnsi="Times New Roman"/>
                <w:sz w:val="20"/>
              </w:rPr>
              <w:t xml:space="preserve"> and is validly existing as a </w:t>
            </w:r>
            <w:r>
              <w:rPr>
                <w:rFonts w:ascii="Times New Roman" w:hAnsi="Times New Roman"/>
                <w:i/>
                <w:sz w:val="20"/>
              </w:rPr>
              <w:t>naamloze</w:t>
            </w:r>
            <w:r>
              <w:rPr>
                <w:rFonts w:ascii="Times New Roman" w:hAnsi="Times New Roman"/>
                <w:sz w:val="20"/>
              </w:rPr>
              <w:t xml:space="preserve"> </w:t>
            </w:r>
            <w:r>
              <w:rPr>
                <w:rFonts w:ascii="Times New Roman" w:hAnsi="Times New Roman"/>
                <w:i/>
                <w:sz w:val="20"/>
              </w:rPr>
              <w:t>vennootschap</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Offer Shares, Option Shares and Warrant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receipt by the Company of payment in full for the Offer Shares and the Option Shares as provided for in the Reviewed Documents, and when issued and accepted in accordance with the Resolutions and the Reviewed Documents, the Offer Shares and the Option Shares shall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receipt by the Company of payment in full for, or other satisfaction of the exercise price for, the Warrant Shares in accordance with the relevant Warrant Agreement, and when issued and accepted in accordance with the Resolutions and the relevant Warrant Agreement, the Warrant Shares shall be validly issued, fully paid and non-assessable.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opinions expressed above are subject to the following qualifications: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opinion expressed in paragraph 1 of this opinion letter must not be read to imply that the Company cannot be dissolved (</w:t>
            </w:r>
            <w:r>
              <w:rPr>
                <w:rFonts w:ascii="Times New Roman" w:hAnsi="Times New Roman"/>
                <w:i/>
                <w:sz w:val="20"/>
              </w:rPr>
              <w:t>ontbonden</w:t>
            </w:r>
            <w:r>
              <w:rPr>
                <w:rFonts w:ascii="Times New Roman" w:hAnsi="Times New Roman"/>
                <w:sz w:val="20"/>
              </w:rPr>
              <w:t>). A company such as the Company may be dissolved, inter alia by the competent court at the request of its board of directors (</w:t>
            </w:r>
            <w:r>
              <w:rPr>
                <w:rFonts w:ascii="Times New Roman" w:hAnsi="Times New Roman"/>
                <w:i/>
                <w:sz w:val="20"/>
              </w:rPr>
              <w:t>bestuur</w:t>
            </w:r>
            <w:r>
              <w:rPr>
                <w:rFonts w:ascii="Times New Roman" w:hAnsi="Times New Roman"/>
                <w:sz w:val="20"/>
              </w:rPr>
              <w:t>), any interested party (</w:t>
            </w:r>
            <w:r>
              <w:rPr>
                <w:rFonts w:ascii="Times New Roman" w:hAnsi="Times New Roman"/>
                <w:i/>
                <w:sz w:val="20"/>
              </w:rPr>
              <w:t>belanghebbende</w:t>
            </w:r>
            <w:r>
              <w:rPr>
                <w:rFonts w:ascii="Times New Roman" w:hAnsi="Times New Roman"/>
                <w:sz w:val="20"/>
              </w:rPr>
              <w:t xml:space="preserve">) or the public prosecution office in certain circumstances, such as when there are certain defects in the incorporation of the company. Any such dissolution will not have retro-active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Section 2:7 DCC, any transaction entered into by a legal entity may be nullified by the legal entity itself or its liquidator in bankruptcy proceedings (</w:t>
            </w:r>
            <w:r>
              <w:rPr>
                <w:rFonts w:ascii="Times New Roman" w:hAnsi="Times New Roman"/>
                <w:i/>
                <w:sz w:val="20"/>
              </w:rPr>
              <w:t>curator</w:t>
            </w:r>
            <w:r>
              <w:rPr>
                <w:rFonts w:ascii="Times New Roman" w:hAnsi="Times New Roman"/>
                <w:sz w:val="20"/>
              </w:rPr>
              <w:t>) if the objects of that entity were transgressed by the transaction and the other party to the transaction knew or should have known this without independent investigation (</w:t>
            </w:r>
            <w:r>
              <w:rPr>
                <w:rFonts w:ascii="Times New Roman" w:hAnsi="Times New Roman"/>
                <w:i/>
                <w:sz w:val="20"/>
              </w:rPr>
              <w:t>wist of zonder eigen onderzoek moest weten</w:t>
            </w:r>
            <w:r>
              <w:rPr>
                <w:rFonts w:ascii="Times New Roman" w:hAnsi="Times New Roman"/>
                <w:sz w:val="20"/>
              </w:rPr>
              <w:t>). The Dutch Supreme Court (</w:t>
            </w:r>
            <w:r>
              <w:rPr>
                <w:rFonts w:ascii="Times New Roman" w:hAnsi="Times New Roman"/>
                <w:i/>
                <w:sz w:val="20"/>
              </w:rPr>
              <w:t>Hoge Raad der Nederlanden</w:t>
            </w:r>
            <w:r>
              <w:rPr>
                <w:rFonts w:ascii="Times New Roman" w:hAnsi="Times New Roman"/>
                <w:sz w:val="20"/>
              </w:rPr>
              <w:t>) has ruled that in determining whether the objects of a legal entity are transgressed, not only the description of the objects in that legal entity’s articles of association (</w:t>
            </w:r>
            <w:r>
              <w:rPr>
                <w:rFonts w:ascii="Times New Roman" w:hAnsi="Times New Roman"/>
                <w:i/>
                <w:sz w:val="20"/>
              </w:rPr>
              <w:t>statuten</w:t>
            </w:r>
            <w:r>
              <w:rPr>
                <w:rFonts w:ascii="Times New Roman" w:hAnsi="Times New Roman"/>
                <w:sz w:val="20"/>
              </w:rPr>
              <w:t xml:space="preserve">) is decisive, but all (relevant) circumstances must be taken into account, in particular whether the </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266825"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66825" cy="152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interests of the legal entity were served by the transaction. Based on the objects clause contained in the Current Articles, we have no reason to believe that, by entering into the Reviewed Documents, the Company would transgress the description of the objects contained in its Articles of Association. However, we cannot assess whether there are other relevant circumstances that must be taken into account, in particular whether the interests of the Company are served by entering into the Reviewed Documents since this is a matter of fact.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Section 2:98c DCC, a </w:t>
            </w:r>
            <w:r>
              <w:rPr>
                <w:rFonts w:ascii="Times New Roman" w:hAnsi="Times New Roman"/>
                <w:i/>
                <w:sz w:val="20"/>
              </w:rPr>
              <w:t>naamloze vennootschap</w:t>
            </w:r>
            <w:r>
              <w:rPr>
                <w:rFonts w:ascii="Times New Roman" w:hAnsi="Times New Roman"/>
                <w:sz w:val="20"/>
              </w:rPr>
              <w:t xml:space="preserve"> may grant loans (</w:t>
            </w:r>
            <w:r>
              <w:rPr>
                <w:rFonts w:ascii="Times New Roman" w:hAnsi="Times New Roman"/>
                <w:i/>
                <w:sz w:val="20"/>
              </w:rPr>
              <w:t>leningen verstrekken</w:t>
            </w:r>
            <w:r>
              <w:rPr>
                <w:rFonts w:ascii="Times New Roman" w:hAnsi="Times New Roman"/>
                <w:sz w:val="20"/>
              </w:rPr>
              <w:t>) only in accordance with the restrictions set out in Section 2:98c DCC, and may not provide security (</w:t>
            </w:r>
            <w:r>
              <w:rPr>
                <w:rFonts w:ascii="Times New Roman" w:hAnsi="Times New Roman"/>
                <w:i/>
                <w:sz w:val="20"/>
              </w:rPr>
              <w:t>zekerheid stellen</w:t>
            </w:r>
            <w:r>
              <w:rPr>
                <w:rFonts w:ascii="Times New Roman" w:hAnsi="Times New Roman"/>
                <w:sz w:val="20"/>
              </w:rPr>
              <w:t>), give a price guarantee (</w:t>
            </w:r>
            <w:r>
              <w:rPr>
                <w:rFonts w:ascii="Times New Roman" w:hAnsi="Times New Roman"/>
                <w:i/>
                <w:sz w:val="20"/>
              </w:rPr>
              <w:t>koersgarantie geven</w:t>
            </w:r>
            <w:r>
              <w:rPr>
                <w:rFonts w:ascii="Times New Roman" w:hAnsi="Times New Roman"/>
                <w:sz w:val="20"/>
              </w:rPr>
              <w:t>) or otherwise bind itself, whether jointly and severally or otherwise with or for third parties (</w:t>
            </w:r>
            <w:r>
              <w:rPr>
                <w:rFonts w:ascii="Times New Roman" w:hAnsi="Times New Roman"/>
                <w:i/>
                <w:sz w:val="20"/>
              </w:rPr>
              <w:t>zich op andere wijze sterk maken of zich hoofdelijk of anderszins naast of voor anderen verbinden</w:t>
            </w:r>
            <w:r>
              <w:rPr>
                <w:rFonts w:ascii="Times New Roman" w:hAnsi="Times New Roman"/>
                <w:sz w:val="20"/>
              </w:rPr>
              <w:t>) with a view to (</w:t>
            </w:r>
            <w:r>
              <w:rPr>
                <w:rFonts w:ascii="Times New Roman" w:hAnsi="Times New Roman"/>
                <w:i/>
                <w:sz w:val="20"/>
              </w:rPr>
              <w:t>met het oog op</w:t>
            </w:r>
            <w:r>
              <w:rPr>
                <w:rFonts w:ascii="Times New Roman" w:hAnsi="Times New Roman"/>
                <w:sz w:val="20"/>
              </w:rPr>
              <w:t>) the subscription or acquisition by third parties of shares in its share capital or depository receipts. This prohibition also applies to its subsidiaries (</w:t>
            </w:r>
            <w:r>
              <w:rPr>
                <w:rFonts w:ascii="Times New Roman" w:hAnsi="Times New Roman"/>
                <w:i/>
                <w:sz w:val="20"/>
              </w:rPr>
              <w:t>dochtervennootschappen</w:t>
            </w:r>
            <w:r>
              <w:rPr>
                <w:rFonts w:ascii="Times New Roman" w:hAnsi="Times New Roman"/>
                <w:sz w:val="20"/>
              </w:rPr>
              <w:t>). It is generally assumed that a transaction entered into in violation of Section 2:98c DCC is null and void (</w:t>
            </w:r>
            <w:r>
              <w:rPr>
                <w:rFonts w:ascii="Times New Roman" w:hAnsi="Times New Roman"/>
                <w:i/>
                <w:sz w:val="20"/>
              </w:rPr>
              <w:t>nietig</w:t>
            </w:r>
            <w:r>
              <w:rPr>
                <w:rFonts w:ascii="Times New Roman" w:hAnsi="Times New Roman"/>
                <w:sz w:val="20"/>
              </w:rPr>
              <w:t xml:space="preserve">). Based on the content of the Reviewed Documents, we have no reason to believe that the Company or its subsidiaries would violate Section 2:98c DCC in connection with the issue of the Offer Shares, Option Shares or Warrant Shares. However, we cannot confirm this definitively, since this is a matter of fact.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opinions expressed in this opinion letter may be limited or affected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rules relating to Insolvency Proceedings or similar proceedings under a foreign law and other rules affecting creditors’ rights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provisions of fraudulent preference and fraudulent conveyance (</w:t>
            </w:r>
            <w:r>
              <w:rPr>
                <w:rFonts w:ascii="Times New Roman" w:hAnsi="Times New Roman"/>
                <w:i/>
                <w:sz w:val="20"/>
              </w:rPr>
              <w:t>Actio Pauliana</w:t>
            </w:r>
            <w:r>
              <w:rPr>
                <w:rFonts w:ascii="Times New Roman" w:hAnsi="Times New Roman"/>
                <w:sz w:val="20"/>
              </w:rPr>
              <w:t xml:space="preserve">) and similar rights available in other jurisdictions to insolvency practitioners and insolvency office holders in bankruptcy proceedings or creditors;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claims based on tort (</w:t>
            </w:r>
            <w:r>
              <w:rPr>
                <w:rFonts w:ascii="Times New Roman" w:hAnsi="Times New Roman"/>
                <w:i/>
                <w:sz w:val="20"/>
              </w:rPr>
              <w:t>onrechtmatige daad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sanctions and measures, including but not limited to those concerning export control, pursuant to European Union regulations, under the Dutch Sanctions Act 1977 (</w:t>
            </w:r>
            <w:r>
              <w:rPr>
                <w:rFonts w:ascii="Times New Roman" w:hAnsi="Times New Roman"/>
                <w:i/>
                <w:sz w:val="20"/>
              </w:rPr>
              <w:t>Sanctiewet 1977</w:t>
            </w:r>
            <w:r>
              <w:rPr>
                <w:rFonts w:ascii="Times New Roman" w:hAnsi="Times New Roman"/>
                <w:sz w:val="20"/>
              </w:rPr>
              <w:t xml:space="preserve">) or other legislation; </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266825"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66825" cy="152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Anti-Boycott Regulation, Anti Money Laundering Laws and related legislation;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intervention, recovery or resolution measure by any regulatory or other authority or governmental body in relation to financial enterprises or their affiliated entities;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rules of force majeure (</w:t>
            </w:r>
            <w:r>
              <w:rPr>
                <w:rFonts w:ascii="Times New Roman" w:hAnsi="Times New Roman"/>
                <w:i/>
                <w:sz w:val="20"/>
              </w:rPr>
              <w:t>niet toerekenbare tekortkoming</w:t>
            </w:r>
            <w:r>
              <w:rPr>
                <w:rFonts w:ascii="Times New Roman" w:hAnsi="Times New Roman"/>
                <w:sz w:val="20"/>
              </w:rPr>
              <w:t>), reasonableness and fairness (</w:t>
            </w:r>
            <w:r>
              <w:rPr>
                <w:rFonts w:ascii="Times New Roman" w:hAnsi="Times New Roman"/>
                <w:i/>
                <w:sz w:val="20"/>
              </w:rPr>
              <w:t>redelijkheid en billijkheid</w:t>
            </w:r>
            <w:r>
              <w:rPr>
                <w:rFonts w:ascii="Times New Roman" w:hAnsi="Times New Roman"/>
                <w:sz w:val="20"/>
              </w:rPr>
              <w:t>), suspension (</w:t>
            </w:r>
            <w:r>
              <w:rPr>
                <w:rFonts w:ascii="Times New Roman" w:hAnsi="Times New Roman"/>
                <w:i/>
                <w:sz w:val="20"/>
              </w:rPr>
              <w:t>opschorting</w:t>
            </w:r>
            <w:r>
              <w:rPr>
                <w:rFonts w:ascii="Times New Roman" w:hAnsi="Times New Roman"/>
                <w:sz w:val="20"/>
              </w:rPr>
              <w:t>), dissolution (</w:t>
            </w:r>
            <w:r>
              <w:rPr>
                <w:rFonts w:ascii="Times New Roman" w:hAnsi="Times New Roman"/>
                <w:i/>
                <w:sz w:val="20"/>
              </w:rPr>
              <w:t>ontbinding</w:t>
            </w:r>
            <w:r>
              <w:rPr>
                <w:rFonts w:ascii="Times New Roman" w:hAnsi="Times New Roman"/>
                <w:sz w:val="20"/>
              </w:rPr>
              <w:t>), unforeseen circumstances (</w:t>
            </w:r>
            <w:r>
              <w:rPr>
                <w:rFonts w:ascii="Times New Roman" w:hAnsi="Times New Roman"/>
                <w:i/>
                <w:sz w:val="20"/>
              </w:rPr>
              <w:t>onvoorziene omstandigheden</w:t>
            </w:r>
            <w:r>
              <w:rPr>
                <w:rFonts w:ascii="Times New Roman" w:hAnsi="Times New Roman"/>
                <w:sz w:val="20"/>
              </w:rPr>
              <w:t>) and vitiated consent (i.e., duress (</w:t>
            </w:r>
            <w:r>
              <w:rPr>
                <w:rFonts w:ascii="Times New Roman" w:hAnsi="Times New Roman"/>
                <w:i/>
                <w:sz w:val="20"/>
              </w:rPr>
              <w:t>bedreiging</w:t>
            </w:r>
            <w:r>
              <w:rPr>
                <w:rFonts w:ascii="Times New Roman" w:hAnsi="Times New Roman"/>
                <w:sz w:val="20"/>
              </w:rPr>
              <w:t>), fraud (</w:t>
            </w:r>
            <w:r>
              <w:rPr>
                <w:rFonts w:ascii="Times New Roman" w:hAnsi="Times New Roman"/>
                <w:i/>
                <w:sz w:val="20"/>
              </w:rPr>
              <w:t>bedrog</w:t>
            </w:r>
            <w:r>
              <w:rPr>
                <w:rFonts w:ascii="Times New Roman" w:hAnsi="Times New Roman"/>
                <w:sz w:val="20"/>
              </w:rPr>
              <w:t>), abuse of circumstances (</w:t>
            </w:r>
            <w:r>
              <w:rPr>
                <w:rFonts w:ascii="Times New Roman" w:hAnsi="Times New Roman"/>
                <w:i/>
                <w:sz w:val="20"/>
              </w:rPr>
              <w:t>misbruik van omstandigheden</w:t>
            </w:r>
            <w:r>
              <w:rPr>
                <w:rFonts w:ascii="Times New Roman" w:hAnsi="Times New Roman"/>
                <w:sz w:val="20"/>
              </w:rPr>
              <w:t>) and error (</w:t>
            </w:r>
            <w:r>
              <w:rPr>
                <w:rFonts w:ascii="Times New Roman" w:hAnsi="Times New Roman"/>
                <w:i/>
                <w:sz w:val="20"/>
              </w:rPr>
              <w:t>dwaling</w:t>
            </w:r>
            <w:r>
              <w:rPr>
                <w:rFonts w:ascii="Times New Roman" w:hAnsi="Times New Roman"/>
                <w:sz w:val="20"/>
              </w:rPr>
              <w:t>)) or a difference of intention (</w:t>
            </w:r>
            <w:r>
              <w:rPr>
                <w:rFonts w:ascii="Times New Roman" w:hAnsi="Times New Roman"/>
                <w:i/>
                <w:sz w:val="20"/>
              </w:rPr>
              <w:t>wil</w:t>
            </w:r>
            <w:r>
              <w:rPr>
                <w:rFonts w:ascii="Times New Roman" w:hAnsi="Times New Roman"/>
                <w:sz w:val="20"/>
              </w:rPr>
              <w:t>) and declaration (</w:t>
            </w:r>
            <w:r>
              <w:rPr>
                <w:rFonts w:ascii="Times New Roman" w:hAnsi="Times New Roman"/>
                <w:i/>
                <w:sz w:val="20"/>
              </w:rPr>
              <w:t>verklaring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 “non-assessable” has no equivalent in the Dutch language and for purposes of this opinion letter such term should be interpreted to mean that a holder of an Ordinary Share shall not by reason of merely being such a holder be subject to assessment or calls by the Company or its creditors for further payment on such Ordinary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letter does not purport to express any opinion or view on the operational rules and procedures of any clearing or settlement system or agency.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consent to the filing of this opinion letter as an exhibit to the Company’s report on Form 6-K to be filed with the SEC in connection with the closing of the Offering. We also consent to the reference to NautaDutilh in the Registration Statement under the caption “Legal Matters”. In giving these consents, we do not admit or imply that we are a person whose consent is required under Section 7 of the United States Securities Act of 1933, as amended, or any rules and regulations promulgated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NautaDutilh N.V.</w:t>
            </w:r>
          </w:p>
        </w:tc>
      </w:tr>
      <w:tr>
        <w:trPr>
          <w:trHeight w:val="3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NautaDutilh N.V.</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284605" cy="1543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84605" cy="1543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7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EXHIBIT A </w:t>
      </w:r>
    </w:p>
    <w:p>
      <w:pPr>
        <w:pStyle w:val="TextBody"/>
        <w:bidi w:val="0"/>
        <w:spacing w:before="120" w:after="0"/>
        <w:jc w:val="left"/>
        <w:rPr>
          <w:rFonts w:ascii="Times New Roman" w:hAnsi="Times New Roman"/>
          <w:b/>
          <w:sz w:val="20"/>
        </w:rPr>
      </w:pPr>
      <w:r>
        <w:rPr>
          <w:rFonts w:ascii="Times New Roman" w:hAnsi="Times New Roman"/>
          <w:b/>
          <w:sz w:val="20"/>
        </w:rPr>
        <w:t xml:space="preserve">LIST OF DEFINITIONS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45"/>
        <w:gridCol w:w="120"/>
        <w:gridCol w:w="7140"/>
      </w:tblGrid>
      <w:tr>
        <w:trPr/>
        <w:tc>
          <w:tcPr>
            <w:tcW w:w="29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40" w:type="dxa"/>
            <w:tcBorders/>
            <w:vAlign w:val="center"/>
          </w:tcPr>
          <w:p>
            <w:pPr>
              <w:pStyle w:val="TableContents"/>
              <w:bidi w:val="0"/>
              <w:spacing w:before="0" w:after="283"/>
              <w:jc w:val="left"/>
              <w:rPr>
                <w:sz w:val="4"/>
                <w:szCs w:val="4"/>
              </w:rPr>
            </w:pPr>
            <w:r>
              <w:rPr>
                <w:sz w:val="4"/>
                <w:szCs w:val="4"/>
              </w:rPr>
            </w:r>
          </w:p>
        </w:tc>
      </w:tr>
      <w:tr>
        <w:trPr/>
        <w:tc>
          <w:tcPr>
            <w:tcW w:w="2945" w:type="dxa"/>
            <w:tcBorders/>
          </w:tcPr>
          <w:p>
            <w:pPr>
              <w:pStyle w:val="TableContents"/>
              <w:bidi w:val="0"/>
              <w:spacing w:before="0" w:after="283"/>
              <w:jc w:val="left"/>
              <w:rPr/>
            </w:pPr>
            <w:r>
              <w:rPr/>
              <w:t>“</w:t>
            </w:r>
            <w:r>
              <w:rPr>
                <w:b/>
              </w:rPr>
              <w:t>Anti Money Laundering Laws</w:t>
            </w:r>
            <w:r>
              <w:rPr/>
              <w:t>”</w:t>
            </w:r>
          </w:p>
        </w:tc>
        <w:tc>
          <w:tcPr>
            <w:tcW w:w="120" w:type="dxa"/>
            <w:tcBorders/>
            <w:vAlign w:val="bottom"/>
          </w:tcPr>
          <w:p>
            <w:pPr>
              <w:pStyle w:val="TableContents"/>
              <w:bidi w:val="0"/>
              <w:spacing w:before="0" w:after="283"/>
              <w:jc w:val="left"/>
              <w:rPr/>
            </w:pPr>
            <w:r>
              <w:rPr/>
              <w:t>  </w:t>
            </w:r>
          </w:p>
        </w:tc>
        <w:tc>
          <w:tcPr>
            <w:tcW w:w="7140" w:type="dxa"/>
            <w:tcBorders/>
          </w:tcPr>
          <w:p>
            <w:pPr>
              <w:pStyle w:val="TableContents"/>
              <w:bidi w:val="0"/>
              <w:spacing w:before="0" w:after="283"/>
              <w:jc w:val="left"/>
              <w:rPr/>
            </w:pPr>
            <w:r>
              <w:rPr/>
              <w:t>The European Anti-Money Laundering Directives, as implemented in the Netherlands in the Money Laundering and Terrorist Financing Prevention Act (</w:t>
            </w:r>
            <w:r>
              <w:rPr>
                <w:i/>
              </w:rPr>
              <w:t>Wet ter voorkoming van witwassen en financieren van terrorisme</w:t>
            </w:r>
            <w:r>
              <w:rPr/>
              <w:t>) and the Dutch Criminal Code (</w:t>
            </w:r>
            <w:r>
              <w:rPr>
                <w:i/>
              </w:rPr>
              <w:t>Wetboek van Strafrecht</w:t>
            </w:r>
            <w:r>
              <w:rPr/>
              <w:t>).</w:t>
            </w:r>
          </w:p>
        </w:tc>
      </w:tr>
      <w:tr>
        <w:trPr>
          <w:trHeight w:val="120" w:hRule="atLeast"/>
        </w:trPr>
        <w:tc>
          <w:tcPr>
            <w:tcW w:w="2945" w:type="dxa"/>
            <w:tcBorders/>
            <w:vAlign w:val="center"/>
          </w:tcPr>
          <w:p>
            <w:pPr>
              <w:pStyle w:val="TableContents"/>
              <w:bidi w:val="0"/>
              <w:spacing w:before="0" w:after="283"/>
              <w:jc w:val="left"/>
              <w:rPr>
                <w:sz w:val="4"/>
                <w:szCs w:val="4"/>
              </w:rPr>
            </w:pPr>
            <w:r>
              <w:rPr>
                <w:sz w:val="4"/>
                <w:szCs w:val="4"/>
              </w:rPr>
            </w:r>
          </w:p>
        </w:tc>
        <w:tc>
          <w:tcPr>
            <w:tcW w:w="7260" w:type="dxa"/>
            <w:gridSpan w:val="2"/>
            <w:tcBorders/>
            <w:vAlign w:val="center"/>
          </w:tcPr>
          <w:p>
            <w:pPr>
              <w:pStyle w:val="TableContents"/>
              <w:bidi w:val="0"/>
              <w:spacing w:before="0" w:after="283"/>
              <w:jc w:val="left"/>
              <w:rPr>
                <w:sz w:val="4"/>
                <w:szCs w:val="4"/>
              </w:rPr>
            </w:pPr>
            <w:r>
              <w:rPr>
                <w:sz w:val="4"/>
                <w:szCs w:val="4"/>
              </w:rPr>
            </w:r>
          </w:p>
        </w:tc>
      </w:tr>
      <w:tr>
        <w:trPr/>
        <w:tc>
          <w:tcPr>
            <w:tcW w:w="2945" w:type="dxa"/>
            <w:tcBorders/>
          </w:tcPr>
          <w:p>
            <w:pPr>
              <w:pStyle w:val="TableContents"/>
              <w:bidi w:val="0"/>
              <w:spacing w:before="0" w:after="283"/>
              <w:jc w:val="left"/>
              <w:rPr/>
            </w:pPr>
            <w:r>
              <w:rPr/>
              <w:t>“</w:t>
            </w:r>
            <w:r>
              <w:rPr>
                <w:b/>
              </w:rPr>
              <w:t>Anti-Boycott Regulation</w:t>
            </w:r>
            <w:r>
              <w:rPr/>
              <w:t>”</w:t>
            </w:r>
          </w:p>
        </w:tc>
        <w:tc>
          <w:tcPr>
            <w:tcW w:w="120" w:type="dxa"/>
            <w:tcBorders/>
            <w:vAlign w:val="bottom"/>
          </w:tcPr>
          <w:p>
            <w:pPr>
              <w:pStyle w:val="TableContents"/>
              <w:bidi w:val="0"/>
              <w:spacing w:before="0" w:after="283"/>
              <w:jc w:val="left"/>
              <w:rPr/>
            </w:pPr>
            <w:r>
              <w:rPr/>
              <w:t>  </w:t>
            </w:r>
          </w:p>
        </w:tc>
        <w:tc>
          <w:tcPr>
            <w:tcW w:w="7140" w:type="dxa"/>
            <w:tcBorders/>
          </w:tcPr>
          <w:p>
            <w:pPr>
              <w:pStyle w:val="TableContents"/>
              <w:bidi w:val="0"/>
              <w:spacing w:before="0" w:after="283"/>
              <w:jc w:val="left"/>
              <w:rPr/>
            </w:pPr>
            <w:r>
              <w:rPr/>
              <w:t>Regulation (EC) No 2271/96 on protecting against the effects of the extra-territorial application of legislation adopted by a third country, and actions based thereon or resulting therefrom.</w:t>
            </w:r>
          </w:p>
        </w:tc>
      </w:tr>
      <w:tr>
        <w:trPr>
          <w:trHeight w:val="120" w:hRule="atLeast"/>
        </w:trPr>
        <w:tc>
          <w:tcPr>
            <w:tcW w:w="2945" w:type="dxa"/>
            <w:tcBorders/>
            <w:vAlign w:val="center"/>
          </w:tcPr>
          <w:p>
            <w:pPr>
              <w:pStyle w:val="TableContents"/>
              <w:bidi w:val="0"/>
              <w:spacing w:before="0" w:after="283"/>
              <w:jc w:val="left"/>
              <w:rPr>
                <w:sz w:val="4"/>
                <w:szCs w:val="4"/>
              </w:rPr>
            </w:pPr>
            <w:r>
              <w:rPr>
                <w:sz w:val="4"/>
                <w:szCs w:val="4"/>
              </w:rPr>
            </w:r>
          </w:p>
        </w:tc>
        <w:tc>
          <w:tcPr>
            <w:tcW w:w="7260" w:type="dxa"/>
            <w:gridSpan w:val="2"/>
            <w:tcBorders/>
            <w:vAlign w:val="center"/>
          </w:tcPr>
          <w:p>
            <w:pPr>
              <w:pStyle w:val="TableContents"/>
              <w:bidi w:val="0"/>
              <w:spacing w:before="0" w:after="283"/>
              <w:jc w:val="left"/>
              <w:rPr>
                <w:sz w:val="4"/>
                <w:szCs w:val="4"/>
              </w:rPr>
            </w:pPr>
            <w:r>
              <w:rPr>
                <w:sz w:val="4"/>
                <w:szCs w:val="4"/>
              </w:rPr>
            </w:r>
          </w:p>
        </w:tc>
      </w:tr>
      <w:tr>
        <w:trPr/>
        <w:tc>
          <w:tcPr>
            <w:tcW w:w="2945" w:type="dxa"/>
            <w:tcBorders/>
          </w:tcPr>
          <w:p>
            <w:pPr>
              <w:pStyle w:val="TableContents"/>
              <w:bidi w:val="0"/>
              <w:spacing w:before="0" w:after="283"/>
              <w:jc w:val="left"/>
              <w:rPr/>
            </w:pPr>
            <w:r>
              <w:rPr/>
              <w:t>“</w:t>
            </w:r>
            <w:r>
              <w:rPr>
                <w:b/>
              </w:rPr>
              <w:t>Articles of Association</w:t>
            </w:r>
            <w:r>
              <w:rPr/>
              <w:t>”</w:t>
            </w:r>
          </w:p>
        </w:tc>
        <w:tc>
          <w:tcPr>
            <w:tcW w:w="120" w:type="dxa"/>
            <w:tcBorders/>
            <w:vAlign w:val="bottom"/>
          </w:tcPr>
          <w:p>
            <w:pPr>
              <w:pStyle w:val="TableContents"/>
              <w:bidi w:val="0"/>
              <w:spacing w:before="0" w:after="283"/>
              <w:jc w:val="left"/>
              <w:rPr/>
            </w:pPr>
            <w:r>
              <w:rPr/>
              <w:t>  </w:t>
            </w:r>
          </w:p>
        </w:tc>
        <w:tc>
          <w:tcPr>
            <w:tcW w:w="7140" w:type="dxa"/>
            <w:tcBorders/>
          </w:tcPr>
          <w:p>
            <w:pPr>
              <w:pStyle w:val="TableContents"/>
              <w:bidi w:val="0"/>
              <w:spacing w:before="0" w:after="283"/>
              <w:jc w:val="left"/>
              <w:rPr/>
            </w:pPr>
            <w:r>
              <w:rPr/>
              <w:t>The Company’s articles of association (</w:t>
            </w:r>
            <w:r>
              <w:rPr>
                <w:i/>
              </w:rPr>
              <w:t>statuten</w:t>
            </w:r>
            <w:r>
              <w:rPr/>
              <w:t>) as they read from time to time.</w:t>
            </w:r>
          </w:p>
        </w:tc>
      </w:tr>
      <w:tr>
        <w:trPr>
          <w:trHeight w:val="120" w:hRule="atLeast"/>
        </w:trPr>
        <w:tc>
          <w:tcPr>
            <w:tcW w:w="2945" w:type="dxa"/>
            <w:tcBorders/>
            <w:vAlign w:val="center"/>
          </w:tcPr>
          <w:p>
            <w:pPr>
              <w:pStyle w:val="TableContents"/>
              <w:bidi w:val="0"/>
              <w:spacing w:before="0" w:after="283"/>
              <w:jc w:val="left"/>
              <w:rPr>
                <w:sz w:val="4"/>
                <w:szCs w:val="4"/>
              </w:rPr>
            </w:pPr>
            <w:r>
              <w:rPr>
                <w:sz w:val="4"/>
                <w:szCs w:val="4"/>
              </w:rPr>
            </w:r>
          </w:p>
        </w:tc>
        <w:tc>
          <w:tcPr>
            <w:tcW w:w="7260" w:type="dxa"/>
            <w:gridSpan w:val="2"/>
            <w:tcBorders/>
            <w:vAlign w:val="center"/>
          </w:tcPr>
          <w:p>
            <w:pPr>
              <w:pStyle w:val="TableContents"/>
              <w:bidi w:val="0"/>
              <w:spacing w:before="0" w:after="283"/>
              <w:jc w:val="left"/>
              <w:rPr>
                <w:sz w:val="4"/>
                <w:szCs w:val="4"/>
              </w:rPr>
            </w:pPr>
            <w:r>
              <w:rPr>
                <w:sz w:val="4"/>
                <w:szCs w:val="4"/>
              </w:rPr>
            </w:r>
          </w:p>
        </w:tc>
      </w:tr>
      <w:tr>
        <w:trPr/>
        <w:tc>
          <w:tcPr>
            <w:tcW w:w="2945" w:type="dxa"/>
            <w:tcBorders/>
          </w:tcPr>
          <w:p>
            <w:pPr>
              <w:pStyle w:val="TableContents"/>
              <w:bidi w:val="0"/>
              <w:spacing w:before="0" w:after="283"/>
              <w:jc w:val="left"/>
              <w:rPr/>
            </w:pPr>
            <w:r>
              <w:rPr/>
              <w:t>“</w:t>
            </w:r>
            <w:r>
              <w:rPr>
                <w:b/>
              </w:rPr>
              <w:t>Bankruptcy Code</w:t>
            </w:r>
            <w:r>
              <w:rPr/>
              <w:t>”</w:t>
            </w:r>
          </w:p>
        </w:tc>
        <w:tc>
          <w:tcPr>
            <w:tcW w:w="120" w:type="dxa"/>
            <w:tcBorders/>
            <w:vAlign w:val="bottom"/>
          </w:tcPr>
          <w:p>
            <w:pPr>
              <w:pStyle w:val="TableContents"/>
              <w:bidi w:val="0"/>
              <w:spacing w:before="0" w:after="283"/>
              <w:jc w:val="left"/>
              <w:rPr/>
            </w:pPr>
            <w:r>
              <w:rPr/>
              <w:t>  </w:t>
            </w:r>
          </w:p>
        </w:tc>
        <w:tc>
          <w:tcPr>
            <w:tcW w:w="7140" w:type="dxa"/>
            <w:tcBorders/>
          </w:tcPr>
          <w:p>
            <w:pPr>
              <w:pStyle w:val="TableContents"/>
              <w:bidi w:val="0"/>
              <w:spacing w:before="0" w:after="283"/>
              <w:jc w:val="left"/>
              <w:rPr/>
            </w:pPr>
            <w:r>
              <w:rPr/>
              <w:t>The Dutch Bankruptcy Code (</w:t>
            </w:r>
            <w:r>
              <w:rPr>
                <w:i/>
              </w:rPr>
              <w:t>Faillissementswet</w:t>
            </w:r>
            <w:r>
              <w:rPr/>
              <w:t>).</w:t>
            </w:r>
          </w:p>
        </w:tc>
      </w:tr>
      <w:tr>
        <w:trPr>
          <w:trHeight w:val="120" w:hRule="atLeast"/>
        </w:trPr>
        <w:tc>
          <w:tcPr>
            <w:tcW w:w="2945" w:type="dxa"/>
            <w:tcBorders/>
            <w:vAlign w:val="center"/>
          </w:tcPr>
          <w:p>
            <w:pPr>
              <w:pStyle w:val="TableContents"/>
              <w:bidi w:val="0"/>
              <w:spacing w:before="0" w:after="283"/>
              <w:jc w:val="left"/>
              <w:rPr>
                <w:sz w:val="4"/>
                <w:szCs w:val="4"/>
              </w:rPr>
            </w:pPr>
            <w:r>
              <w:rPr>
                <w:sz w:val="4"/>
                <w:szCs w:val="4"/>
              </w:rPr>
            </w:r>
          </w:p>
        </w:tc>
        <w:tc>
          <w:tcPr>
            <w:tcW w:w="7260" w:type="dxa"/>
            <w:gridSpan w:val="2"/>
            <w:tcBorders/>
            <w:vAlign w:val="center"/>
          </w:tcPr>
          <w:p>
            <w:pPr>
              <w:pStyle w:val="TableContents"/>
              <w:bidi w:val="0"/>
              <w:spacing w:before="0" w:after="283"/>
              <w:jc w:val="left"/>
              <w:rPr>
                <w:sz w:val="4"/>
                <w:szCs w:val="4"/>
              </w:rPr>
            </w:pPr>
            <w:r>
              <w:rPr>
                <w:sz w:val="4"/>
                <w:szCs w:val="4"/>
              </w:rPr>
            </w:r>
          </w:p>
        </w:tc>
      </w:tr>
      <w:tr>
        <w:trPr/>
        <w:tc>
          <w:tcPr>
            <w:tcW w:w="2945" w:type="dxa"/>
            <w:tcBorders/>
          </w:tcPr>
          <w:p>
            <w:pPr>
              <w:pStyle w:val="TableContents"/>
              <w:bidi w:val="0"/>
              <w:spacing w:before="0" w:after="283"/>
              <w:jc w:val="left"/>
              <w:rPr/>
            </w:pPr>
            <w:r>
              <w:rPr/>
              <w:t>“</w:t>
            </w:r>
            <w:r>
              <w:rPr>
                <w:b/>
              </w:rPr>
              <w:t>Board</w:t>
            </w:r>
            <w:r>
              <w:rPr/>
              <w:t>”</w:t>
            </w:r>
          </w:p>
        </w:tc>
        <w:tc>
          <w:tcPr>
            <w:tcW w:w="120" w:type="dxa"/>
            <w:tcBorders/>
            <w:vAlign w:val="bottom"/>
          </w:tcPr>
          <w:p>
            <w:pPr>
              <w:pStyle w:val="TableContents"/>
              <w:bidi w:val="0"/>
              <w:spacing w:before="0" w:after="283"/>
              <w:jc w:val="left"/>
              <w:rPr/>
            </w:pPr>
            <w:r>
              <w:rPr/>
              <w:t>  </w:t>
            </w:r>
          </w:p>
        </w:tc>
        <w:tc>
          <w:tcPr>
            <w:tcW w:w="7140" w:type="dxa"/>
            <w:tcBorders/>
          </w:tcPr>
          <w:p>
            <w:pPr>
              <w:pStyle w:val="TableContents"/>
              <w:bidi w:val="0"/>
              <w:spacing w:before="0" w:after="283"/>
              <w:jc w:val="left"/>
              <w:rPr/>
            </w:pPr>
            <w:r>
              <w:rPr/>
              <w:t>The Company’s board of directors (</w:t>
            </w:r>
            <w:r>
              <w:rPr>
                <w:i/>
              </w:rPr>
              <w:t>bestuur</w:t>
            </w:r>
            <w:r>
              <w:rPr/>
              <w:t>).</w:t>
            </w:r>
          </w:p>
        </w:tc>
      </w:tr>
      <w:tr>
        <w:trPr>
          <w:trHeight w:val="120" w:hRule="atLeast"/>
        </w:trPr>
        <w:tc>
          <w:tcPr>
            <w:tcW w:w="2945" w:type="dxa"/>
            <w:tcBorders/>
            <w:vAlign w:val="center"/>
          </w:tcPr>
          <w:p>
            <w:pPr>
              <w:pStyle w:val="TableContents"/>
              <w:bidi w:val="0"/>
              <w:spacing w:before="0" w:after="283"/>
              <w:jc w:val="left"/>
              <w:rPr>
                <w:sz w:val="4"/>
                <w:szCs w:val="4"/>
              </w:rPr>
            </w:pPr>
            <w:r>
              <w:rPr>
                <w:sz w:val="4"/>
                <w:szCs w:val="4"/>
              </w:rPr>
            </w:r>
          </w:p>
        </w:tc>
        <w:tc>
          <w:tcPr>
            <w:tcW w:w="7260" w:type="dxa"/>
            <w:gridSpan w:val="2"/>
            <w:tcBorders/>
            <w:vAlign w:val="center"/>
          </w:tcPr>
          <w:p>
            <w:pPr>
              <w:pStyle w:val="TableContents"/>
              <w:bidi w:val="0"/>
              <w:spacing w:before="0" w:after="283"/>
              <w:jc w:val="left"/>
              <w:rPr>
                <w:sz w:val="4"/>
                <w:szCs w:val="4"/>
              </w:rPr>
            </w:pPr>
            <w:r>
              <w:rPr>
                <w:sz w:val="4"/>
                <w:szCs w:val="4"/>
              </w:rPr>
            </w:r>
          </w:p>
        </w:tc>
      </w:tr>
      <w:tr>
        <w:trPr/>
        <w:tc>
          <w:tcPr>
            <w:tcW w:w="2945" w:type="dxa"/>
            <w:tcBorders/>
          </w:tcPr>
          <w:p>
            <w:pPr>
              <w:pStyle w:val="TableContents"/>
              <w:bidi w:val="0"/>
              <w:spacing w:before="0" w:after="283"/>
              <w:jc w:val="left"/>
              <w:rPr/>
            </w:pPr>
            <w:r>
              <w:rPr/>
              <w:t>“</w:t>
            </w:r>
            <w:r>
              <w:rPr>
                <w:b/>
              </w:rPr>
              <w:t>Commercial Register</w:t>
            </w:r>
            <w:r>
              <w:rPr/>
              <w:t>”</w:t>
            </w:r>
          </w:p>
        </w:tc>
        <w:tc>
          <w:tcPr>
            <w:tcW w:w="120" w:type="dxa"/>
            <w:tcBorders/>
            <w:vAlign w:val="bottom"/>
          </w:tcPr>
          <w:p>
            <w:pPr>
              <w:pStyle w:val="TableContents"/>
              <w:bidi w:val="0"/>
              <w:spacing w:before="0" w:after="283"/>
              <w:jc w:val="left"/>
              <w:rPr/>
            </w:pPr>
            <w:r>
              <w:rPr/>
              <w:t>  </w:t>
            </w:r>
          </w:p>
        </w:tc>
        <w:tc>
          <w:tcPr>
            <w:tcW w:w="7140" w:type="dxa"/>
            <w:tcBorders/>
          </w:tcPr>
          <w:p>
            <w:pPr>
              <w:pStyle w:val="TableContents"/>
              <w:bidi w:val="0"/>
              <w:spacing w:before="0" w:after="283"/>
              <w:jc w:val="left"/>
              <w:rPr/>
            </w:pPr>
            <w:r>
              <w:rPr/>
              <w:t>The Dutch Commercial Register (</w:t>
            </w:r>
            <w:r>
              <w:rPr>
                <w:i/>
              </w:rPr>
              <w:t>handelsregister</w:t>
            </w:r>
            <w:r>
              <w:rPr/>
              <w:t>).</w:t>
            </w:r>
          </w:p>
        </w:tc>
      </w:tr>
      <w:tr>
        <w:trPr>
          <w:trHeight w:val="120" w:hRule="atLeast"/>
        </w:trPr>
        <w:tc>
          <w:tcPr>
            <w:tcW w:w="2945" w:type="dxa"/>
            <w:tcBorders/>
            <w:vAlign w:val="center"/>
          </w:tcPr>
          <w:p>
            <w:pPr>
              <w:pStyle w:val="TableContents"/>
              <w:bidi w:val="0"/>
              <w:spacing w:before="0" w:after="283"/>
              <w:jc w:val="left"/>
              <w:rPr>
                <w:sz w:val="4"/>
                <w:szCs w:val="4"/>
              </w:rPr>
            </w:pPr>
            <w:r>
              <w:rPr>
                <w:sz w:val="4"/>
                <w:szCs w:val="4"/>
              </w:rPr>
            </w:r>
          </w:p>
        </w:tc>
        <w:tc>
          <w:tcPr>
            <w:tcW w:w="7260" w:type="dxa"/>
            <w:gridSpan w:val="2"/>
            <w:tcBorders/>
            <w:vAlign w:val="center"/>
          </w:tcPr>
          <w:p>
            <w:pPr>
              <w:pStyle w:val="TableContents"/>
              <w:bidi w:val="0"/>
              <w:spacing w:before="0" w:after="283"/>
              <w:jc w:val="left"/>
              <w:rPr>
                <w:sz w:val="4"/>
                <w:szCs w:val="4"/>
              </w:rPr>
            </w:pPr>
            <w:r>
              <w:rPr>
                <w:sz w:val="4"/>
                <w:szCs w:val="4"/>
              </w:rPr>
            </w:r>
          </w:p>
        </w:tc>
      </w:tr>
      <w:tr>
        <w:trPr/>
        <w:tc>
          <w:tcPr>
            <w:tcW w:w="2945" w:type="dxa"/>
            <w:tcBorders/>
          </w:tcPr>
          <w:p>
            <w:pPr>
              <w:pStyle w:val="TableContents"/>
              <w:bidi w:val="0"/>
              <w:spacing w:before="0" w:after="283"/>
              <w:jc w:val="left"/>
              <w:rPr/>
            </w:pPr>
            <w:r>
              <w:rPr/>
              <w:t>“</w:t>
            </w:r>
            <w:r>
              <w:rPr>
                <w:b/>
              </w:rPr>
              <w:t>Company</w:t>
            </w:r>
            <w:r>
              <w:rPr/>
              <w:t>”</w:t>
            </w:r>
          </w:p>
        </w:tc>
        <w:tc>
          <w:tcPr>
            <w:tcW w:w="120" w:type="dxa"/>
            <w:tcBorders/>
            <w:vAlign w:val="bottom"/>
          </w:tcPr>
          <w:p>
            <w:pPr>
              <w:pStyle w:val="TableContents"/>
              <w:bidi w:val="0"/>
              <w:spacing w:before="0" w:after="283"/>
              <w:jc w:val="left"/>
              <w:rPr/>
            </w:pPr>
            <w:r>
              <w:rPr/>
              <w:t>  </w:t>
            </w:r>
          </w:p>
        </w:tc>
        <w:tc>
          <w:tcPr>
            <w:tcW w:w="7140" w:type="dxa"/>
            <w:tcBorders/>
          </w:tcPr>
          <w:p>
            <w:pPr>
              <w:pStyle w:val="TableContents"/>
              <w:bidi w:val="0"/>
              <w:spacing w:before="0" w:after="283"/>
              <w:jc w:val="left"/>
              <w:rPr/>
            </w:pPr>
            <w:r>
              <w:rPr/>
              <w:t>Immatics N.V., a public company with limited liability (</w:t>
            </w:r>
            <w:r>
              <w:rPr>
                <w:i/>
              </w:rPr>
              <w:t>naamloze vennootschap</w:t>
            </w:r>
            <w:r>
              <w:rPr/>
              <w:t>), registered with the Commercial Register under number 77595726.</w:t>
            </w:r>
          </w:p>
        </w:tc>
      </w:tr>
      <w:tr>
        <w:trPr>
          <w:trHeight w:val="120" w:hRule="atLeast"/>
        </w:trPr>
        <w:tc>
          <w:tcPr>
            <w:tcW w:w="2945" w:type="dxa"/>
            <w:tcBorders/>
            <w:vAlign w:val="center"/>
          </w:tcPr>
          <w:p>
            <w:pPr>
              <w:pStyle w:val="TableContents"/>
              <w:bidi w:val="0"/>
              <w:spacing w:before="0" w:after="283"/>
              <w:jc w:val="left"/>
              <w:rPr>
                <w:sz w:val="4"/>
                <w:szCs w:val="4"/>
              </w:rPr>
            </w:pPr>
            <w:r>
              <w:rPr>
                <w:sz w:val="4"/>
                <w:szCs w:val="4"/>
              </w:rPr>
            </w:r>
          </w:p>
        </w:tc>
        <w:tc>
          <w:tcPr>
            <w:tcW w:w="7260" w:type="dxa"/>
            <w:gridSpan w:val="2"/>
            <w:tcBorders/>
            <w:vAlign w:val="center"/>
          </w:tcPr>
          <w:p>
            <w:pPr>
              <w:pStyle w:val="TableContents"/>
              <w:bidi w:val="0"/>
              <w:spacing w:before="0" w:after="283"/>
              <w:jc w:val="left"/>
              <w:rPr>
                <w:sz w:val="4"/>
                <w:szCs w:val="4"/>
              </w:rPr>
            </w:pPr>
            <w:r>
              <w:rPr>
                <w:sz w:val="4"/>
                <w:szCs w:val="4"/>
              </w:rPr>
            </w:r>
          </w:p>
        </w:tc>
      </w:tr>
      <w:tr>
        <w:trPr/>
        <w:tc>
          <w:tcPr>
            <w:tcW w:w="2945" w:type="dxa"/>
            <w:tcBorders/>
          </w:tcPr>
          <w:p>
            <w:pPr>
              <w:pStyle w:val="TableContents"/>
              <w:bidi w:val="0"/>
              <w:spacing w:before="0" w:after="283"/>
              <w:jc w:val="left"/>
              <w:rPr/>
            </w:pPr>
            <w:r>
              <w:rPr/>
              <w:t>“</w:t>
            </w:r>
            <w:r>
              <w:rPr>
                <w:b/>
              </w:rPr>
              <w:t>Corporate Documents</w:t>
            </w:r>
            <w:r>
              <w:rPr/>
              <w:t>”</w:t>
            </w:r>
          </w:p>
        </w:tc>
        <w:tc>
          <w:tcPr>
            <w:tcW w:w="120" w:type="dxa"/>
            <w:tcBorders/>
            <w:vAlign w:val="bottom"/>
          </w:tcPr>
          <w:p>
            <w:pPr>
              <w:pStyle w:val="TableContents"/>
              <w:bidi w:val="0"/>
              <w:spacing w:before="0" w:after="283"/>
              <w:jc w:val="left"/>
              <w:rPr/>
            </w:pPr>
            <w:r>
              <w:rPr/>
              <w:t>  </w:t>
            </w:r>
          </w:p>
        </w:tc>
        <w:tc>
          <w:tcPr>
            <w:tcW w:w="7140" w:type="dxa"/>
            <w:tcBorders/>
          </w:tcPr>
          <w:p>
            <w:pPr>
              <w:pStyle w:val="TableContents"/>
              <w:bidi w:val="0"/>
              <w:spacing w:before="0" w:after="283"/>
              <w:jc w:val="left"/>
              <w:rPr/>
            </w:pPr>
            <w:r>
              <w:rPr/>
              <w:t>The Deed of Incorporation, the Deed of Conversion, the Current Articles and the Resolutions.</w:t>
            </w:r>
          </w:p>
        </w:tc>
      </w:tr>
      <w:tr>
        <w:trPr>
          <w:trHeight w:val="120" w:hRule="atLeast"/>
        </w:trPr>
        <w:tc>
          <w:tcPr>
            <w:tcW w:w="2945" w:type="dxa"/>
            <w:tcBorders/>
            <w:vAlign w:val="center"/>
          </w:tcPr>
          <w:p>
            <w:pPr>
              <w:pStyle w:val="TableContents"/>
              <w:bidi w:val="0"/>
              <w:spacing w:before="0" w:after="283"/>
              <w:jc w:val="left"/>
              <w:rPr>
                <w:sz w:val="4"/>
                <w:szCs w:val="4"/>
              </w:rPr>
            </w:pPr>
            <w:r>
              <w:rPr>
                <w:sz w:val="4"/>
                <w:szCs w:val="4"/>
              </w:rPr>
            </w:r>
          </w:p>
        </w:tc>
        <w:tc>
          <w:tcPr>
            <w:tcW w:w="7260" w:type="dxa"/>
            <w:gridSpan w:val="2"/>
            <w:tcBorders/>
            <w:vAlign w:val="center"/>
          </w:tcPr>
          <w:p>
            <w:pPr>
              <w:pStyle w:val="TableContents"/>
              <w:bidi w:val="0"/>
              <w:spacing w:before="0" w:after="283"/>
              <w:jc w:val="left"/>
              <w:rPr>
                <w:sz w:val="4"/>
                <w:szCs w:val="4"/>
              </w:rPr>
            </w:pPr>
            <w:r>
              <w:rPr>
                <w:sz w:val="4"/>
                <w:szCs w:val="4"/>
              </w:rPr>
            </w:r>
          </w:p>
        </w:tc>
      </w:tr>
      <w:tr>
        <w:trPr/>
        <w:tc>
          <w:tcPr>
            <w:tcW w:w="2945" w:type="dxa"/>
            <w:tcBorders/>
          </w:tcPr>
          <w:p>
            <w:pPr>
              <w:pStyle w:val="TableContents"/>
              <w:bidi w:val="0"/>
              <w:spacing w:before="0" w:after="283"/>
              <w:jc w:val="left"/>
              <w:rPr/>
            </w:pPr>
            <w:r>
              <w:rPr/>
              <w:t>“</w:t>
            </w:r>
            <w:r>
              <w:rPr>
                <w:b/>
              </w:rPr>
              <w:t>Current Articles</w:t>
            </w:r>
            <w:r>
              <w:rPr/>
              <w:t>”</w:t>
            </w:r>
          </w:p>
        </w:tc>
        <w:tc>
          <w:tcPr>
            <w:tcW w:w="120" w:type="dxa"/>
            <w:tcBorders/>
            <w:vAlign w:val="bottom"/>
          </w:tcPr>
          <w:p>
            <w:pPr>
              <w:pStyle w:val="TableContents"/>
              <w:bidi w:val="0"/>
              <w:spacing w:before="0" w:after="283"/>
              <w:jc w:val="left"/>
              <w:rPr/>
            </w:pPr>
            <w:r>
              <w:rPr/>
              <w:t>  </w:t>
            </w:r>
          </w:p>
        </w:tc>
        <w:tc>
          <w:tcPr>
            <w:tcW w:w="7140" w:type="dxa"/>
            <w:tcBorders/>
          </w:tcPr>
          <w:p>
            <w:pPr>
              <w:pStyle w:val="TableContents"/>
              <w:bidi w:val="0"/>
              <w:spacing w:before="0" w:after="283"/>
              <w:jc w:val="left"/>
              <w:rPr/>
            </w:pPr>
            <w:r>
              <w:rPr/>
              <w:t>The Articles of Association as contained in the Deed of Conversion and as they read as of July 1, 2021 pursuant to the transitional provision previously included in the Articles of Association as article 51.</w:t>
            </w:r>
          </w:p>
        </w:tc>
      </w:tr>
      <w:tr>
        <w:trPr>
          <w:trHeight w:val="120" w:hRule="atLeast"/>
        </w:trPr>
        <w:tc>
          <w:tcPr>
            <w:tcW w:w="2945" w:type="dxa"/>
            <w:tcBorders/>
            <w:vAlign w:val="center"/>
          </w:tcPr>
          <w:p>
            <w:pPr>
              <w:pStyle w:val="TableContents"/>
              <w:bidi w:val="0"/>
              <w:spacing w:before="0" w:after="283"/>
              <w:jc w:val="left"/>
              <w:rPr>
                <w:sz w:val="4"/>
                <w:szCs w:val="4"/>
              </w:rPr>
            </w:pPr>
            <w:r>
              <w:rPr>
                <w:sz w:val="4"/>
                <w:szCs w:val="4"/>
              </w:rPr>
            </w:r>
          </w:p>
        </w:tc>
        <w:tc>
          <w:tcPr>
            <w:tcW w:w="7260" w:type="dxa"/>
            <w:gridSpan w:val="2"/>
            <w:tcBorders/>
            <w:vAlign w:val="center"/>
          </w:tcPr>
          <w:p>
            <w:pPr>
              <w:pStyle w:val="TableContents"/>
              <w:bidi w:val="0"/>
              <w:spacing w:before="0" w:after="283"/>
              <w:jc w:val="left"/>
              <w:rPr>
                <w:sz w:val="4"/>
                <w:szCs w:val="4"/>
              </w:rPr>
            </w:pPr>
            <w:r>
              <w:rPr>
                <w:sz w:val="4"/>
                <w:szCs w:val="4"/>
              </w:rPr>
            </w:r>
          </w:p>
        </w:tc>
      </w:tr>
      <w:tr>
        <w:trPr/>
        <w:tc>
          <w:tcPr>
            <w:tcW w:w="2945" w:type="dxa"/>
            <w:tcBorders/>
          </w:tcPr>
          <w:p>
            <w:pPr>
              <w:pStyle w:val="TableContents"/>
              <w:bidi w:val="0"/>
              <w:spacing w:before="0" w:after="283"/>
              <w:jc w:val="left"/>
              <w:rPr/>
            </w:pPr>
            <w:r>
              <w:rPr/>
              <w:t>“</w:t>
            </w:r>
            <w:r>
              <w:rPr>
                <w:b/>
              </w:rPr>
              <w:t>DCC</w:t>
            </w:r>
            <w:r>
              <w:rPr/>
              <w:t>”</w:t>
            </w:r>
          </w:p>
        </w:tc>
        <w:tc>
          <w:tcPr>
            <w:tcW w:w="120" w:type="dxa"/>
            <w:tcBorders/>
            <w:vAlign w:val="bottom"/>
          </w:tcPr>
          <w:p>
            <w:pPr>
              <w:pStyle w:val="TableContents"/>
              <w:bidi w:val="0"/>
              <w:spacing w:before="0" w:after="283"/>
              <w:jc w:val="left"/>
              <w:rPr/>
            </w:pPr>
            <w:r>
              <w:rPr/>
              <w:t>  </w:t>
            </w:r>
          </w:p>
        </w:tc>
        <w:tc>
          <w:tcPr>
            <w:tcW w:w="7140" w:type="dxa"/>
            <w:tcBorders/>
          </w:tcPr>
          <w:p>
            <w:pPr>
              <w:pStyle w:val="TableContents"/>
              <w:bidi w:val="0"/>
              <w:spacing w:before="0" w:after="283"/>
              <w:jc w:val="left"/>
              <w:rPr/>
            </w:pPr>
            <w:r>
              <w:rPr/>
              <w:t>The Dutch Civil Code (</w:t>
            </w:r>
            <w:r>
              <w:rPr>
                <w:i/>
              </w:rPr>
              <w:t>Burgerlijk Wetboek</w:t>
            </w:r>
            <w:r>
              <w:rPr/>
              <w:t>).</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266825"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66825" cy="152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8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67"/>
        <w:gridCol w:w="120"/>
        <w:gridCol w:w="7118"/>
      </w:tblGrid>
      <w:tr>
        <w:trPr/>
        <w:tc>
          <w:tcPr>
            <w:tcW w:w="29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18" w:type="dxa"/>
            <w:tcBorders/>
            <w:vAlign w:val="center"/>
          </w:tcPr>
          <w:p>
            <w:pPr>
              <w:pStyle w:val="TableContents"/>
              <w:bidi w:val="0"/>
              <w:spacing w:before="0" w:after="283"/>
              <w:jc w:val="left"/>
              <w:rPr>
                <w:sz w:val="4"/>
                <w:szCs w:val="4"/>
              </w:rPr>
            </w:pPr>
            <w:r>
              <w:rPr>
                <w:sz w:val="4"/>
                <w:szCs w:val="4"/>
              </w:rPr>
            </w:r>
          </w:p>
        </w:tc>
      </w:tr>
      <w:tr>
        <w:trPr/>
        <w:tc>
          <w:tcPr>
            <w:tcW w:w="2967" w:type="dxa"/>
            <w:tcBorders/>
          </w:tcPr>
          <w:p>
            <w:pPr>
              <w:pStyle w:val="TableContents"/>
              <w:bidi w:val="0"/>
              <w:spacing w:before="0" w:after="283"/>
              <w:jc w:val="left"/>
              <w:rPr/>
            </w:pPr>
            <w:r>
              <w:rPr/>
              <w:t>“</w:t>
            </w:r>
            <w:r>
              <w:rPr>
                <w:b/>
              </w:rPr>
              <w:t>Deed of Conversion</w:t>
            </w:r>
            <w:r>
              <w:rPr/>
              <w:t>”</w:t>
            </w:r>
          </w:p>
        </w:tc>
        <w:tc>
          <w:tcPr>
            <w:tcW w:w="120"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The deed of conversion and amendment to the Articles of Association dated July 1, 2020.</w:t>
            </w:r>
          </w:p>
        </w:tc>
      </w:tr>
      <w:tr>
        <w:trPr>
          <w:trHeight w:val="120" w:hRule="atLeast"/>
        </w:trPr>
        <w:tc>
          <w:tcPr>
            <w:tcW w:w="2967" w:type="dxa"/>
            <w:tcBorders/>
            <w:vAlign w:val="center"/>
          </w:tcPr>
          <w:p>
            <w:pPr>
              <w:pStyle w:val="TableContents"/>
              <w:bidi w:val="0"/>
              <w:spacing w:before="0" w:after="283"/>
              <w:jc w:val="left"/>
              <w:rPr>
                <w:sz w:val="4"/>
                <w:szCs w:val="4"/>
              </w:rPr>
            </w:pPr>
            <w:r>
              <w:rPr>
                <w:sz w:val="4"/>
                <w:szCs w:val="4"/>
              </w:rPr>
            </w:r>
          </w:p>
        </w:tc>
        <w:tc>
          <w:tcPr>
            <w:tcW w:w="7238" w:type="dxa"/>
            <w:gridSpan w:val="2"/>
            <w:tcBorders/>
            <w:vAlign w:val="center"/>
          </w:tcPr>
          <w:p>
            <w:pPr>
              <w:pStyle w:val="TableContents"/>
              <w:bidi w:val="0"/>
              <w:spacing w:before="0" w:after="283"/>
              <w:jc w:val="left"/>
              <w:rPr>
                <w:sz w:val="4"/>
                <w:szCs w:val="4"/>
              </w:rPr>
            </w:pPr>
            <w:r>
              <w:rPr>
                <w:sz w:val="4"/>
                <w:szCs w:val="4"/>
              </w:rPr>
            </w:r>
          </w:p>
        </w:tc>
      </w:tr>
      <w:tr>
        <w:trPr/>
        <w:tc>
          <w:tcPr>
            <w:tcW w:w="2967" w:type="dxa"/>
            <w:tcBorders/>
          </w:tcPr>
          <w:p>
            <w:pPr>
              <w:pStyle w:val="TableContents"/>
              <w:bidi w:val="0"/>
              <w:spacing w:before="0" w:after="283"/>
              <w:jc w:val="left"/>
              <w:rPr/>
            </w:pPr>
            <w:r>
              <w:rPr/>
              <w:t>“</w:t>
            </w:r>
            <w:r>
              <w:rPr>
                <w:b/>
              </w:rPr>
              <w:t>Deed of Incorporation</w:t>
            </w:r>
            <w:r>
              <w:rPr/>
              <w:t>”</w:t>
            </w:r>
          </w:p>
        </w:tc>
        <w:tc>
          <w:tcPr>
            <w:tcW w:w="120"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The Company’s deed of incorporation (</w:t>
            </w:r>
            <w:r>
              <w:rPr>
                <w:i/>
              </w:rPr>
              <w:t>akte van oprichting</w:t>
            </w:r>
            <w:r>
              <w:rPr/>
              <w:t>) dated March 10, 2020.</w:t>
            </w:r>
          </w:p>
        </w:tc>
      </w:tr>
      <w:tr>
        <w:trPr>
          <w:trHeight w:val="120" w:hRule="atLeast"/>
        </w:trPr>
        <w:tc>
          <w:tcPr>
            <w:tcW w:w="2967" w:type="dxa"/>
            <w:tcBorders/>
            <w:vAlign w:val="center"/>
          </w:tcPr>
          <w:p>
            <w:pPr>
              <w:pStyle w:val="TableContents"/>
              <w:bidi w:val="0"/>
              <w:spacing w:before="0" w:after="283"/>
              <w:jc w:val="left"/>
              <w:rPr>
                <w:sz w:val="4"/>
                <w:szCs w:val="4"/>
              </w:rPr>
            </w:pPr>
            <w:r>
              <w:rPr>
                <w:sz w:val="4"/>
                <w:szCs w:val="4"/>
              </w:rPr>
            </w:r>
          </w:p>
        </w:tc>
        <w:tc>
          <w:tcPr>
            <w:tcW w:w="7238" w:type="dxa"/>
            <w:gridSpan w:val="2"/>
            <w:tcBorders/>
            <w:vAlign w:val="center"/>
          </w:tcPr>
          <w:p>
            <w:pPr>
              <w:pStyle w:val="TableContents"/>
              <w:bidi w:val="0"/>
              <w:spacing w:before="0" w:after="283"/>
              <w:jc w:val="left"/>
              <w:rPr>
                <w:sz w:val="4"/>
                <w:szCs w:val="4"/>
              </w:rPr>
            </w:pPr>
            <w:r>
              <w:rPr>
                <w:sz w:val="4"/>
                <w:szCs w:val="4"/>
              </w:rPr>
            </w:r>
          </w:p>
        </w:tc>
      </w:tr>
      <w:tr>
        <w:trPr/>
        <w:tc>
          <w:tcPr>
            <w:tcW w:w="2967" w:type="dxa"/>
            <w:tcBorders/>
          </w:tcPr>
          <w:p>
            <w:pPr>
              <w:pStyle w:val="TableContents"/>
              <w:bidi w:val="0"/>
              <w:spacing w:before="0" w:after="283"/>
              <w:jc w:val="left"/>
              <w:rPr/>
            </w:pPr>
            <w:r>
              <w:rPr/>
              <w:t>“</w:t>
            </w:r>
            <w:r>
              <w:rPr>
                <w:b/>
              </w:rPr>
              <w:t>Deed</w:t>
            </w:r>
            <w:r>
              <w:rPr/>
              <w:t xml:space="preserve"> </w:t>
            </w:r>
            <w:r>
              <w:rPr>
                <w:b/>
              </w:rPr>
              <w:t>of Issue</w:t>
            </w:r>
            <w:r>
              <w:rPr/>
              <w:t>”</w:t>
            </w:r>
          </w:p>
        </w:tc>
        <w:tc>
          <w:tcPr>
            <w:tcW w:w="120"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The draft deed of issue of the Offer Shares or Option Shares, as applicable, prepared by us with references 82045201 M 60244790 and 82045201 M 60244785, respectively.</w:t>
            </w:r>
          </w:p>
        </w:tc>
      </w:tr>
      <w:tr>
        <w:trPr>
          <w:trHeight w:val="120" w:hRule="atLeast"/>
        </w:trPr>
        <w:tc>
          <w:tcPr>
            <w:tcW w:w="2967" w:type="dxa"/>
            <w:tcBorders/>
            <w:vAlign w:val="center"/>
          </w:tcPr>
          <w:p>
            <w:pPr>
              <w:pStyle w:val="TableContents"/>
              <w:bidi w:val="0"/>
              <w:spacing w:before="0" w:after="283"/>
              <w:jc w:val="left"/>
              <w:rPr>
                <w:sz w:val="4"/>
                <w:szCs w:val="4"/>
              </w:rPr>
            </w:pPr>
            <w:r>
              <w:rPr>
                <w:sz w:val="4"/>
                <w:szCs w:val="4"/>
              </w:rPr>
            </w:r>
          </w:p>
        </w:tc>
        <w:tc>
          <w:tcPr>
            <w:tcW w:w="7238" w:type="dxa"/>
            <w:gridSpan w:val="2"/>
            <w:tcBorders/>
            <w:vAlign w:val="center"/>
          </w:tcPr>
          <w:p>
            <w:pPr>
              <w:pStyle w:val="TableContents"/>
              <w:bidi w:val="0"/>
              <w:spacing w:before="0" w:after="283"/>
              <w:jc w:val="left"/>
              <w:rPr>
                <w:sz w:val="4"/>
                <w:szCs w:val="4"/>
              </w:rPr>
            </w:pPr>
            <w:r>
              <w:rPr>
                <w:sz w:val="4"/>
                <w:szCs w:val="4"/>
              </w:rPr>
            </w:r>
          </w:p>
        </w:tc>
      </w:tr>
      <w:tr>
        <w:trPr/>
        <w:tc>
          <w:tcPr>
            <w:tcW w:w="2967" w:type="dxa"/>
            <w:tcBorders/>
          </w:tcPr>
          <w:p>
            <w:pPr>
              <w:pStyle w:val="TableContents"/>
              <w:bidi w:val="0"/>
              <w:spacing w:before="0" w:after="283"/>
              <w:jc w:val="left"/>
              <w:rPr/>
            </w:pPr>
            <w:r>
              <w:rPr/>
              <w:t>“</w:t>
            </w:r>
            <w:r>
              <w:rPr>
                <w:b/>
              </w:rPr>
              <w:t>eIDAS Regulation</w:t>
            </w:r>
            <w:r>
              <w:rPr/>
              <w:t>”</w:t>
            </w:r>
          </w:p>
        </w:tc>
        <w:tc>
          <w:tcPr>
            <w:tcW w:w="120"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Regulation (EU) No 910/2014 on electronic identification and trust services for electronic transactions in the internal market.</w:t>
            </w:r>
          </w:p>
        </w:tc>
      </w:tr>
      <w:tr>
        <w:trPr>
          <w:trHeight w:val="120" w:hRule="atLeast"/>
        </w:trPr>
        <w:tc>
          <w:tcPr>
            <w:tcW w:w="2967" w:type="dxa"/>
            <w:tcBorders/>
            <w:vAlign w:val="center"/>
          </w:tcPr>
          <w:p>
            <w:pPr>
              <w:pStyle w:val="TableContents"/>
              <w:bidi w:val="0"/>
              <w:spacing w:before="0" w:after="283"/>
              <w:jc w:val="left"/>
              <w:rPr>
                <w:sz w:val="4"/>
                <w:szCs w:val="4"/>
              </w:rPr>
            </w:pPr>
            <w:r>
              <w:rPr>
                <w:sz w:val="4"/>
                <w:szCs w:val="4"/>
              </w:rPr>
            </w:r>
          </w:p>
        </w:tc>
        <w:tc>
          <w:tcPr>
            <w:tcW w:w="7238" w:type="dxa"/>
            <w:gridSpan w:val="2"/>
            <w:tcBorders/>
            <w:vAlign w:val="center"/>
          </w:tcPr>
          <w:p>
            <w:pPr>
              <w:pStyle w:val="TableContents"/>
              <w:bidi w:val="0"/>
              <w:spacing w:before="0" w:after="283"/>
              <w:jc w:val="left"/>
              <w:rPr>
                <w:sz w:val="4"/>
                <w:szCs w:val="4"/>
              </w:rPr>
            </w:pPr>
            <w:r>
              <w:rPr>
                <w:sz w:val="4"/>
                <w:szCs w:val="4"/>
              </w:rPr>
            </w:r>
          </w:p>
        </w:tc>
      </w:tr>
      <w:tr>
        <w:trPr/>
        <w:tc>
          <w:tcPr>
            <w:tcW w:w="2967" w:type="dxa"/>
            <w:tcBorders/>
          </w:tcPr>
          <w:p>
            <w:pPr>
              <w:pStyle w:val="TableContents"/>
              <w:bidi w:val="0"/>
              <w:spacing w:before="0" w:after="283"/>
              <w:jc w:val="left"/>
              <w:rPr/>
            </w:pPr>
            <w:r>
              <w:rPr/>
              <w:t>“</w:t>
            </w:r>
            <w:r>
              <w:rPr>
                <w:b/>
              </w:rPr>
              <w:t>General Meeting</w:t>
            </w:r>
            <w:r>
              <w:rPr/>
              <w:t>”</w:t>
            </w:r>
          </w:p>
        </w:tc>
        <w:tc>
          <w:tcPr>
            <w:tcW w:w="120"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The Company’s general meeting (</w:t>
            </w:r>
            <w:r>
              <w:rPr>
                <w:i/>
              </w:rPr>
              <w:t>algemene vergadering</w:t>
            </w:r>
            <w:r>
              <w:rPr/>
              <w:t>).</w:t>
            </w:r>
          </w:p>
        </w:tc>
      </w:tr>
      <w:tr>
        <w:trPr>
          <w:trHeight w:val="120" w:hRule="atLeast"/>
        </w:trPr>
        <w:tc>
          <w:tcPr>
            <w:tcW w:w="2967" w:type="dxa"/>
            <w:tcBorders/>
            <w:vAlign w:val="center"/>
          </w:tcPr>
          <w:p>
            <w:pPr>
              <w:pStyle w:val="TableContents"/>
              <w:bidi w:val="0"/>
              <w:spacing w:before="0" w:after="283"/>
              <w:jc w:val="left"/>
              <w:rPr>
                <w:sz w:val="4"/>
                <w:szCs w:val="4"/>
              </w:rPr>
            </w:pPr>
            <w:r>
              <w:rPr>
                <w:sz w:val="4"/>
                <w:szCs w:val="4"/>
              </w:rPr>
            </w:r>
          </w:p>
        </w:tc>
        <w:tc>
          <w:tcPr>
            <w:tcW w:w="7238" w:type="dxa"/>
            <w:gridSpan w:val="2"/>
            <w:tcBorders/>
            <w:vAlign w:val="center"/>
          </w:tcPr>
          <w:p>
            <w:pPr>
              <w:pStyle w:val="TableContents"/>
              <w:bidi w:val="0"/>
              <w:spacing w:before="0" w:after="283"/>
              <w:jc w:val="left"/>
              <w:rPr>
                <w:sz w:val="4"/>
                <w:szCs w:val="4"/>
              </w:rPr>
            </w:pPr>
            <w:r>
              <w:rPr>
                <w:sz w:val="4"/>
                <w:szCs w:val="4"/>
              </w:rPr>
            </w:r>
          </w:p>
        </w:tc>
      </w:tr>
      <w:tr>
        <w:trPr/>
        <w:tc>
          <w:tcPr>
            <w:tcW w:w="2967" w:type="dxa"/>
            <w:tcBorders/>
          </w:tcPr>
          <w:p>
            <w:pPr>
              <w:pStyle w:val="TableContents"/>
              <w:bidi w:val="0"/>
              <w:spacing w:before="0" w:after="283"/>
              <w:jc w:val="left"/>
              <w:rPr/>
            </w:pPr>
            <w:r>
              <w:rPr/>
              <w:t>“</w:t>
            </w:r>
            <w:r>
              <w:rPr>
                <w:b/>
              </w:rPr>
              <w:t>Insolvency Proceedings</w:t>
            </w:r>
            <w:r>
              <w:rPr/>
              <w:t>”</w:t>
            </w:r>
          </w:p>
        </w:tc>
        <w:tc>
          <w:tcPr>
            <w:tcW w:w="120"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Any insolvency proceedings within the meaning of Regulation (EU) 2015/848 on insolvency proceedings (recast), listed in Annex A thereto and any statutory proceedings for the restructuring of debts (</w:t>
            </w:r>
            <w:r>
              <w:rPr>
                <w:i/>
              </w:rPr>
              <w:t>akkoordprocedure</w:t>
            </w:r>
            <w:r>
              <w:rPr/>
              <w:t>) pursuant to the Bankruptcy Code.</w:t>
            </w:r>
          </w:p>
        </w:tc>
      </w:tr>
      <w:tr>
        <w:trPr>
          <w:trHeight w:val="120" w:hRule="atLeast"/>
        </w:trPr>
        <w:tc>
          <w:tcPr>
            <w:tcW w:w="2967" w:type="dxa"/>
            <w:tcBorders/>
            <w:vAlign w:val="center"/>
          </w:tcPr>
          <w:p>
            <w:pPr>
              <w:pStyle w:val="TableContents"/>
              <w:bidi w:val="0"/>
              <w:spacing w:before="0" w:after="283"/>
              <w:jc w:val="left"/>
              <w:rPr>
                <w:sz w:val="4"/>
                <w:szCs w:val="4"/>
              </w:rPr>
            </w:pPr>
            <w:r>
              <w:rPr>
                <w:sz w:val="4"/>
                <w:szCs w:val="4"/>
              </w:rPr>
            </w:r>
          </w:p>
        </w:tc>
        <w:tc>
          <w:tcPr>
            <w:tcW w:w="7238" w:type="dxa"/>
            <w:gridSpan w:val="2"/>
            <w:tcBorders/>
            <w:vAlign w:val="center"/>
          </w:tcPr>
          <w:p>
            <w:pPr>
              <w:pStyle w:val="TableContents"/>
              <w:bidi w:val="0"/>
              <w:spacing w:before="0" w:after="283"/>
              <w:jc w:val="left"/>
              <w:rPr>
                <w:sz w:val="4"/>
                <w:szCs w:val="4"/>
              </w:rPr>
            </w:pPr>
            <w:r>
              <w:rPr>
                <w:sz w:val="4"/>
                <w:szCs w:val="4"/>
              </w:rPr>
            </w:r>
          </w:p>
        </w:tc>
      </w:tr>
      <w:tr>
        <w:trPr/>
        <w:tc>
          <w:tcPr>
            <w:tcW w:w="2967" w:type="dxa"/>
            <w:tcBorders/>
          </w:tcPr>
          <w:p>
            <w:pPr>
              <w:pStyle w:val="TableContents"/>
              <w:bidi w:val="0"/>
              <w:spacing w:before="0" w:after="283"/>
              <w:jc w:val="left"/>
              <w:rPr/>
            </w:pPr>
            <w:r>
              <w:rPr/>
              <w:t>“</w:t>
            </w:r>
            <w:r>
              <w:rPr>
                <w:b/>
              </w:rPr>
              <w:t>NautaDutilh</w:t>
            </w:r>
            <w:r>
              <w:rPr/>
              <w:t>”</w:t>
            </w:r>
          </w:p>
        </w:tc>
        <w:tc>
          <w:tcPr>
            <w:tcW w:w="120"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NautaDutilh N.V.</w:t>
            </w:r>
          </w:p>
        </w:tc>
      </w:tr>
      <w:tr>
        <w:trPr>
          <w:trHeight w:val="120" w:hRule="atLeast"/>
        </w:trPr>
        <w:tc>
          <w:tcPr>
            <w:tcW w:w="2967" w:type="dxa"/>
            <w:tcBorders/>
            <w:vAlign w:val="center"/>
          </w:tcPr>
          <w:p>
            <w:pPr>
              <w:pStyle w:val="TableContents"/>
              <w:bidi w:val="0"/>
              <w:spacing w:before="0" w:after="283"/>
              <w:jc w:val="left"/>
              <w:rPr>
                <w:sz w:val="4"/>
                <w:szCs w:val="4"/>
              </w:rPr>
            </w:pPr>
            <w:r>
              <w:rPr>
                <w:sz w:val="4"/>
                <w:szCs w:val="4"/>
              </w:rPr>
            </w:r>
          </w:p>
        </w:tc>
        <w:tc>
          <w:tcPr>
            <w:tcW w:w="7238" w:type="dxa"/>
            <w:gridSpan w:val="2"/>
            <w:tcBorders/>
            <w:vAlign w:val="center"/>
          </w:tcPr>
          <w:p>
            <w:pPr>
              <w:pStyle w:val="TableContents"/>
              <w:bidi w:val="0"/>
              <w:spacing w:before="0" w:after="283"/>
              <w:jc w:val="left"/>
              <w:rPr>
                <w:sz w:val="4"/>
                <w:szCs w:val="4"/>
              </w:rPr>
            </w:pPr>
            <w:r>
              <w:rPr>
                <w:sz w:val="4"/>
                <w:szCs w:val="4"/>
              </w:rPr>
            </w:r>
          </w:p>
        </w:tc>
      </w:tr>
      <w:tr>
        <w:trPr/>
        <w:tc>
          <w:tcPr>
            <w:tcW w:w="2967" w:type="dxa"/>
            <w:tcBorders/>
          </w:tcPr>
          <w:p>
            <w:pPr>
              <w:pStyle w:val="TableContents"/>
              <w:bidi w:val="0"/>
              <w:spacing w:before="0" w:after="283"/>
              <w:jc w:val="left"/>
              <w:rPr/>
            </w:pPr>
            <w:r>
              <w:rPr/>
              <w:t>“</w:t>
            </w:r>
            <w:r>
              <w:rPr>
                <w:b/>
              </w:rPr>
              <w:t>the Netherlands</w:t>
            </w:r>
            <w:r>
              <w:rPr/>
              <w:t>”</w:t>
            </w:r>
          </w:p>
        </w:tc>
        <w:tc>
          <w:tcPr>
            <w:tcW w:w="120"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The European territory of the Kingdom of the Netherlands and “</w:t>
            </w:r>
            <w:r>
              <w:rPr>
                <w:b/>
              </w:rPr>
              <w:t>Dutch</w:t>
            </w:r>
            <w:r>
              <w:rPr/>
              <w:t>” is in or of the Netherlands.</w:t>
            </w:r>
          </w:p>
        </w:tc>
      </w:tr>
      <w:tr>
        <w:trPr>
          <w:trHeight w:val="120" w:hRule="atLeast"/>
        </w:trPr>
        <w:tc>
          <w:tcPr>
            <w:tcW w:w="2967" w:type="dxa"/>
            <w:tcBorders/>
            <w:vAlign w:val="center"/>
          </w:tcPr>
          <w:p>
            <w:pPr>
              <w:pStyle w:val="TableContents"/>
              <w:bidi w:val="0"/>
              <w:spacing w:before="0" w:after="283"/>
              <w:jc w:val="left"/>
              <w:rPr>
                <w:sz w:val="4"/>
                <w:szCs w:val="4"/>
              </w:rPr>
            </w:pPr>
            <w:r>
              <w:rPr>
                <w:sz w:val="4"/>
                <w:szCs w:val="4"/>
              </w:rPr>
            </w:r>
          </w:p>
        </w:tc>
        <w:tc>
          <w:tcPr>
            <w:tcW w:w="7238" w:type="dxa"/>
            <w:gridSpan w:val="2"/>
            <w:tcBorders/>
            <w:vAlign w:val="center"/>
          </w:tcPr>
          <w:p>
            <w:pPr>
              <w:pStyle w:val="TableContents"/>
              <w:bidi w:val="0"/>
              <w:spacing w:before="0" w:after="283"/>
              <w:jc w:val="left"/>
              <w:rPr>
                <w:sz w:val="4"/>
                <w:szCs w:val="4"/>
              </w:rPr>
            </w:pPr>
            <w:r>
              <w:rPr>
                <w:sz w:val="4"/>
                <w:szCs w:val="4"/>
              </w:rPr>
            </w:r>
          </w:p>
        </w:tc>
      </w:tr>
      <w:tr>
        <w:trPr/>
        <w:tc>
          <w:tcPr>
            <w:tcW w:w="2967" w:type="dxa"/>
            <w:tcBorders/>
          </w:tcPr>
          <w:p>
            <w:pPr>
              <w:pStyle w:val="TableContents"/>
              <w:bidi w:val="0"/>
              <w:spacing w:before="0" w:after="283"/>
              <w:jc w:val="left"/>
              <w:rPr/>
            </w:pPr>
            <w:r>
              <w:rPr/>
              <w:t>“</w:t>
            </w:r>
            <w:r>
              <w:rPr>
                <w:b/>
              </w:rPr>
              <w:t>Offer Shares</w:t>
            </w:r>
            <w:r>
              <w:rPr/>
              <w:t>”</w:t>
            </w:r>
          </w:p>
        </w:tc>
        <w:tc>
          <w:tcPr>
            <w:tcW w:w="120"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12,945,916 Ordinary Shares.</w:t>
            </w:r>
          </w:p>
        </w:tc>
      </w:tr>
      <w:tr>
        <w:trPr>
          <w:trHeight w:val="120" w:hRule="atLeast"/>
        </w:trPr>
        <w:tc>
          <w:tcPr>
            <w:tcW w:w="2967" w:type="dxa"/>
            <w:tcBorders/>
            <w:vAlign w:val="center"/>
          </w:tcPr>
          <w:p>
            <w:pPr>
              <w:pStyle w:val="TableContents"/>
              <w:bidi w:val="0"/>
              <w:spacing w:before="0" w:after="283"/>
              <w:jc w:val="left"/>
              <w:rPr>
                <w:sz w:val="4"/>
                <w:szCs w:val="4"/>
              </w:rPr>
            </w:pPr>
            <w:r>
              <w:rPr>
                <w:sz w:val="4"/>
                <w:szCs w:val="4"/>
              </w:rPr>
            </w:r>
          </w:p>
        </w:tc>
        <w:tc>
          <w:tcPr>
            <w:tcW w:w="7238" w:type="dxa"/>
            <w:gridSpan w:val="2"/>
            <w:tcBorders/>
            <w:vAlign w:val="center"/>
          </w:tcPr>
          <w:p>
            <w:pPr>
              <w:pStyle w:val="TableContents"/>
              <w:bidi w:val="0"/>
              <w:spacing w:before="0" w:after="283"/>
              <w:jc w:val="left"/>
              <w:rPr>
                <w:sz w:val="4"/>
                <w:szCs w:val="4"/>
              </w:rPr>
            </w:pPr>
            <w:r>
              <w:rPr>
                <w:sz w:val="4"/>
                <w:szCs w:val="4"/>
              </w:rPr>
            </w:r>
          </w:p>
        </w:tc>
      </w:tr>
      <w:tr>
        <w:trPr/>
        <w:tc>
          <w:tcPr>
            <w:tcW w:w="2967" w:type="dxa"/>
            <w:tcBorders/>
          </w:tcPr>
          <w:p>
            <w:pPr>
              <w:pStyle w:val="TableContents"/>
              <w:bidi w:val="0"/>
              <w:spacing w:before="0" w:after="283"/>
              <w:jc w:val="left"/>
              <w:rPr/>
            </w:pPr>
            <w:r>
              <w:rPr/>
              <w:t>“</w:t>
            </w:r>
            <w:r>
              <w:rPr>
                <w:b/>
              </w:rPr>
              <w:t>Offering</w:t>
            </w:r>
            <w:r>
              <w:rPr/>
              <w:t>”</w:t>
            </w:r>
          </w:p>
        </w:tc>
        <w:tc>
          <w:tcPr>
            <w:tcW w:w="120"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The offering of Ordinary Shares and Warrants as contemplated by the Registration Statement, the Prospectus Supplement and the Underwriting Agreement.</w:t>
            </w:r>
          </w:p>
        </w:tc>
      </w:tr>
      <w:tr>
        <w:trPr>
          <w:trHeight w:val="120" w:hRule="atLeast"/>
        </w:trPr>
        <w:tc>
          <w:tcPr>
            <w:tcW w:w="2967" w:type="dxa"/>
            <w:tcBorders/>
            <w:vAlign w:val="center"/>
          </w:tcPr>
          <w:p>
            <w:pPr>
              <w:pStyle w:val="TableContents"/>
              <w:bidi w:val="0"/>
              <w:spacing w:before="0" w:after="283"/>
              <w:jc w:val="left"/>
              <w:rPr>
                <w:sz w:val="4"/>
                <w:szCs w:val="4"/>
              </w:rPr>
            </w:pPr>
            <w:r>
              <w:rPr>
                <w:sz w:val="4"/>
                <w:szCs w:val="4"/>
              </w:rPr>
            </w:r>
          </w:p>
        </w:tc>
        <w:tc>
          <w:tcPr>
            <w:tcW w:w="7238" w:type="dxa"/>
            <w:gridSpan w:val="2"/>
            <w:tcBorders/>
            <w:vAlign w:val="center"/>
          </w:tcPr>
          <w:p>
            <w:pPr>
              <w:pStyle w:val="TableContents"/>
              <w:bidi w:val="0"/>
              <w:spacing w:before="0" w:after="283"/>
              <w:jc w:val="left"/>
              <w:rPr>
                <w:sz w:val="4"/>
                <w:szCs w:val="4"/>
              </w:rPr>
            </w:pPr>
            <w:r>
              <w:rPr>
                <w:sz w:val="4"/>
                <w:szCs w:val="4"/>
              </w:rPr>
            </w:r>
          </w:p>
        </w:tc>
      </w:tr>
      <w:tr>
        <w:trPr/>
        <w:tc>
          <w:tcPr>
            <w:tcW w:w="2967" w:type="dxa"/>
            <w:tcBorders/>
          </w:tcPr>
          <w:p>
            <w:pPr>
              <w:pStyle w:val="TableContents"/>
              <w:bidi w:val="0"/>
              <w:spacing w:before="0" w:after="283"/>
              <w:jc w:val="left"/>
              <w:rPr/>
            </w:pPr>
            <w:r>
              <w:rPr/>
              <w:t>“</w:t>
            </w:r>
            <w:r>
              <w:rPr>
                <w:b/>
              </w:rPr>
              <w:t>Option</w:t>
            </w:r>
            <w:r>
              <w:rPr/>
              <w:t>”</w:t>
            </w:r>
          </w:p>
        </w:tc>
        <w:tc>
          <w:tcPr>
            <w:tcW w:w="120" w:type="dxa"/>
            <w:tcBorders/>
            <w:vAlign w:val="bottom"/>
          </w:tcPr>
          <w:p>
            <w:pPr>
              <w:pStyle w:val="TableContents"/>
              <w:bidi w:val="0"/>
              <w:spacing w:before="0" w:after="283"/>
              <w:jc w:val="left"/>
              <w:rPr/>
            </w:pPr>
            <w:r>
              <w:rPr/>
              <w:t>  </w:t>
            </w:r>
          </w:p>
        </w:tc>
        <w:tc>
          <w:tcPr>
            <w:tcW w:w="7118" w:type="dxa"/>
            <w:tcBorders/>
          </w:tcPr>
          <w:p>
            <w:pPr>
              <w:pStyle w:val="TableContents"/>
              <w:bidi w:val="0"/>
              <w:spacing w:before="0" w:after="283"/>
              <w:jc w:val="left"/>
              <w:rPr/>
            </w:pPr>
            <w:r>
              <w:rPr/>
              <w:t>The option to acquire Ordinary Shares from the Company to be granted to the Underwriters pursuant to the Underwriting Agreement and the relevant Resolutions.</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266825" cy="15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66825" cy="152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1"/>
        <w:gridCol w:w="120"/>
        <w:gridCol w:w="7134"/>
      </w:tblGrid>
      <w:tr>
        <w:trPr/>
        <w:tc>
          <w:tcPr>
            <w:tcW w:w="295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34" w:type="dxa"/>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283"/>
              <w:jc w:val="left"/>
              <w:rPr/>
            </w:pPr>
            <w:r>
              <w:rPr/>
              <w:t>“</w:t>
            </w:r>
            <w:r>
              <w:rPr>
                <w:b/>
              </w:rPr>
              <w:t>Option Shares</w:t>
            </w:r>
            <w:r>
              <w:rPr/>
              <w:t>”</w:t>
            </w:r>
          </w:p>
        </w:tc>
        <w:tc>
          <w:tcPr>
            <w:tcW w:w="120"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Up to 2,589,184 Ordinary Shares underlying the Option or such lesser number of Ordinary Shares in respect of which the Option is exercised, as applicable.</w:t>
            </w:r>
          </w:p>
        </w:tc>
      </w:tr>
      <w:tr>
        <w:trPr>
          <w:trHeight w:val="120" w:hRule="atLeast"/>
        </w:trPr>
        <w:tc>
          <w:tcPr>
            <w:tcW w:w="2951" w:type="dxa"/>
            <w:tcBorders/>
            <w:vAlign w:val="center"/>
          </w:tcPr>
          <w:p>
            <w:pPr>
              <w:pStyle w:val="TableContents"/>
              <w:bidi w:val="0"/>
              <w:spacing w:before="0" w:after="283"/>
              <w:jc w:val="left"/>
              <w:rPr>
                <w:sz w:val="4"/>
                <w:szCs w:val="4"/>
              </w:rPr>
            </w:pPr>
            <w:r>
              <w:rPr>
                <w:sz w:val="4"/>
                <w:szCs w:val="4"/>
              </w:rPr>
            </w:r>
          </w:p>
        </w:tc>
        <w:tc>
          <w:tcPr>
            <w:tcW w:w="7254"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283"/>
              <w:jc w:val="left"/>
              <w:rPr/>
            </w:pPr>
            <w:r>
              <w:rPr/>
              <w:t>“</w:t>
            </w:r>
            <w:r>
              <w:rPr>
                <w:b/>
              </w:rPr>
              <w:t>Ordinary Shares</w:t>
            </w:r>
            <w:r>
              <w:rPr/>
              <w:t>”</w:t>
            </w:r>
          </w:p>
        </w:tc>
        <w:tc>
          <w:tcPr>
            <w:tcW w:w="120"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Ordinary shares in the Company’s capital, with a nominal value of EUR 0.01 each.</w:t>
            </w:r>
          </w:p>
        </w:tc>
      </w:tr>
      <w:tr>
        <w:trPr>
          <w:trHeight w:val="120" w:hRule="atLeast"/>
        </w:trPr>
        <w:tc>
          <w:tcPr>
            <w:tcW w:w="2951" w:type="dxa"/>
            <w:tcBorders/>
            <w:vAlign w:val="center"/>
          </w:tcPr>
          <w:p>
            <w:pPr>
              <w:pStyle w:val="TableContents"/>
              <w:bidi w:val="0"/>
              <w:spacing w:before="0" w:after="283"/>
              <w:jc w:val="left"/>
              <w:rPr>
                <w:sz w:val="4"/>
                <w:szCs w:val="4"/>
              </w:rPr>
            </w:pPr>
            <w:r>
              <w:rPr>
                <w:sz w:val="4"/>
                <w:szCs w:val="4"/>
              </w:rPr>
            </w:r>
          </w:p>
        </w:tc>
        <w:tc>
          <w:tcPr>
            <w:tcW w:w="7254"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283"/>
              <w:jc w:val="left"/>
              <w:rPr/>
            </w:pPr>
            <w:r>
              <w:rPr/>
              <w:t>“</w:t>
            </w:r>
            <w:r>
              <w:rPr>
                <w:b/>
              </w:rPr>
              <w:t>PRIIPs Regulation</w:t>
            </w:r>
            <w:r>
              <w:rPr/>
              <w:t>”</w:t>
            </w:r>
          </w:p>
        </w:tc>
        <w:tc>
          <w:tcPr>
            <w:tcW w:w="120"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Regulation (EU) No 1286/2014 on key information documents for packaged retail and insurance-based investment products (PRIIPs).</w:t>
            </w:r>
          </w:p>
        </w:tc>
      </w:tr>
      <w:tr>
        <w:trPr>
          <w:trHeight w:val="120" w:hRule="atLeast"/>
        </w:trPr>
        <w:tc>
          <w:tcPr>
            <w:tcW w:w="2951" w:type="dxa"/>
            <w:tcBorders/>
            <w:vAlign w:val="center"/>
          </w:tcPr>
          <w:p>
            <w:pPr>
              <w:pStyle w:val="TableContents"/>
              <w:bidi w:val="0"/>
              <w:spacing w:before="0" w:after="283"/>
              <w:jc w:val="left"/>
              <w:rPr>
                <w:sz w:val="4"/>
                <w:szCs w:val="4"/>
              </w:rPr>
            </w:pPr>
            <w:r>
              <w:rPr>
                <w:sz w:val="4"/>
                <w:szCs w:val="4"/>
              </w:rPr>
            </w:r>
          </w:p>
        </w:tc>
        <w:tc>
          <w:tcPr>
            <w:tcW w:w="7254"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283"/>
              <w:jc w:val="left"/>
              <w:rPr/>
            </w:pPr>
            <w:r>
              <w:rPr/>
              <w:t>“</w:t>
            </w:r>
            <w:r>
              <w:rPr>
                <w:b/>
              </w:rPr>
              <w:t>Prospectus Regulation</w:t>
            </w:r>
            <w:r>
              <w:rPr/>
              <w:t>”</w:t>
            </w:r>
          </w:p>
        </w:tc>
        <w:tc>
          <w:tcPr>
            <w:tcW w:w="120"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Regulation (EU) 2017/1129 on the prospectus to be published when securities are offered to the public or admitted to trading on a regulated market.</w:t>
            </w:r>
          </w:p>
        </w:tc>
      </w:tr>
      <w:tr>
        <w:trPr>
          <w:trHeight w:val="120" w:hRule="atLeast"/>
        </w:trPr>
        <w:tc>
          <w:tcPr>
            <w:tcW w:w="2951" w:type="dxa"/>
            <w:tcBorders/>
            <w:vAlign w:val="center"/>
          </w:tcPr>
          <w:p>
            <w:pPr>
              <w:pStyle w:val="TableContents"/>
              <w:bidi w:val="0"/>
              <w:spacing w:before="0" w:after="283"/>
              <w:jc w:val="left"/>
              <w:rPr>
                <w:sz w:val="4"/>
                <w:szCs w:val="4"/>
              </w:rPr>
            </w:pPr>
            <w:r>
              <w:rPr>
                <w:sz w:val="4"/>
                <w:szCs w:val="4"/>
              </w:rPr>
            </w:r>
          </w:p>
        </w:tc>
        <w:tc>
          <w:tcPr>
            <w:tcW w:w="7254"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283"/>
              <w:jc w:val="left"/>
              <w:rPr/>
            </w:pPr>
            <w:r>
              <w:rPr/>
              <w:t>“</w:t>
            </w:r>
            <w:r>
              <w:rPr>
                <w:b/>
              </w:rPr>
              <w:t>Prospectus Supplement</w:t>
            </w:r>
            <w:r>
              <w:rPr/>
              <w:t>”</w:t>
            </w:r>
          </w:p>
        </w:tc>
        <w:tc>
          <w:tcPr>
            <w:tcW w:w="120"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The Company’s prospectus supplement to the Registration Statement, filed with the SEC on August 25, 2026.</w:t>
            </w:r>
          </w:p>
        </w:tc>
      </w:tr>
      <w:tr>
        <w:trPr>
          <w:trHeight w:val="120" w:hRule="atLeast"/>
        </w:trPr>
        <w:tc>
          <w:tcPr>
            <w:tcW w:w="2951" w:type="dxa"/>
            <w:tcBorders/>
            <w:vAlign w:val="center"/>
          </w:tcPr>
          <w:p>
            <w:pPr>
              <w:pStyle w:val="TableContents"/>
              <w:bidi w:val="0"/>
              <w:spacing w:before="0" w:after="283"/>
              <w:jc w:val="left"/>
              <w:rPr>
                <w:sz w:val="4"/>
                <w:szCs w:val="4"/>
              </w:rPr>
            </w:pPr>
            <w:r>
              <w:rPr>
                <w:sz w:val="4"/>
                <w:szCs w:val="4"/>
              </w:rPr>
            </w:r>
          </w:p>
        </w:tc>
        <w:tc>
          <w:tcPr>
            <w:tcW w:w="7254"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283"/>
              <w:jc w:val="left"/>
              <w:rPr/>
            </w:pPr>
            <w:r>
              <w:rPr/>
              <w:t>“</w:t>
            </w:r>
            <w:r>
              <w:rPr>
                <w:b/>
              </w:rPr>
              <w:t>Registration Statement</w:t>
            </w:r>
            <w:r>
              <w:rPr/>
              <w:t>”</w:t>
            </w:r>
          </w:p>
        </w:tc>
        <w:tc>
          <w:tcPr>
            <w:tcW w:w="120"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The Company’s registration statement on Form F-3, filed with the SEC on March 27, 2025.</w:t>
            </w:r>
          </w:p>
        </w:tc>
      </w:tr>
      <w:tr>
        <w:trPr>
          <w:trHeight w:val="120" w:hRule="atLeast"/>
        </w:trPr>
        <w:tc>
          <w:tcPr>
            <w:tcW w:w="2951" w:type="dxa"/>
            <w:tcBorders/>
            <w:vAlign w:val="center"/>
          </w:tcPr>
          <w:p>
            <w:pPr>
              <w:pStyle w:val="TableContents"/>
              <w:bidi w:val="0"/>
              <w:spacing w:before="0" w:after="283"/>
              <w:jc w:val="left"/>
              <w:rPr>
                <w:sz w:val="4"/>
                <w:szCs w:val="4"/>
              </w:rPr>
            </w:pPr>
            <w:r>
              <w:rPr>
                <w:sz w:val="4"/>
                <w:szCs w:val="4"/>
              </w:rPr>
            </w:r>
          </w:p>
        </w:tc>
        <w:tc>
          <w:tcPr>
            <w:tcW w:w="7254"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283"/>
              <w:jc w:val="left"/>
              <w:rPr/>
            </w:pPr>
            <w:r>
              <w:rPr/>
              <w:t>“</w:t>
            </w:r>
            <w:r>
              <w:rPr>
                <w:b/>
              </w:rPr>
              <w:t>Relevant Moment</w:t>
            </w:r>
            <w:r>
              <w:rPr/>
              <w:t>”</w:t>
            </w:r>
          </w:p>
        </w:tc>
        <w:tc>
          <w:tcPr>
            <w:tcW w:w="120"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Each time when Offer Shares or Option Shares are issued pursuant to the execution of a Deed of Issue, or when Warrant Shares are issued pursuant to the exercise of one or more Warrants.</w:t>
            </w:r>
          </w:p>
        </w:tc>
      </w:tr>
      <w:tr>
        <w:trPr>
          <w:trHeight w:val="120" w:hRule="atLeast"/>
        </w:trPr>
        <w:tc>
          <w:tcPr>
            <w:tcW w:w="2951" w:type="dxa"/>
            <w:tcBorders/>
            <w:vAlign w:val="center"/>
          </w:tcPr>
          <w:p>
            <w:pPr>
              <w:pStyle w:val="TableContents"/>
              <w:bidi w:val="0"/>
              <w:spacing w:before="0" w:after="283"/>
              <w:jc w:val="left"/>
              <w:rPr>
                <w:sz w:val="4"/>
                <w:szCs w:val="4"/>
              </w:rPr>
            </w:pPr>
            <w:r>
              <w:rPr>
                <w:sz w:val="4"/>
                <w:szCs w:val="4"/>
              </w:rPr>
            </w:r>
          </w:p>
        </w:tc>
        <w:tc>
          <w:tcPr>
            <w:tcW w:w="7254"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283"/>
              <w:jc w:val="left"/>
              <w:rPr/>
            </w:pPr>
            <w:r>
              <w:rPr/>
              <w:t>“</w:t>
            </w:r>
            <w:r>
              <w:rPr>
                <w:b/>
              </w:rPr>
              <w:t>Resolutions</w:t>
            </w:r>
            <w:r>
              <w:rPr/>
              <w:t>”</w:t>
            </w:r>
          </w:p>
        </w:tc>
        <w:tc>
          <w:tcPr>
            <w:tcW w:w="120"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0"/>
              <w:jc w:val="left"/>
              <w:rPr>
                <w:rFonts w:ascii="Times New Roman" w:hAnsi="Times New Roman"/>
                <w:sz w:val="20"/>
              </w:rPr>
            </w:pPr>
            <w:r>
              <w:rPr>
                <w:rFonts w:ascii="Times New Roman" w:hAnsi="Times New Roman"/>
                <w:sz w:val="20"/>
              </w:rPr>
              <w:t>Each of the following: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b/>
                <w:sz w:val="20"/>
              </w:rPr>
              <w:t>a.</w:t>
            </w:r>
            <w:r>
              <w:rPr>
                <w:rFonts w:ascii="Times New Roman" w:hAnsi="Times New Roman"/>
                <w:sz w:val="20"/>
              </w:rPr>
              <w:t>  the minutes, convening notice and explanatory notes of the General Meeting, dated June 20, 2024;</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  the written resolution of the Board, dated August 24, 2026;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c.</w:t>
            </w:r>
            <w:r>
              <w:rPr>
                <w:rFonts w:ascii="Times New Roman" w:hAnsi="Times New Roman"/>
                <w:sz w:val="20"/>
              </w:rPr>
              <w:t>   the written resolution of the pricing committee established by the Board, dated August 24, 2026.</w:t>
            </w:r>
          </w:p>
        </w:tc>
      </w:tr>
      <w:tr>
        <w:trPr>
          <w:trHeight w:val="120" w:hRule="atLeast"/>
        </w:trPr>
        <w:tc>
          <w:tcPr>
            <w:tcW w:w="2951" w:type="dxa"/>
            <w:tcBorders/>
            <w:vAlign w:val="center"/>
          </w:tcPr>
          <w:p>
            <w:pPr>
              <w:pStyle w:val="TableContents"/>
              <w:bidi w:val="0"/>
              <w:spacing w:before="0" w:after="283"/>
              <w:jc w:val="left"/>
              <w:rPr>
                <w:sz w:val="4"/>
                <w:szCs w:val="4"/>
              </w:rPr>
            </w:pPr>
            <w:r>
              <w:rPr>
                <w:sz w:val="4"/>
                <w:szCs w:val="4"/>
              </w:rPr>
            </w:r>
          </w:p>
        </w:tc>
        <w:tc>
          <w:tcPr>
            <w:tcW w:w="7254" w:type="dxa"/>
            <w:gridSpan w:val="2"/>
            <w:tcBorders/>
            <w:vAlign w:val="center"/>
          </w:tcPr>
          <w:p>
            <w:pPr>
              <w:pStyle w:val="TableContents"/>
              <w:bidi w:val="0"/>
              <w:spacing w:before="0" w:after="283"/>
              <w:jc w:val="left"/>
              <w:rPr>
                <w:sz w:val="4"/>
                <w:szCs w:val="4"/>
              </w:rPr>
            </w:pPr>
            <w:r>
              <w:rPr>
                <w:sz w:val="4"/>
                <w:szCs w:val="4"/>
              </w:rPr>
            </w:r>
          </w:p>
        </w:tc>
      </w:tr>
      <w:tr>
        <w:trPr/>
        <w:tc>
          <w:tcPr>
            <w:tcW w:w="2951" w:type="dxa"/>
            <w:tcBorders/>
          </w:tcPr>
          <w:p>
            <w:pPr>
              <w:pStyle w:val="TableContents"/>
              <w:bidi w:val="0"/>
              <w:spacing w:before="0" w:after="283"/>
              <w:jc w:val="left"/>
              <w:rPr/>
            </w:pPr>
            <w:r>
              <w:rPr/>
              <w:t>“</w:t>
            </w:r>
            <w:r>
              <w:rPr>
                <w:b/>
              </w:rPr>
              <w:t>Reviewed Documents</w:t>
            </w:r>
            <w:r>
              <w:rPr/>
              <w:t>”</w:t>
            </w:r>
          </w:p>
        </w:tc>
        <w:tc>
          <w:tcPr>
            <w:tcW w:w="120" w:type="dxa"/>
            <w:tcBorders/>
            <w:vAlign w:val="bottom"/>
          </w:tcPr>
          <w:p>
            <w:pPr>
              <w:pStyle w:val="TableContents"/>
              <w:bidi w:val="0"/>
              <w:spacing w:before="0" w:after="283"/>
              <w:jc w:val="left"/>
              <w:rPr/>
            </w:pPr>
            <w:r>
              <w:rPr/>
              <w:t>  </w:t>
            </w:r>
          </w:p>
        </w:tc>
        <w:tc>
          <w:tcPr>
            <w:tcW w:w="7134" w:type="dxa"/>
            <w:tcBorders/>
          </w:tcPr>
          <w:p>
            <w:pPr>
              <w:pStyle w:val="TableContents"/>
              <w:bidi w:val="0"/>
              <w:spacing w:before="0" w:after="283"/>
              <w:jc w:val="left"/>
              <w:rPr/>
            </w:pPr>
            <w:r>
              <w:rPr/>
              <w:t>Each Deed of Issue, the Warrant Agreement and the Underwriting Agreement.</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266825" cy="15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66825" cy="152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10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88"/>
        <w:gridCol w:w="120"/>
        <w:gridCol w:w="7097"/>
      </w:tblGrid>
      <w:tr>
        <w:trPr/>
        <w:tc>
          <w:tcPr>
            <w:tcW w:w="29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97" w:type="dxa"/>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pPr>
            <w:r>
              <w:rPr/>
              <w:t>“</w:t>
            </w:r>
            <w:r>
              <w:rPr>
                <w:b/>
              </w:rPr>
              <w:t>SEC</w:t>
            </w:r>
            <w:r>
              <w:rPr/>
              <w:t>”</w:t>
            </w:r>
          </w:p>
        </w:tc>
        <w:tc>
          <w:tcPr>
            <w:tcW w:w="120" w:type="dxa"/>
            <w:tcBorders/>
            <w:vAlign w:val="bottom"/>
          </w:tcPr>
          <w:p>
            <w:pPr>
              <w:pStyle w:val="TableContents"/>
              <w:bidi w:val="0"/>
              <w:spacing w:before="0" w:after="283"/>
              <w:jc w:val="left"/>
              <w:rPr/>
            </w:pPr>
            <w:r>
              <w:rPr/>
              <w:t>  </w:t>
            </w:r>
          </w:p>
        </w:tc>
        <w:tc>
          <w:tcPr>
            <w:tcW w:w="7097" w:type="dxa"/>
            <w:tcBorders/>
          </w:tcPr>
          <w:p>
            <w:pPr>
              <w:pStyle w:val="TableContents"/>
              <w:bidi w:val="0"/>
              <w:spacing w:before="0" w:after="283"/>
              <w:jc w:val="left"/>
              <w:rPr/>
            </w:pPr>
            <w:r>
              <w:rPr/>
              <w:t>The United States Securities and Exchange Commission.</w:t>
            </w:r>
          </w:p>
        </w:tc>
      </w:tr>
      <w:tr>
        <w:trPr>
          <w:trHeight w:val="120" w:hRule="atLeast"/>
        </w:trPr>
        <w:tc>
          <w:tcPr>
            <w:tcW w:w="2988" w:type="dxa"/>
            <w:tcBorders/>
            <w:vAlign w:val="center"/>
          </w:tcPr>
          <w:p>
            <w:pPr>
              <w:pStyle w:val="TableContents"/>
              <w:bidi w:val="0"/>
              <w:spacing w:before="0" w:after="283"/>
              <w:jc w:val="left"/>
              <w:rPr>
                <w:sz w:val="4"/>
                <w:szCs w:val="4"/>
              </w:rPr>
            </w:pPr>
            <w:r>
              <w:rPr>
                <w:sz w:val="4"/>
                <w:szCs w:val="4"/>
              </w:rPr>
            </w:r>
          </w:p>
        </w:tc>
        <w:tc>
          <w:tcPr>
            <w:tcW w:w="7217" w:type="dxa"/>
            <w:gridSpan w:val="2"/>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pPr>
            <w:r>
              <w:rPr/>
              <w:t>“</w:t>
            </w:r>
            <w:r>
              <w:rPr>
                <w:b/>
              </w:rPr>
              <w:t>Underwriters</w:t>
            </w:r>
            <w:r>
              <w:rPr/>
              <w:t>”</w:t>
            </w:r>
          </w:p>
        </w:tc>
        <w:tc>
          <w:tcPr>
            <w:tcW w:w="120" w:type="dxa"/>
            <w:tcBorders/>
            <w:vAlign w:val="bottom"/>
          </w:tcPr>
          <w:p>
            <w:pPr>
              <w:pStyle w:val="TableContents"/>
              <w:bidi w:val="0"/>
              <w:spacing w:before="0" w:after="283"/>
              <w:jc w:val="left"/>
              <w:rPr/>
            </w:pPr>
            <w:r>
              <w:rPr/>
              <w:t>  </w:t>
            </w:r>
          </w:p>
        </w:tc>
        <w:tc>
          <w:tcPr>
            <w:tcW w:w="7097" w:type="dxa"/>
            <w:tcBorders/>
          </w:tcPr>
          <w:p>
            <w:pPr>
              <w:pStyle w:val="TableContents"/>
              <w:bidi w:val="0"/>
              <w:spacing w:before="0" w:after="283"/>
              <w:jc w:val="left"/>
              <w:rPr/>
            </w:pPr>
            <w:r>
              <w:rPr/>
              <w:t>The Underwriters in the Offering.</w:t>
            </w:r>
          </w:p>
        </w:tc>
      </w:tr>
      <w:tr>
        <w:trPr>
          <w:trHeight w:val="120" w:hRule="atLeast"/>
        </w:trPr>
        <w:tc>
          <w:tcPr>
            <w:tcW w:w="2988" w:type="dxa"/>
            <w:tcBorders/>
            <w:vAlign w:val="center"/>
          </w:tcPr>
          <w:p>
            <w:pPr>
              <w:pStyle w:val="TableContents"/>
              <w:bidi w:val="0"/>
              <w:spacing w:before="0" w:after="283"/>
              <w:jc w:val="left"/>
              <w:rPr>
                <w:sz w:val="4"/>
                <w:szCs w:val="4"/>
              </w:rPr>
            </w:pPr>
            <w:r>
              <w:rPr>
                <w:sz w:val="4"/>
                <w:szCs w:val="4"/>
              </w:rPr>
            </w:r>
          </w:p>
        </w:tc>
        <w:tc>
          <w:tcPr>
            <w:tcW w:w="7217" w:type="dxa"/>
            <w:gridSpan w:val="2"/>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pPr>
            <w:r>
              <w:rPr/>
              <w:t>“</w:t>
            </w:r>
            <w:r>
              <w:rPr>
                <w:b/>
              </w:rPr>
              <w:t>Underwriting Agreement</w:t>
            </w:r>
            <w:r>
              <w:rPr/>
              <w:t>”</w:t>
            </w:r>
          </w:p>
        </w:tc>
        <w:tc>
          <w:tcPr>
            <w:tcW w:w="120" w:type="dxa"/>
            <w:tcBorders/>
            <w:vAlign w:val="bottom"/>
          </w:tcPr>
          <w:p>
            <w:pPr>
              <w:pStyle w:val="TableContents"/>
              <w:bidi w:val="0"/>
              <w:spacing w:before="0" w:after="283"/>
              <w:jc w:val="left"/>
              <w:rPr/>
            </w:pPr>
            <w:r>
              <w:rPr/>
              <w:t>  </w:t>
            </w:r>
          </w:p>
        </w:tc>
        <w:tc>
          <w:tcPr>
            <w:tcW w:w="7097" w:type="dxa"/>
            <w:tcBorders/>
          </w:tcPr>
          <w:p>
            <w:pPr>
              <w:pStyle w:val="TableContents"/>
              <w:bidi w:val="0"/>
              <w:spacing w:before="0" w:after="283"/>
              <w:jc w:val="left"/>
              <w:rPr/>
            </w:pPr>
            <w:r>
              <w:rPr/>
              <w:t>The underwriting agreement between the Company and the Underwriters in connection with the Offering, dated August 24, 2026.</w:t>
            </w:r>
          </w:p>
        </w:tc>
      </w:tr>
      <w:tr>
        <w:trPr>
          <w:trHeight w:val="120" w:hRule="atLeast"/>
        </w:trPr>
        <w:tc>
          <w:tcPr>
            <w:tcW w:w="2988" w:type="dxa"/>
            <w:tcBorders/>
            <w:vAlign w:val="center"/>
          </w:tcPr>
          <w:p>
            <w:pPr>
              <w:pStyle w:val="TableContents"/>
              <w:bidi w:val="0"/>
              <w:spacing w:before="0" w:after="283"/>
              <w:jc w:val="left"/>
              <w:rPr>
                <w:sz w:val="4"/>
                <w:szCs w:val="4"/>
              </w:rPr>
            </w:pPr>
            <w:r>
              <w:rPr>
                <w:sz w:val="4"/>
                <w:szCs w:val="4"/>
              </w:rPr>
            </w:r>
          </w:p>
        </w:tc>
        <w:tc>
          <w:tcPr>
            <w:tcW w:w="7217" w:type="dxa"/>
            <w:gridSpan w:val="2"/>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pPr>
            <w:r>
              <w:rPr/>
              <w:t>“</w:t>
            </w:r>
            <w:r>
              <w:rPr>
                <w:b/>
              </w:rPr>
              <w:t>Warrant Agreement</w:t>
            </w:r>
            <w:r>
              <w:rPr/>
              <w:t>”</w:t>
            </w:r>
          </w:p>
        </w:tc>
        <w:tc>
          <w:tcPr>
            <w:tcW w:w="120" w:type="dxa"/>
            <w:tcBorders/>
            <w:vAlign w:val="bottom"/>
          </w:tcPr>
          <w:p>
            <w:pPr>
              <w:pStyle w:val="TableContents"/>
              <w:bidi w:val="0"/>
              <w:spacing w:before="0" w:after="283"/>
              <w:jc w:val="left"/>
              <w:rPr/>
            </w:pPr>
            <w:r>
              <w:rPr/>
              <w:t>  </w:t>
            </w:r>
          </w:p>
        </w:tc>
        <w:tc>
          <w:tcPr>
            <w:tcW w:w="7097" w:type="dxa"/>
            <w:tcBorders/>
          </w:tcPr>
          <w:p>
            <w:pPr>
              <w:pStyle w:val="TableContents"/>
              <w:bidi w:val="0"/>
              <w:spacing w:before="0" w:after="283"/>
              <w:jc w:val="left"/>
              <w:rPr/>
            </w:pPr>
            <w:r>
              <w:rPr/>
              <w:t>The pre-funded warrants issued by the Company to certain investors dated August 26, 2026.</w:t>
            </w:r>
          </w:p>
        </w:tc>
      </w:tr>
      <w:tr>
        <w:trPr>
          <w:trHeight w:val="120" w:hRule="atLeast"/>
        </w:trPr>
        <w:tc>
          <w:tcPr>
            <w:tcW w:w="2988" w:type="dxa"/>
            <w:tcBorders/>
            <w:vAlign w:val="center"/>
          </w:tcPr>
          <w:p>
            <w:pPr>
              <w:pStyle w:val="TableContents"/>
              <w:bidi w:val="0"/>
              <w:spacing w:before="0" w:after="283"/>
              <w:jc w:val="left"/>
              <w:rPr>
                <w:sz w:val="4"/>
                <w:szCs w:val="4"/>
              </w:rPr>
            </w:pPr>
            <w:r>
              <w:rPr>
                <w:sz w:val="4"/>
                <w:szCs w:val="4"/>
              </w:rPr>
            </w:r>
          </w:p>
        </w:tc>
        <w:tc>
          <w:tcPr>
            <w:tcW w:w="7217" w:type="dxa"/>
            <w:gridSpan w:val="2"/>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pPr>
            <w:r>
              <w:rPr/>
              <w:t>“</w:t>
            </w:r>
            <w:r>
              <w:rPr>
                <w:b/>
              </w:rPr>
              <w:t>Warrant Shares</w:t>
            </w:r>
            <w:r>
              <w:rPr/>
              <w:t>”</w:t>
            </w:r>
          </w:p>
        </w:tc>
        <w:tc>
          <w:tcPr>
            <w:tcW w:w="120" w:type="dxa"/>
            <w:tcBorders/>
            <w:vAlign w:val="bottom"/>
          </w:tcPr>
          <w:p>
            <w:pPr>
              <w:pStyle w:val="TableContents"/>
              <w:bidi w:val="0"/>
              <w:spacing w:before="0" w:after="283"/>
              <w:jc w:val="left"/>
              <w:rPr/>
            </w:pPr>
            <w:r>
              <w:rPr/>
              <w:t>  </w:t>
            </w:r>
          </w:p>
        </w:tc>
        <w:tc>
          <w:tcPr>
            <w:tcW w:w="7097" w:type="dxa"/>
            <w:tcBorders/>
          </w:tcPr>
          <w:p>
            <w:pPr>
              <w:pStyle w:val="TableContents"/>
              <w:bidi w:val="0"/>
              <w:spacing w:before="0" w:after="283"/>
              <w:jc w:val="left"/>
              <w:rPr/>
            </w:pPr>
            <w:r>
              <w:rPr/>
              <w:t>Up to 4,315,304 Ordinary Shares underlying the Warrants issuable upon exercise of the Warrants in accordance with their terms.</w:t>
            </w:r>
          </w:p>
        </w:tc>
      </w:tr>
      <w:tr>
        <w:trPr>
          <w:trHeight w:val="120" w:hRule="atLeast"/>
        </w:trPr>
        <w:tc>
          <w:tcPr>
            <w:tcW w:w="2988" w:type="dxa"/>
            <w:tcBorders/>
            <w:vAlign w:val="center"/>
          </w:tcPr>
          <w:p>
            <w:pPr>
              <w:pStyle w:val="TableContents"/>
              <w:bidi w:val="0"/>
              <w:spacing w:before="0" w:after="283"/>
              <w:jc w:val="left"/>
              <w:rPr>
                <w:sz w:val="4"/>
                <w:szCs w:val="4"/>
              </w:rPr>
            </w:pPr>
            <w:r>
              <w:rPr>
                <w:sz w:val="4"/>
                <w:szCs w:val="4"/>
              </w:rPr>
            </w:r>
          </w:p>
        </w:tc>
        <w:tc>
          <w:tcPr>
            <w:tcW w:w="7217" w:type="dxa"/>
            <w:gridSpan w:val="2"/>
            <w:tcBorders/>
            <w:vAlign w:val="center"/>
          </w:tcPr>
          <w:p>
            <w:pPr>
              <w:pStyle w:val="TableContents"/>
              <w:bidi w:val="0"/>
              <w:spacing w:before="0" w:after="283"/>
              <w:jc w:val="left"/>
              <w:rPr>
                <w:sz w:val="4"/>
                <w:szCs w:val="4"/>
              </w:rPr>
            </w:pPr>
            <w:r>
              <w:rPr>
                <w:sz w:val="4"/>
                <w:szCs w:val="4"/>
              </w:rPr>
            </w:r>
          </w:p>
        </w:tc>
      </w:tr>
      <w:tr>
        <w:trPr/>
        <w:tc>
          <w:tcPr>
            <w:tcW w:w="2988" w:type="dxa"/>
            <w:tcBorders/>
          </w:tcPr>
          <w:p>
            <w:pPr>
              <w:pStyle w:val="TableContents"/>
              <w:bidi w:val="0"/>
              <w:spacing w:before="0" w:after="283"/>
              <w:jc w:val="left"/>
              <w:rPr/>
            </w:pPr>
            <w:r>
              <w:rPr/>
              <w:t>“</w:t>
            </w:r>
            <w:r>
              <w:rPr>
                <w:b/>
              </w:rPr>
              <w:t>Warrants</w:t>
            </w:r>
            <w:r>
              <w:rPr/>
              <w:t>”</w:t>
            </w:r>
          </w:p>
        </w:tc>
        <w:tc>
          <w:tcPr>
            <w:tcW w:w="120" w:type="dxa"/>
            <w:tcBorders/>
            <w:vAlign w:val="bottom"/>
          </w:tcPr>
          <w:p>
            <w:pPr>
              <w:pStyle w:val="TableContents"/>
              <w:bidi w:val="0"/>
              <w:spacing w:before="0" w:after="283"/>
              <w:jc w:val="left"/>
              <w:rPr/>
            </w:pPr>
            <w:r>
              <w:rPr/>
              <w:t>  </w:t>
            </w:r>
          </w:p>
        </w:tc>
        <w:tc>
          <w:tcPr>
            <w:tcW w:w="7097" w:type="dxa"/>
            <w:tcBorders/>
          </w:tcPr>
          <w:p>
            <w:pPr>
              <w:pStyle w:val="TableContents"/>
              <w:bidi w:val="0"/>
              <w:spacing w:before="0" w:after="283"/>
              <w:jc w:val="left"/>
              <w:rPr/>
            </w:pPr>
            <w:r>
              <w:rPr/>
              <w:t>The warrants for Ordinary Shares issuable by the Company pursuant to any duly executed Warrant Agreement.</w:t>
            </w:r>
          </w:p>
        </w:tc>
      </w:tr>
    </w:tbl>
    <w:p>
      <w:pPr>
        <w:pStyle w:val="TextBody"/>
        <w:bidi w:val="0"/>
        <w:spacing w:before="0" w:after="0"/>
        <w:jc w:val="right"/>
        <w:rPr>
          <w:rFonts w:ascii="Times New Roman" w:hAnsi="Times New Roman"/>
          <w:b/>
          <w:sz w:val="20"/>
        </w:rPr>
      </w:pPr>
      <w:bookmarkStart w:id="8" w:name="d153472dex52.htm"/>
      <w:bookmarkStart w:id="9" w:name="ksd153472dex52"/>
      <w:bookmarkEnd w:id="8"/>
      <w:bookmarkEnd w:id="9"/>
      <w:r>
        <w:rPr>
          <w:rFonts w:ascii="Times New Roman" w:hAnsi="Times New Roman"/>
          <w:b/>
          <w:sz w:val="20"/>
        </w:rPr>
        <w:t xml:space="preserve">Exhibit 5.2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57"/>
        <w:gridCol w:w="120"/>
        <w:gridCol w:w="2296"/>
        <w:gridCol w:w="214"/>
        <w:gridCol w:w="5818"/>
      </w:tblGrid>
      <w:tr>
        <w:trPr/>
        <w:tc>
          <w:tcPr>
            <w:tcW w:w="175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5818" w:type="dxa"/>
            <w:tcBorders/>
            <w:vAlign w:val="center"/>
          </w:tcPr>
          <w:p>
            <w:pPr>
              <w:pStyle w:val="TableContents"/>
              <w:bidi w:val="0"/>
              <w:spacing w:before="0" w:after="283"/>
              <w:jc w:val="left"/>
              <w:rPr>
                <w:sz w:val="4"/>
                <w:szCs w:val="4"/>
              </w:rPr>
            </w:pPr>
            <w:r>
              <w:rPr>
                <w:sz w:val="4"/>
                <w:szCs w:val="4"/>
              </w:rPr>
            </w:r>
          </w:p>
        </w:tc>
      </w:tr>
      <w:tr>
        <w:trPr/>
        <w:tc>
          <w:tcPr>
            <w:tcW w:w="1757" w:type="dxa"/>
            <w:tcBorders/>
          </w:tcPr>
          <w:p>
            <w:pPr>
              <w:pStyle w:val="TableContents"/>
              <w:bidi w:val="0"/>
              <w:spacing w:before="0" w:after="283"/>
              <w:jc w:val="left"/>
              <w:rPr/>
            </w:pPr>
            <w:r>
              <w:rPr/>
              <w:drawing>
                <wp:inline distT="0" distB="0" distL="0" distR="0">
                  <wp:extent cx="1000125" cy="190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00125" cy="1905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296" w:type="dxa"/>
            <w:tcBorders/>
          </w:tcPr>
          <w:p>
            <w:pPr>
              <w:pStyle w:val="TableContents"/>
              <w:bidi w:val="0"/>
              <w:spacing w:before="0" w:after="0"/>
              <w:jc w:val="left"/>
              <w:rPr>
                <w:rFonts w:ascii="Times New Roman" w:hAnsi="Times New Roman"/>
                <w:sz w:val="20"/>
              </w:rPr>
            </w:pPr>
            <w:r>
              <w:rPr>
                <w:rFonts w:ascii="Times New Roman" w:hAnsi="Times New Roman"/>
                <w:sz w:val="20"/>
              </w:rPr>
              <w:t>Davis Polk &amp; Wardwell LLP</w:t>
            </w:r>
          </w:p>
          <w:p>
            <w:pPr>
              <w:pStyle w:val="TableContents"/>
              <w:bidi w:val="0"/>
              <w:spacing w:before="0" w:after="0"/>
              <w:jc w:val="left"/>
              <w:rPr>
                <w:rFonts w:ascii="Times New Roman" w:hAnsi="Times New Roman"/>
                <w:sz w:val="20"/>
              </w:rPr>
            </w:pPr>
            <w:r>
              <w:rPr>
                <w:rFonts w:ascii="Times New Roman" w:hAnsi="Times New Roman"/>
                <w:sz w:val="20"/>
              </w:rPr>
              <w:t xml:space="preserve">450 Lexington Avenue </w:t>
              <w:br/>
              <w:t>New York, NY 10017</w:t>
            </w:r>
          </w:p>
          <w:p>
            <w:pPr>
              <w:pStyle w:val="TableContents"/>
              <w:bidi w:val="0"/>
              <w:spacing w:before="0" w:after="20"/>
              <w:jc w:val="left"/>
              <w:rPr>
                <w:rFonts w:ascii="Times New Roman" w:hAnsi="Times New Roman"/>
                <w:sz w:val="20"/>
              </w:rPr>
            </w:pPr>
            <w:r>
              <w:rPr>
                <w:rFonts w:ascii="Times New Roman" w:hAnsi="Times New Roman"/>
                <w:sz w:val="20"/>
              </w:rPr>
              <w:t>davispolk.com</w:t>
            </w:r>
          </w:p>
        </w:tc>
        <w:tc>
          <w:tcPr>
            <w:tcW w:w="214" w:type="dxa"/>
            <w:tcBorders/>
            <w:vAlign w:val="bottom"/>
          </w:tcPr>
          <w:p>
            <w:pPr>
              <w:pStyle w:val="TableContents"/>
              <w:bidi w:val="0"/>
              <w:spacing w:before="0" w:after="283"/>
              <w:jc w:val="left"/>
              <w:rPr/>
            </w:pPr>
            <w:r>
              <w:rPr/>
              <w:t>  </w:t>
            </w:r>
          </w:p>
        </w:tc>
        <w:tc>
          <w:tcPr>
            <w:tcW w:w="5818"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August 26, 2026 </w:t>
      </w:r>
    </w:p>
    <w:p>
      <w:pPr>
        <w:pStyle w:val="TextBody"/>
        <w:bidi w:val="0"/>
        <w:spacing w:before="240" w:after="0"/>
        <w:jc w:val="left"/>
        <w:rPr>
          <w:rFonts w:ascii="Times New Roman" w:hAnsi="Times New Roman"/>
          <w:sz w:val="20"/>
        </w:rPr>
      </w:pPr>
      <w:r>
        <w:rPr>
          <w:rFonts w:ascii="Times New Roman" w:hAnsi="Times New Roman"/>
          <w:sz w:val="20"/>
        </w:rPr>
        <w:t xml:space="preserve">Immatics N.V. </w:t>
      </w:r>
    </w:p>
    <w:p>
      <w:pPr>
        <w:pStyle w:val="TextBody"/>
        <w:bidi w:val="0"/>
        <w:spacing w:before="0" w:after="0"/>
        <w:jc w:val="left"/>
        <w:rPr>
          <w:rFonts w:ascii="Times New Roman" w:hAnsi="Times New Roman"/>
          <w:sz w:val="20"/>
        </w:rPr>
      </w:pPr>
      <w:r>
        <w:rPr>
          <w:rFonts w:ascii="Times New Roman" w:hAnsi="Times New Roman"/>
          <w:sz w:val="20"/>
        </w:rPr>
        <w:t xml:space="preserve">Paul-Ehrlich-Straße 15 </w:t>
      </w:r>
    </w:p>
    <w:p>
      <w:pPr>
        <w:pStyle w:val="TextBody"/>
        <w:bidi w:val="0"/>
        <w:spacing w:before="0" w:after="0"/>
        <w:jc w:val="left"/>
        <w:rPr>
          <w:rFonts w:ascii="Times New Roman" w:hAnsi="Times New Roman"/>
          <w:sz w:val="20"/>
        </w:rPr>
      </w:pPr>
      <w:r>
        <w:rPr>
          <w:rFonts w:ascii="Times New Roman" w:hAnsi="Times New Roman"/>
          <w:sz w:val="20"/>
        </w:rPr>
        <w:t xml:space="preserve">72076 Tübingen </w:t>
      </w:r>
    </w:p>
    <w:p>
      <w:pPr>
        <w:pStyle w:val="TextBody"/>
        <w:bidi w:val="0"/>
        <w:spacing w:before="0" w:after="0"/>
        <w:jc w:val="left"/>
        <w:rPr>
          <w:rFonts w:ascii="Times New Roman" w:hAnsi="Times New Roman"/>
          <w:sz w:val="20"/>
        </w:rPr>
      </w:pPr>
      <w:r>
        <w:rPr>
          <w:rFonts w:ascii="Times New Roman" w:hAnsi="Times New Roman"/>
          <w:sz w:val="20"/>
        </w:rPr>
        <w:t xml:space="preserve">Federal Republic of Germany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Immatics N.V., a public limited liability company (</w:t>
      </w:r>
      <w:r>
        <w:rPr>
          <w:rFonts w:ascii="Times New Roman" w:hAnsi="Times New Roman"/>
          <w:i/>
          <w:sz w:val="20"/>
        </w:rPr>
        <w:t>naamloze vennootschap</w:t>
      </w:r>
      <w:r>
        <w:rPr>
          <w:rFonts w:ascii="Times New Roman" w:hAnsi="Times New Roman"/>
          <w:sz w:val="20"/>
        </w:rPr>
        <w:t>) organized under Dutch law (the “</w:t>
      </w:r>
      <w:r>
        <w:rPr>
          <w:rFonts w:ascii="Times New Roman" w:hAnsi="Times New Roman"/>
          <w:b/>
          <w:sz w:val="20"/>
        </w:rPr>
        <w:t>Company</w:t>
      </w:r>
      <w:r>
        <w:rPr>
          <w:rFonts w:ascii="Times New Roman" w:hAnsi="Times New Roman"/>
          <w:sz w:val="20"/>
        </w:rPr>
        <w:t>”) has filed with the Securities and Exchange Commission a Registration Statement on Form F-3 (File No. 333-286151) (the “</w:t>
      </w:r>
      <w:r>
        <w:rPr>
          <w:rFonts w:ascii="Times New Roman" w:hAnsi="Times New Roman"/>
          <w:b/>
          <w:sz w:val="20"/>
        </w:rPr>
        <w:t>Registration Statement</w:t>
      </w:r>
      <w:r>
        <w:rPr>
          <w:rFonts w:ascii="Times New Roman" w:hAnsi="Times New Roman"/>
          <w:sz w:val="20"/>
        </w:rPr>
        <w:t>”) for the purpose of registering under the Securities Act of 1933, as amended (the “</w:t>
      </w:r>
      <w:r>
        <w:rPr>
          <w:rFonts w:ascii="Times New Roman" w:hAnsi="Times New Roman"/>
          <w:b/>
          <w:sz w:val="20"/>
        </w:rPr>
        <w:t>Securities Act</w:t>
      </w:r>
      <w:r>
        <w:rPr>
          <w:rFonts w:ascii="Times New Roman" w:hAnsi="Times New Roman"/>
          <w:sz w:val="20"/>
        </w:rPr>
        <w:t>”), certain securities pursuant to the Underwriting Agreement dated August 24, 2026, by and among the Company and the underwriters named therein (the “</w:t>
      </w:r>
      <w:r>
        <w:rPr>
          <w:rFonts w:ascii="Times New Roman" w:hAnsi="Times New Roman"/>
          <w:b/>
          <w:sz w:val="20"/>
        </w:rPr>
        <w:t>Underwriting Agreement</w:t>
      </w:r>
      <w:r>
        <w:rPr>
          <w:rFonts w:ascii="Times New Roman" w:hAnsi="Times New Roman"/>
          <w:sz w:val="20"/>
        </w:rPr>
        <w:t>”), including 15,535,100 ordinary shares, nominal value 0.01 per share (the “</w:t>
      </w:r>
      <w:r>
        <w:rPr>
          <w:rFonts w:ascii="Times New Roman" w:hAnsi="Times New Roman"/>
          <w:b/>
          <w:sz w:val="20"/>
        </w:rPr>
        <w:t>Ordinary Shares</w:t>
      </w:r>
      <w:r>
        <w:rPr>
          <w:rFonts w:ascii="Times New Roman" w:hAnsi="Times New Roman"/>
          <w:sz w:val="20"/>
        </w:rPr>
        <w:t>”) of the Company and pre-funded warrants of the Company (the “</w:t>
      </w:r>
      <w:r>
        <w:rPr>
          <w:rFonts w:ascii="Times New Roman" w:hAnsi="Times New Roman"/>
          <w:b/>
          <w:sz w:val="20"/>
        </w:rPr>
        <w:t>Pre-Funded</w:t>
      </w:r>
      <w:r>
        <w:rPr>
          <w:rFonts w:ascii="Times New Roman" w:hAnsi="Times New Roman"/>
          <w:sz w:val="20"/>
        </w:rPr>
        <w:t xml:space="preserve"> </w:t>
      </w:r>
      <w:r>
        <w:rPr>
          <w:rFonts w:ascii="Times New Roman" w:hAnsi="Times New Roman"/>
          <w:b/>
          <w:sz w:val="20"/>
        </w:rPr>
        <w:t>Warrants</w:t>
      </w:r>
      <w:r>
        <w:rPr>
          <w:rFonts w:ascii="Times New Roman" w:hAnsi="Times New Roman"/>
          <w:sz w:val="20"/>
        </w:rPr>
        <w:t xml:space="preserve">”) to purchase 4,315,304 ordinary shares of the Company. The Shares include 2,589,184 ordinary shares of the Company to be purchased pursuant to the option to purchase additional shares provided for by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We, as your counsel, have examined originals or copies of such documents, corporate records, certificates of public officials and other instruments as we have deemed necessary or advisable for the purpose of rendering this opinion.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additional assumptions and qualifications set forth below, we advise you that, in our opinion assuming the Pre-Funded Warrants have been duly authorized, executed and delivered by the Company insofar as Dutch law is concerned and executed and authenticated in accordance with their terms and delivered to and paid for by the underwriters pursuant to that certain Underwriting Agreement, the Pre-Funded Warrants are valid and binding obligations of the Company, enforceable in accordance with their terms, subject to applicable bankruptcy, insolvency and similar laws affecting creditors’ rights generally, concepts of reasonableness and equitable principles of general applicability; </w:t>
      </w:r>
      <w:r>
        <w:rPr>
          <w:rFonts w:ascii="Times New Roman" w:hAnsi="Times New Roman"/>
          <w:i/>
          <w:sz w:val="20"/>
        </w:rPr>
        <w:t>provided</w:t>
      </w:r>
      <w:r>
        <w:rPr>
          <w:rFonts w:ascii="Times New Roman" w:hAnsi="Times New Roman"/>
          <w:sz w:val="20"/>
        </w:rPr>
        <w:t xml:space="preserve"> that we express no opinion as to the validity, legally binding effect or enforceability of any provision in the Pre-Funded Warrants that requires or relates to adjustments to the exercise price at a price or in an amount that a court would determine in the circumstances under applicable law to be commercially unreasonable or a penalty or forfeiture.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the validity of the ordinary shares underlying the Pre-Funded Warrants, you have received, and we understand that you are relying upon, the opinion of NautaDutilh N.V., Dutch counsel for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members of the Bar of the State of New York and the foregoing opinion is limited to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a report on Form 6-K to be filed by the Company on the date hereof and further consent to the reference to our name under the caption “Legal Matters” in the prospectus, which is part of the Registration Statement. In giving this consent, we do not admit that we are in the category of persons whose consent is required under Section 7 of the Securities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Very truly yours,</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/s/ Davis Polk &amp; Wardwell LLP</w:t>
            </w:r>
          </w:p>
        </w:tc>
      </w:tr>
    </w:tbl>
    <w:p>
      <w:pPr>
        <w:pStyle w:val="TextBody"/>
        <w:bidi w:val="0"/>
        <w:spacing w:before="0" w:after="0"/>
        <w:jc w:val="right"/>
        <w:rPr>
          <w:rFonts w:ascii="Times New Roman" w:hAnsi="Times New Roman"/>
          <w:b/>
          <w:sz w:val="20"/>
        </w:rPr>
      </w:pPr>
      <w:bookmarkStart w:id="10" w:name="d153472dex991.htm"/>
      <w:bookmarkStart w:id="11" w:name="ksd153472dex991"/>
      <w:bookmarkEnd w:id="10"/>
      <w:bookmarkEnd w:id="11"/>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847850" cy="6953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847850" cy="6953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PRESS RELEASE </w:t>
      </w:r>
    </w:p>
    <w:p>
      <w:pPr>
        <w:pStyle w:val="TextBody"/>
        <w:bidi w:val="0"/>
        <w:spacing w:before="240" w:after="0"/>
        <w:jc w:val="center"/>
        <w:rPr>
          <w:rFonts w:ascii="Times New Roman" w:hAnsi="Times New Roman"/>
          <w:b/>
          <w:sz w:val="20"/>
        </w:rPr>
      </w:pPr>
      <w:r>
        <w:rPr>
          <w:rFonts w:ascii="Times New Roman" w:hAnsi="Times New Roman"/>
          <w:b/>
          <w:sz w:val="20"/>
        </w:rPr>
        <w:t xml:space="preserve">Immatics Announces $150 Million Underwritten Offering </w:t>
      </w:r>
    </w:p>
    <w:p>
      <w:pPr>
        <w:pStyle w:val="TextBody"/>
        <w:bidi w:val="0"/>
        <w:spacing w:before="240" w:after="0"/>
        <w:jc w:val="left"/>
        <w:rPr>
          <w:rFonts w:ascii="Times New Roman" w:hAnsi="Times New Roman"/>
          <w:sz w:val="20"/>
        </w:rPr>
      </w:pPr>
      <w:r>
        <w:rPr>
          <w:rFonts w:ascii="Times New Roman" w:hAnsi="Times New Roman"/>
          <w:b/>
          <w:sz w:val="20"/>
        </w:rPr>
        <w:t>Houston, Texas and Tuebingen, Germany, August</w:t>
      </w:r>
      <w:r>
        <w:rPr>
          <w:rFonts w:ascii="Times New Roman" w:hAnsi="Times New Roman"/>
          <w:sz w:val="20"/>
        </w:rPr>
        <w:t> </w:t>
      </w:r>
      <w:r>
        <w:rPr>
          <w:rFonts w:ascii="Times New Roman" w:hAnsi="Times New Roman"/>
          <w:b/>
          <w:sz w:val="20"/>
        </w:rPr>
        <w:t xml:space="preserve">25, 2026 </w:t>
      </w:r>
      <w:r>
        <w:rPr>
          <w:rFonts w:ascii="Times New Roman" w:hAnsi="Times New Roman"/>
          <w:sz w:val="20"/>
        </w:rPr>
        <w:t xml:space="preserve">– Immatics N.V. (NASDAQ: IMTX, “Immatics” or the “Company”), the global leader in precision targeting of PRAME with multiple clinical-stage programs spanning cell therapies and bispecifics, announced today that it has agreed to sell 12,945,916 ordinary shares at $8.69 per share and, in lieu of ordinary shares to certain investors, pre-funded warrants to purchase 4,315,304 ordinary shares at a purchase price of $8.689 per pre-funded warrant, which represents the per share offering price less the $0.001 per share exercise price for each pre-funded warrant, in an underwritten offering. The gross proceeds from the offering, before deducting the underwriting discount and offering expenses, are expected to be $150 million. The offering is expected to close on August 26, 2026, subject to customary closing conditions. In addition, Immatics has granted the underwriters a 30-day option to purchase up to 2,589,184 additional shares at the public offering price, less the underwriting discount. </w:t>
      </w:r>
    </w:p>
    <w:p>
      <w:pPr>
        <w:pStyle w:val="TextBody"/>
        <w:bidi w:val="0"/>
        <w:spacing w:before="240" w:after="0"/>
        <w:jc w:val="left"/>
        <w:rPr>
          <w:rFonts w:ascii="Times New Roman" w:hAnsi="Times New Roman"/>
          <w:sz w:val="20"/>
        </w:rPr>
      </w:pPr>
      <w:r>
        <w:rPr>
          <w:rFonts w:ascii="Times New Roman" w:hAnsi="Times New Roman"/>
          <w:sz w:val="20"/>
        </w:rPr>
        <w:t xml:space="preserve">Jefferies, Leerink Partners and Cantor are acting as joint book-running managers for the offering. </w:t>
      </w:r>
    </w:p>
    <w:p>
      <w:pPr>
        <w:pStyle w:val="TextBody"/>
        <w:bidi w:val="0"/>
        <w:spacing w:before="240" w:after="0"/>
        <w:jc w:val="left"/>
        <w:rPr>
          <w:rFonts w:ascii="Times New Roman" w:hAnsi="Times New Roman"/>
          <w:sz w:val="20"/>
        </w:rPr>
      </w:pPr>
      <w:r>
        <w:rPr>
          <w:rFonts w:ascii="Times New Roman" w:hAnsi="Times New Roman"/>
          <w:sz w:val="20"/>
        </w:rPr>
        <w:t xml:space="preserve">A registration statement relating to the securities has been filed with the U.S. Securities and Exchange Commission (the “SEC”) and was declared effective on April 3, 2025. The offering is being made only by means of a prospectus supplement and accompanying prospectus. When available, copies of the prospectus supplement and the accompanying prospectus relating to the offering may be obtained free of charge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Jefferies LLC, Attention: Equity Syndicate Prospectus Department, 520 Madison Avenue, New York, NY 10022, telephone: (877) 821-7388, email: Prospectus_Department@Jefferies.com;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Leerink Partners LLC, Attention: Syndicate Department, 53 State Street, 40th Floor, Boston, MA 02109, telephone: (800) 808-7525, ext. 6105, email: syndicate@leerink.com;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Cantor Fitzgerald &amp; Co., Attention: Capital Markets, 110 East 59th Street, 6th Floor, New York, NY 10022, email: prospectus@cantor.com.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 Any offers, solicitations or offers to buy, or any sales of securities will be made in accordance with the registration requirements of the Securities Act of 1933, as amended.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53"/>
        <w:gridCol w:w="123"/>
        <w:gridCol w:w="3177"/>
        <w:gridCol w:w="123"/>
        <w:gridCol w:w="3129"/>
      </w:tblGrid>
      <w:tr>
        <w:trPr/>
        <w:tc>
          <w:tcPr>
            <w:tcW w:w="365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7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3653" w:type="dxa"/>
            <w:tcBorders/>
          </w:tcPr>
          <w:p>
            <w:pPr>
              <w:pStyle w:val="TableContents"/>
              <w:bidi w:val="0"/>
              <w:spacing w:before="0" w:after="283"/>
              <w:jc w:val="left"/>
              <w:rPr/>
            </w:pPr>
            <w:r>
              <w:rPr/>
              <w:t>Immatics Press Release August 25, 2026</w:t>
            </w:r>
          </w:p>
        </w:tc>
        <w:tc>
          <w:tcPr>
            <w:tcW w:w="123" w:type="dxa"/>
            <w:tcBorders/>
            <w:vAlign w:val="bottom"/>
          </w:tcPr>
          <w:p>
            <w:pPr>
              <w:pStyle w:val="TableContents"/>
              <w:bidi w:val="0"/>
              <w:spacing w:before="0" w:after="283"/>
              <w:jc w:val="left"/>
              <w:rPr/>
            </w:pPr>
            <w:r>
              <w:rPr/>
              <w:t>  </w:t>
            </w:r>
          </w:p>
        </w:tc>
        <w:tc>
          <w:tcPr>
            <w:tcW w:w="317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right"/>
              <w:rPr/>
            </w:pPr>
            <w:r>
              <w:rPr/>
              <w:t>1 | 2</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847850" cy="6953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847850" cy="6953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Immatics </w:t>
      </w:r>
    </w:p>
    <w:p>
      <w:pPr>
        <w:pStyle w:val="TextBody"/>
        <w:bidi w:val="0"/>
        <w:spacing w:before="120" w:after="0"/>
        <w:jc w:val="left"/>
        <w:rPr>
          <w:rFonts w:ascii="Times New Roman" w:hAnsi="Times New Roman"/>
          <w:sz w:val="20"/>
        </w:rPr>
      </w:pPr>
      <w:r>
        <w:rPr>
          <w:rFonts w:ascii="Times New Roman" w:hAnsi="Times New Roman"/>
          <w:sz w:val="20"/>
        </w:rPr>
        <w:t xml:space="preserve">Immatics is committed to making a meaningful impact on the lives of patients with cancer. We are the global leader in precision targeting of PRAME, a target expressed in more than 50 cancers. Our cutting-edge science and robust clinical pipeline form the broadest PRAME franchise with the most PRAME indications and modalities, spanning TCR T-cell therapies and TCR bispecifics.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press release may be considered forward-looking statements, including statements regarding the securities offering.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Immatics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various factors beyond management’s control including general economic conditions and other risks, uncertainties and factors set forth in the Company’s Annual Report on Form 20-F and other filings with the SEC.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The Company undertakes no duty to update these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For more information, please contact: </w:t>
      </w:r>
    </w:p>
    <w:p>
      <w:pPr>
        <w:pStyle w:val="TextBody"/>
        <w:bidi w:val="0"/>
        <w:spacing w:before="120" w:after="0"/>
        <w:jc w:val="left"/>
        <w:rPr>
          <w:rFonts w:ascii="Times New Roman" w:hAnsi="Times New Roman"/>
          <w:b/>
          <w:sz w:val="20"/>
        </w:rPr>
      </w:pPr>
      <w:r>
        <w:rPr>
          <w:rFonts w:ascii="Times New Roman" w:hAnsi="Times New Roman"/>
          <w:b/>
          <w:sz w:val="20"/>
        </w:rPr>
        <w:t xml:space="preserve">Media </w:t>
      </w:r>
    </w:p>
    <w:p>
      <w:pPr>
        <w:pStyle w:val="TextBody"/>
        <w:bidi w:val="0"/>
        <w:spacing w:before="120" w:after="0"/>
        <w:jc w:val="left"/>
        <w:rPr>
          <w:rFonts w:ascii="Times New Roman" w:hAnsi="Times New Roman"/>
          <w:sz w:val="20"/>
        </w:rPr>
      </w:pPr>
      <w:r>
        <w:rPr>
          <w:rFonts w:ascii="Times New Roman" w:hAnsi="Times New Roman"/>
          <w:sz w:val="20"/>
        </w:rPr>
        <w:t xml:space="preserve">Trophic Communications </w:t>
      </w:r>
    </w:p>
    <w:p>
      <w:pPr>
        <w:pStyle w:val="TextBody"/>
        <w:bidi w:val="0"/>
        <w:spacing w:before="0" w:after="0"/>
        <w:jc w:val="left"/>
        <w:rPr>
          <w:rFonts w:ascii="Times New Roman" w:hAnsi="Times New Roman"/>
          <w:sz w:val="20"/>
        </w:rPr>
      </w:pPr>
      <w:r>
        <w:rPr>
          <w:rFonts w:ascii="Times New Roman" w:hAnsi="Times New Roman"/>
          <w:sz w:val="20"/>
        </w:rPr>
        <w:t xml:space="preserve">Phone: +49 151 74416179 </w:t>
      </w:r>
    </w:p>
    <w:p>
      <w:pPr>
        <w:pStyle w:val="TextBody"/>
        <w:bidi w:val="0"/>
        <w:spacing w:before="0" w:after="0"/>
        <w:jc w:val="left"/>
        <w:rPr>
          <w:rFonts w:ascii="Times New Roman" w:hAnsi="Times New Roman"/>
          <w:sz w:val="20"/>
        </w:rPr>
      </w:pPr>
      <w:r>
        <w:rPr>
          <w:rFonts w:ascii="Times New Roman" w:hAnsi="Times New Roman"/>
          <w:sz w:val="20"/>
          <w:u w:val="single"/>
        </w:rPr>
        <w:t>immatics@trophic.eu</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Immatics N.V. </w:t>
      </w:r>
    </w:p>
    <w:p>
      <w:pPr>
        <w:pStyle w:val="TextBody"/>
        <w:bidi w:val="0"/>
        <w:spacing w:before="120" w:after="0"/>
        <w:jc w:val="left"/>
        <w:rPr>
          <w:rFonts w:ascii="Times New Roman" w:hAnsi="Times New Roman"/>
          <w:sz w:val="20"/>
        </w:rPr>
      </w:pPr>
      <w:r>
        <w:rPr>
          <w:rFonts w:ascii="Times New Roman" w:hAnsi="Times New Roman"/>
          <w:sz w:val="20"/>
        </w:rPr>
        <w:t xml:space="preserve">Jordan Silverstein </w:t>
      </w:r>
    </w:p>
    <w:p>
      <w:pPr>
        <w:pStyle w:val="TextBody"/>
        <w:bidi w:val="0"/>
        <w:spacing w:before="0" w:after="0"/>
        <w:jc w:val="left"/>
        <w:rPr>
          <w:rFonts w:ascii="Times New Roman" w:hAnsi="Times New Roman"/>
          <w:sz w:val="20"/>
        </w:rPr>
      </w:pPr>
      <w:r>
        <w:rPr>
          <w:rFonts w:ascii="Times New Roman" w:hAnsi="Times New Roman"/>
          <w:sz w:val="20"/>
        </w:rPr>
        <w:t xml:space="preserve">Head of Strategy </w:t>
      </w:r>
    </w:p>
    <w:p>
      <w:pPr>
        <w:pStyle w:val="TextBody"/>
        <w:bidi w:val="0"/>
        <w:spacing w:before="0" w:after="0"/>
        <w:jc w:val="left"/>
        <w:rPr>
          <w:rFonts w:ascii="Times New Roman" w:hAnsi="Times New Roman"/>
          <w:sz w:val="20"/>
        </w:rPr>
      </w:pPr>
      <w:r>
        <w:rPr>
          <w:rFonts w:ascii="Times New Roman" w:hAnsi="Times New Roman"/>
          <w:sz w:val="20"/>
        </w:rPr>
        <w:t xml:space="preserve">Phone: +1 346 319-3325 </w:t>
      </w:r>
    </w:p>
    <w:p>
      <w:pPr>
        <w:pStyle w:val="TextBody"/>
        <w:bidi w:val="0"/>
        <w:spacing w:before="0" w:after="0"/>
        <w:jc w:val="left"/>
        <w:rPr>
          <w:rFonts w:ascii="Times New Roman" w:hAnsi="Times New Roman"/>
          <w:sz w:val="20"/>
        </w:rPr>
      </w:pPr>
      <w:r>
        <w:rPr>
          <w:rFonts w:ascii="Times New Roman" w:hAnsi="Times New Roman"/>
          <w:sz w:val="20"/>
          <w:u w:val="single"/>
        </w:rPr>
        <w:t>InvestorRelations@immatics.com</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53"/>
        <w:gridCol w:w="123"/>
        <w:gridCol w:w="3177"/>
        <w:gridCol w:w="123"/>
        <w:gridCol w:w="3129"/>
      </w:tblGrid>
      <w:tr>
        <w:trPr/>
        <w:tc>
          <w:tcPr>
            <w:tcW w:w="365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7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3653" w:type="dxa"/>
            <w:tcBorders/>
          </w:tcPr>
          <w:p>
            <w:pPr>
              <w:pStyle w:val="TableContents"/>
              <w:bidi w:val="0"/>
              <w:spacing w:before="0" w:after="283"/>
              <w:jc w:val="left"/>
              <w:rPr/>
            </w:pPr>
            <w:r>
              <w:rPr/>
              <w:t>Immatics Press Release August 25, 2026</w:t>
            </w:r>
          </w:p>
        </w:tc>
        <w:tc>
          <w:tcPr>
            <w:tcW w:w="123" w:type="dxa"/>
            <w:tcBorders/>
            <w:vAlign w:val="bottom"/>
          </w:tcPr>
          <w:p>
            <w:pPr>
              <w:pStyle w:val="TableContents"/>
              <w:bidi w:val="0"/>
              <w:spacing w:before="0" w:after="283"/>
              <w:jc w:val="left"/>
              <w:rPr/>
            </w:pPr>
            <w:r>
              <w:rPr/>
              <w:t>  </w:t>
            </w:r>
          </w:p>
        </w:tc>
        <w:tc>
          <w:tcPr>
            <w:tcW w:w="317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right"/>
              <w:rPr/>
            </w:pPr>
            <w:r>
              <w:rPr/>
              <w:t>2 | 2</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73</Pages>
  <Words>35949</Words>
  <Characters>190857</Characters>
  <CharactersWithSpaces>227043</CharactersWithSpaces>
  <Paragraphs>1185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