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85"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PERCEPTIVE ADVISORS</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3"/>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680" w:type="dxa"/>
            <w:vAlign w:val="bottom"/>
            <w:tcBorders>
              <w:top w:val="single" w:sz="8" w:color="0000EE"/>
            </w:tcBorders>
            <w:gridSpan w:val="2"/>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LLC</w:t>
              </w:r>
            </w:hyperlink>
          </w:p>
        </w:tc>
        <w:tc>
          <w:tcPr>
            <w:tcW w:w="34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Immatics N.V.</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IMTX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0"/>
          <w:szCs w:val="20"/>
          <w:color w:val="auto"/>
        </w:rPr>
      </w:pPr>
    </w:p>
    <w:p>
      <w:pPr>
        <w:sectPr>
          <w:pgSz w:w="11900" w:h="16885" w:orient="portrait"/>
          <w:cols w:equalWidth="0" w:num="2">
            <w:col w:w="4720" w:space="280"/>
            <w:col w:w="5940"/>
          </w:cols>
          <w:pgMar w:left="480" w:top="230" w:right="479" w:bottom="0" w:gutter="0" w:footer="0" w:header="0"/>
          <w:type w:val="continuous"/>
        </w:sectPr>
      </w:pPr>
    </w:p>
    <w:p>
      <w:pPr>
        <w:spacing w:after="0" w:line="315"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51 ASTOR PLACE, 10TH FLOOR</w:t>
            </w: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10003</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2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38" w:lineRule="exact"/>
        <w:rPr>
          <w:sz w:val="20"/>
          <w:szCs w:val="20"/>
          <w:color w:val="auto"/>
        </w:rPr>
      </w:pPr>
    </w:p>
    <w:p>
      <w:pPr>
        <w:sectPr>
          <w:pgSz w:w="11900" w:h="16885" w:orient="portrait"/>
          <w:cols w:equalWidth="0" w:num="3">
            <w:col w:w="4277" w:space="720"/>
            <w:col w:w="3003" w:space="269"/>
            <w:col w:w="2671"/>
          </w:cols>
          <w:pgMar w:left="480" w:top="230" w:right="479" w:bottom="0"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4900" w:type="dxa"/>
            <w:vAlign w:val="bottom"/>
            <w:tcBorders>
              <w:bottom w:val="single" w:sz="8" w:color="2C2C2C"/>
            </w:tcBorders>
            <w:gridSpan w:val="10"/>
          </w:tcPr>
          <w:p>
            <w:pPr>
              <w:ind w:left="80"/>
              <w:spacing w:after="0"/>
              <w:rPr>
                <w:sz w:val="20"/>
                <w:szCs w:val="20"/>
                <w:color w:val="auto"/>
              </w:rPr>
            </w:pPr>
            <w:r>
              <w:rPr>
                <w:rFonts w:ascii="Times New Roman" w:cs="Times New Roman" w:eastAsia="Times New Roman" w:hAnsi="Times New Roman"/>
                <w:sz w:val="20"/>
                <w:szCs w:val="20"/>
                <w:color w:val="0000FF"/>
              </w:rPr>
              <w:t>Ordinary Shares, nominal value EUR 0.01 per share</w:t>
            </w:r>
          </w:p>
        </w:tc>
        <w:tc>
          <w:tcPr>
            <w:tcW w:w="174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20"/>
                <w:szCs w:val="20"/>
                <w:color w:val="0000FF"/>
                <w:w w:val="97"/>
              </w:rPr>
              <w:t>10,383,456</w:t>
            </w: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89"/>
              </w:rPr>
              <w:t>I</w:t>
            </w:r>
          </w:p>
        </w:tc>
        <w:tc>
          <w:tcPr>
            <w:tcW w:w="194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20"/>
                <w:szCs w:val="20"/>
                <w:color w:val="0000FF"/>
                <w:w w:val="90"/>
              </w:rPr>
              <w:t>See Footnote</w:t>
            </w:r>
            <w:r>
              <w:rPr>
                <w:rFonts w:ascii="Times New Roman" w:cs="Times New Roman" w:eastAsia="Times New Roman" w:hAnsi="Times New Roman"/>
                <w:sz w:val="25"/>
                <w:szCs w:val="25"/>
                <w:color w:val="008000"/>
                <w:w w:val="90"/>
                <w:vertAlign w:val="superscript"/>
              </w:rPr>
              <w:t>(1)(6)</w:t>
            </w: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10"/>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100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5700" w:type="dxa"/>
            <w:vAlign w:val="bottom"/>
            <w:gridSpan w:val="11"/>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10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5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4"/>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80" w:type="dxa"/>
            <w:vAlign w:val="bottom"/>
            <w:gridSpan w:val="5"/>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8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8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8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gridSpan w:val="3"/>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40" w:type="dxa"/>
            <w:vAlign w:val="bottom"/>
          </w:tcPr>
          <w:p>
            <w:pPr>
              <w:spacing w:after="0"/>
              <w:rPr>
                <w:sz w:val="14"/>
                <w:szCs w:val="14"/>
                <w:color w:val="auto"/>
              </w:rPr>
            </w:pPr>
          </w:p>
        </w:tc>
        <w:tc>
          <w:tcPr>
            <w:tcW w:w="78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78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0000FF"/>
              </w:rPr>
              <w:t>Director Stock Option (Right to</w:t>
            </w:r>
          </w:p>
        </w:tc>
        <w:tc>
          <w:tcPr>
            <w:tcW w:w="1260" w:type="dxa"/>
            <w:vAlign w:val="bottom"/>
            <w:gridSpan w:val="3"/>
            <w:vMerge w:val="restart"/>
          </w:tcPr>
          <w:p>
            <w:pPr>
              <w:jc w:val="center"/>
              <w:ind w:left="184"/>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06/30/2030</w:t>
            </w:r>
          </w:p>
        </w:tc>
        <w:tc>
          <w:tcPr>
            <w:tcW w:w="1740" w:type="dxa"/>
            <w:vAlign w:val="bottom"/>
            <w:vMerge w:val="restart"/>
          </w:tcPr>
          <w:p>
            <w:pPr>
              <w:jc w:val="center"/>
              <w:ind w:left="11"/>
              <w:spacing w:after="0"/>
              <w:rPr>
                <w:sz w:val="20"/>
                <w:szCs w:val="20"/>
                <w:color w:val="auto"/>
              </w:rPr>
            </w:pPr>
            <w:r>
              <w:rPr>
                <w:rFonts w:ascii="Times New Roman" w:cs="Times New Roman" w:eastAsia="Times New Roman" w:hAnsi="Times New Roman"/>
                <w:sz w:val="20"/>
                <w:szCs w:val="20"/>
                <w:color w:val="0000FF"/>
                <w:w w:val="98"/>
              </w:rPr>
              <w:t>Ordinary Shares</w:t>
            </w: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25,000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9"/>
              </w:rPr>
              <w:t>10</w:t>
            </w: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440" w:type="dxa"/>
            <w:vAlign w:val="bottom"/>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40" w:type="dxa"/>
            <w:vAlign w:val="bottom"/>
            <w:tcBorders>
              <w:bottom w:val="single" w:sz="8" w:color="2C2C2C"/>
            </w:tcBorders>
            <w:gridSpan w:val="2"/>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0000FF"/>
              </w:rPr>
              <w:t>Director Stock Option (Right to</w:t>
            </w:r>
          </w:p>
        </w:tc>
        <w:tc>
          <w:tcPr>
            <w:tcW w:w="1260" w:type="dxa"/>
            <w:vAlign w:val="bottom"/>
            <w:gridSpan w:val="3"/>
            <w:vMerge w:val="restart"/>
          </w:tcPr>
          <w:p>
            <w:pPr>
              <w:jc w:val="center"/>
              <w:ind w:left="184"/>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12/08/2031</w:t>
            </w:r>
          </w:p>
        </w:tc>
        <w:tc>
          <w:tcPr>
            <w:tcW w:w="1740" w:type="dxa"/>
            <w:vAlign w:val="bottom"/>
            <w:vMerge w:val="restart"/>
          </w:tcPr>
          <w:p>
            <w:pPr>
              <w:jc w:val="center"/>
              <w:ind w:left="11"/>
              <w:spacing w:after="0"/>
              <w:rPr>
                <w:sz w:val="20"/>
                <w:szCs w:val="20"/>
                <w:color w:val="auto"/>
              </w:rPr>
            </w:pPr>
            <w:r>
              <w:rPr>
                <w:rFonts w:ascii="Times New Roman" w:cs="Times New Roman" w:eastAsia="Times New Roman" w:hAnsi="Times New Roman"/>
                <w:sz w:val="20"/>
                <w:szCs w:val="20"/>
                <w:color w:val="0000FF"/>
                <w:w w:val="98"/>
              </w:rPr>
              <w:t>Ordinary Shares</w:t>
            </w: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15,000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9"/>
              </w:rPr>
              <w:t>11</w:t>
            </w: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440" w:type="dxa"/>
            <w:vAlign w:val="bottom"/>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40" w:type="dxa"/>
            <w:vAlign w:val="bottom"/>
            <w:tcBorders>
              <w:bottom w:val="single" w:sz="8" w:color="2C2C2C"/>
            </w:tcBorders>
            <w:gridSpan w:val="2"/>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0000FF"/>
              </w:rPr>
              <w:t>Director Stock Option (Right to</w:t>
            </w:r>
          </w:p>
        </w:tc>
        <w:tc>
          <w:tcPr>
            <w:tcW w:w="1260" w:type="dxa"/>
            <w:vAlign w:val="bottom"/>
            <w:gridSpan w:val="3"/>
            <w:vMerge w:val="restart"/>
          </w:tcPr>
          <w:p>
            <w:pPr>
              <w:jc w:val="center"/>
              <w:ind w:left="184"/>
              <w:spacing w:after="0"/>
              <w:rPr>
                <w:sz w:val="20"/>
                <w:szCs w:val="20"/>
                <w:color w:val="auto"/>
              </w:rPr>
            </w:pPr>
            <w:r>
              <w:rPr>
                <w:rFonts w:ascii="Times New Roman" w:cs="Times New Roman" w:eastAsia="Times New Roman" w:hAnsi="Times New Roman"/>
                <w:sz w:val="15"/>
                <w:szCs w:val="15"/>
                <w:color w:val="0000FF"/>
                <w:w w:val="99"/>
              </w:rPr>
              <w:t>06/14/2023</w:t>
            </w: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06/13/2032</w:t>
            </w:r>
          </w:p>
        </w:tc>
        <w:tc>
          <w:tcPr>
            <w:tcW w:w="1740" w:type="dxa"/>
            <w:vAlign w:val="bottom"/>
            <w:vMerge w:val="restart"/>
          </w:tcPr>
          <w:p>
            <w:pPr>
              <w:jc w:val="center"/>
              <w:ind w:left="11"/>
              <w:spacing w:after="0"/>
              <w:rPr>
                <w:sz w:val="20"/>
                <w:szCs w:val="20"/>
                <w:color w:val="auto"/>
              </w:rPr>
            </w:pPr>
            <w:r>
              <w:rPr>
                <w:rFonts w:ascii="Times New Roman" w:cs="Times New Roman" w:eastAsia="Times New Roman" w:hAnsi="Times New Roman"/>
                <w:sz w:val="20"/>
                <w:szCs w:val="20"/>
                <w:color w:val="0000FF"/>
                <w:w w:val="98"/>
              </w:rPr>
              <w:t>Ordinary Shares</w:t>
            </w: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25,000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7.94</w:t>
            </w: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440" w:type="dxa"/>
            <w:vAlign w:val="bottom"/>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40" w:type="dxa"/>
            <w:vAlign w:val="bottom"/>
            <w:tcBorders>
              <w:bottom w:val="single" w:sz="8" w:color="2C2C2C"/>
            </w:tcBorders>
            <w:gridSpan w:val="2"/>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0000FF"/>
              </w:rPr>
              <w:t>Director Stock Option (Right to</w:t>
            </w:r>
          </w:p>
        </w:tc>
        <w:tc>
          <w:tcPr>
            <w:tcW w:w="1260" w:type="dxa"/>
            <w:vAlign w:val="bottom"/>
            <w:gridSpan w:val="3"/>
            <w:vMerge w:val="restart"/>
          </w:tcPr>
          <w:p>
            <w:pPr>
              <w:jc w:val="center"/>
              <w:ind w:left="184"/>
              <w:spacing w:after="0"/>
              <w:rPr>
                <w:sz w:val="20"/>
                <w:szCs w:val="20"/>
                <w:color w:val="auto"/>
              </w:rPr>
            </w:pPr>
            <w:r>
              <w:rPr>
                <w:rFonts w:ascii="Times New Roman" w:cs="Times New Roman" w:eastAsia="Times New Roman" w:hAnsi="Times New Roman"/>
                <w:sz w:val="15"/>
                <w:szCs w:val="15"/>
                <w:color w:val="0000FF"/>
                <w:w w:val="99"/>
              </w:rPr>
              <w:t>06/27/2024</w:t>
            </w: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06/26/2033</w:t>
            </w:r>
          </w:p>
        </w:tc>
        <w:tc>
          <w:tcPr>
            <w:tcW w:w="1740" w:type="dxa"/>
            <w:vAlign w:val="bottom"/>
            <w:vMerge w:val="restart"/>
          </w:tcPr>
          <w:p>
            <w:pPr>
              <w:jc w:val="center"/>
              <w:ind w:left="11"/>
              <w:spacing w:after="0"/>
              <w:rPr>
                <w:sz w:val="20"/>
                <w:szCs w:val="20"/>
                <w:color w:val="auto"/>
              </w:rPr>
            </w:pPr>
            <w:r>
              <w:rPr>
                <w:rFonts w:ascii="Times New Roman" w:cs="Times New Roman" w:eastAsia="Times New Roman" w:hAnsi="Times New Roman"/>
                <w:sz w:val="20"/>
                <w:szCs w:val="20"/>
                <w:color w:val="0000FF"/>
                <w:w w:val="98"/>
              </w:rPr>
              <w:t>Ordinary Shares</w:t>
            </w: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25,000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11.41</w:t>
            </w: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440" w:type="dxa"/>
            <w:vAlign w:val="bottom"/>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40" w:type="dxa"/>
            <w:vAlign w:val="bottom"/>
            <w:tcBorders>
              <w:bottom w:val="single" w:sz="8" w:color="2C2C2C"/>
            </w:tcBorders>
            <w:gridSpan w:val="2"/>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0000FF"/>
              </w:rPr>
              <w:t>Director Stock Option (Right to</w:t>
            </w:r>
          </w:p>
        </w:tc>
        <w:tc>
          <w:tcPr>
            <w:tcW w:w="1260" w:type="dxa"/>
            <w:vAlign w:val="bottom"/>
            <w:gridSpan w:val="3"/>
            <w:vMerge w:val="restart"/>
          </w:tcPr>
          <w:p>
            <w:pPr>
              <w:jc w:val="center"/>
              <w:ind w:left="184"/>
              <w:spacing w:after="0"/>
              <w:rPr>
                <w:sz w:val="20"/>
                <w:szCs w:val="20"/>
                <w:color w:val="auto"/>
              </w:rPr>
            </w:pPr>
            <w:r>
              <w:rPr>
                <w:rFonts w:ascii="Times New Roman" w:cs="Times New Roman" w:eastAsia="Times New Roman" w:hAnsi="Times New Roman"/>
                <w:sz w:val="15"/>
                <w:szCs w:val="15"/>
                <w:color w:val="0000FF"/>
                <w:w w:val="99"/>
              </w:rPr>
              <w:t>06/25/2025</w:t>
            </w: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06/24/2034</w:t>
            </w:r>
          </w:p>
        </w:tc>
        <w:tc>
          <w:tcPr>
            <w:tcW w:w="1740" w:type="dxa"/>
            <w:vAlign w:val="bottom"/>
            <w:vMerge w:val="restart"/>
          </w:tcPr>
          <w:p>
            <w:pPr>
              <w:jc w:val="center"/>
              <w:ind w:left="11"/>
              <w:spacing w:after="0"/>
              <w:rPr>
                <w:sz w:val="20"/>
                <w:szCs w:val="20"/>
                <w:color w:val="auto"/>
              </w:rPr>
            </w:pPr>
            <w:r>
              <w:rPr>
                <w:rFonts w:ascii="Times New Roman" w:cs="Times New Roman" w:eastAsia="Times New Roman" w:hAnsi="Times New Roman"/>
                <w:sz w:val="20"/>
                <w:szCs w:val="20"/>
                <w:color w:val="0000FF"/>
                <w:w w:val="98"/>
              </w:rPr>
              <w:t>Ordinary Shares</w:t>
            </w: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40,000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9"/>
              </w:rPr>
              <w:t>12</w:t>
            </w: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440" w:type="dxa"/>
            <w:vAlign w:val="bottom"/>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40" w:type="dxa"/>
            <w:vAlign w:val="bottom"/>
            <w:tcBorders>
              <w:bottom w:val="single" w:sz="8" w:color="2C2C2C"/>
            </w:tcBorders>
            <w:gridSpan w:val="2"/>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0000FF"/>
              </w:rPr>
              <w:t>Director Stock Option (Right to</w:t>
            </w:r>
          </w:p>
        </w:tc>
        <w:tc>
          <w:tcPr>
            <w:tcW w:w="1260" w:type="dxa"/>
            <w:vAlign w:val="bottom"/>
            <w:gridSpan w:val="3"/>
            <w:vMerge w:val="restart"/>
          </w:tcPr>
          <w:p>
            <w:pPr>
              <w:jc w:val="center"/>
              <w:ind w:left="184"/>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06/23/2035</w:t>
            </w:r>
          </w:p>
        </w:tc>
        <w:tc>
          <w:tcPr>
            <w:tcW w:w="1740" w:type="dxa"/>
            <w:vAlign w:val="bottom"/>
            <w:vMerge w:val="restart"/>
          </w:tcPr>
          <w:p>
            <w:pPr>
              <w:jc w:val="center"/>
              <w:ind w:left="11"/>
              <w:spacing w:after="0"/>
              <w:rPr>
                <w:sz w:val="20"/>
                <w:szCs w:val="20"/>
                <w:color w:val="auto"/>
              </w:rPr>
            </w:pPr>
            <w:r>
              <w:rPr>
                <w:rFonts w:ascii="Times New Roman" w:cs="Times New Roman" w:eastAsia="Times New Roman" w:hAnsi="Times New Roman"/>
                <w:sz w:val="20"/>
                <w:szCs w:val="20"/>
                <w:color w:val="0000FF"/>
                <w:w w:val="98"/>
              </w:rPr>
              <w:t>Ordinary Shares</w:t>
            </w: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41,500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5.44</w:t>
            </w: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440" w:type="dxa"/>
            <w:vAlign w:val="bottom"/>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900" w:type="dxa"/>
            <w:vAlign w:val="bottom"/>
            <w:tcBorders>
              <w:bottom w:val="single" w:sz="8" w:color="2C2C2C"/>
            </w:tcBorders>
            <w:gridSpan w:val="3"/>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17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020" w:type="dxa"/>
            <w:vAlign w:val="bottom"/>
            <w:tcBorders>
              <w:top w:val="single" w:sz="8" w:color="2C2C2C"/>
            </w:tcBorders>
            <w:gridSpan w:val="7"/>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0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5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00" w:type="dxa"/>
            <w:vAlign w:val="bottom"/>
            <w:gridSpan w:val="5"/>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PERCEPTIVE ADVISORS LLC</w:t>
              </w:r>
            </w:hyperlink>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440" w:type="dxa"/>
            <w:vAlign w:val="bottom"/>
            <w:tcBorders>
              <w:top w:val="single" w:sz="8" w:color="0000EE"/>
              <w:bottom w:val="single" w:sz="8" w:color="9A9A9A"/>
            </w:tcBorders>
          </w:tcPr>
          <w:p>
            <w:pPr>
              <w:spacing w:after="0"/>
              <w:rPr>
                <w:sz w:val="17"/>
                <w:szCs w:val="17"/>
                <w:color w:val="auto"/>
              </w:rPr>
            </w:pPr>
          </w:p>
        </w:tc>
        <w:tc>
          <w:tcPr>
            <w:tcW w:w="260" w:type="dxa"/>
            <w:vAlign w:val="bottom"/>
            <w:tcBorders>
              <w:top w:val="single" w:sz="8" w:color="0000EE"/>
              <w:bottom w:val="single" w:sz="8" w:color="9A9A9A"/>
            </w:tcBorders>
          </w:tcPr>
          <w:p>
            <w:pPr>
              <w:spacing w:after="0"/>
              <w:rPr>
                <w:sz w:val="17"/>
                <w:szCs w:val="17"/>
                <w:color w:val="auto"/>
              </w:rPr>
            </w:pPr>
          </w:p>
        </w:tc>
        <w:tc>
          <w:tcPr>
            <w:tcW w:w="300" w:type="dxa"/>
            <w:vAlign w:val="bottom"/>
            <w:tcBorders>
              <w:top w:val="single" w:sz="8" w:color="0000EE"/>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440" w:type="dxa"/>
            <w:vAlign w:val="bottom"/>
          </w:tcPr>
          <w:p>
            <w:pPr>
              <w:ind w:left="180"/>
              <w:spacing w:after="0"/>
              <w:rPr>
                <w:sz w:val="20"/>
                <w:szCs w:val="20"/>
                <w:color w:val="auto"/>
              </w:rPr>
            </w:pPr>
            <w:r>
              <w:rPr>
                <w:rFonts w:ascii="Arial" w:cs="Arial" w:eastAsia="Arial" w:hAnsi="Arial"/>
                <w:sz w:val="15"/>
                <w:szCs w:val="15"/>
                <w:color w:val="auto"/>
              </w:rPr>
              <w:t>(First)</w:t>
            </w:r>
          </w:p>
        </w:tc>
        <w:tc>
          <w:tcPr>
            <w:tcW w:w="126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51 ASTOR PLACE, 10TH FLOOR</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144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700" w:type="dxa"/>
            <w:vAlign w:val="bottom"/>
            <w:tcBorders>
              <w:bottom w:val="single" w:sz="8" w:color="9A9A9A"/>
            </w:tcBorders>
          </w:tcPr>
          <w:p>
            <w:pPr>
              <w:spacing w:after="0"/>
              <w:rPr>
                <w:sz w:val="20"/>
                <w:szCs w:val="20"/>
                <w:color w:val="auto"/>
              </w:rPr>
            </w:pPr>
          </w:p>
        </w:tc>
        <w:tc>
          <w:tcPr>
            <w:tcW w:w="20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44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0000FF"/>
              </w:rPr>
              <w:t>10003</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85" w:orient="portrait"/>
          <w:cols w:equalWidth="0" w:num="1">
            <w:col w:w="10940"/>
          </w:cols>
          <w:pgMar w:left="480" w:top="230" w:right="479" w:bottom="0" w:gutter="0" w:footer="0" w:header="0"/>
          <w:type w:val="continuous"/>
        </w:sectPr>
      </w:pPr>
    </w:p>
    <w:p>
      <w:pPr>
        <w:spacing w:after="0" w:line="147"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ectPr>
          <w:pgSz w:w="11900" w:h="16885" w:orient="portrait"/>
          <w:cols w:equalWidth="0" w:num="1">
            <w:col w:w="10940"/>
          </w:cols>
          <w:pgMar w:left="480" w:top="230" w:right="47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3977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798445" cy="3977005"/>
                    </a:xfrm>
                    <a:prstGeom prst="rect">
                      <a:avLst/>
                    </a:prstGeom>
                    <a:noFill/>
                  </pic:spPr>
                </pic:pic>
              </a:graphicData>
            </a:graphic>
          </wp:anchor>
        </w:drawing>
        <w:t>1. Name and Address of Reporting Person</w:t>
      </w:r>
      <w:r>
        <w:rPr>
          <w:rFonts w:ascii="Arial" w:cs="Arial" w:eastAsia="Arial" w:hAnsi="Arial"/>
          <w:sz w:val="25"/>
          <w:szCs w:val="25"/>
          <w:color w:val="auto"/>
          <w:vertAlign w:val="superscript"/>
        </w:rPr>
        <w:t>*</w:t>
      </w:r>
    </w:p>
    <w:p>
      <w:pPr>
        <w:ind w:left="100"/>
        <w:spacing w:after="0"/>
        <w:rPr>
          <w:rFonts w:ascii="Times New Roman" w:cs="Times New Roman" w:eastAsia="Times New Roman" w:hAnsi="Times New Roman"/>
          <w:sz w:val="24"/>
          <w:szCs w:val="24"/>
          <w:u w:val="single" w:color="auto"/>
          <w:color w:val="0000EE"/>
        </w:rPr>
      </w:pPr>
      <w:hyperlink r:id="rId13">
        <w:r>
          <w:rPr>
            <w:rFonts w:ascii="Times New Roman" w:cs="Times New Roman" w:eastAsia="Times New Roman" w:hAnsi="Times New Roman"/>
            <w:sz w:val="24"/>
            <w:szCs w:val="24"/>
            <w:u w:val="single" w:color="auto"/>
            <w:color w:val="0000EE"/>
          </w:rPr>
          <w:t>EDELMAN JOSEPH</w:t>
        </w:r>
      </w:hyperlink>
    </w:p>
    <w:p>
      <w:pPr>
        <w:spacing w:after="0" w:line="343"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100" w:type="dxa"/>
            <w:vAlign w:val="bottom"/>
          </w:tcPr>
          <w:p>
            <w:pPr>
              <w:ind w:left="18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51 ASTOR PLACE, 10TH FLOOR</w:t>
            </w:r>
          </w:p>
        </w:tc>
      </w:tr>
      <w:tr>
        <w:trPr>
          <w:trHeight w:val="237"/>
        </w:trPr>
        <w:tc>
          <w:tcPr>
            <w:tcW w:w="20" w:type="dxa"/>
            <w:vAlign w:val="bottom"/>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r>
      <w:tr>
        <w:trPr>
          <w:trHeight w:val="303"/>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1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10003</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line="234" w:lineRule="auto"/>
        <w:rPr>
          <w:rFonts w:ascii="Times New Roman" w:cs="Times New Roman" w:eastAsia="Times New Roman" w:hAnsi="Times New Roman"/>
          <w:sz w:val="24"/>
          <w:szCs w:val="24"/>
          <w:u w:val="single" w:color="auto"/>
          <w:color w:val="0000EE"/>
        </w:rPr>
      </w:pPr>
      <w:hyperlink r:id="rId14">
        <w:r>
          <w:rPr>
            <w:rFonts w:ascii="Times New Roman" w:cs="Times New Roman" w:eastAsia="Times New Roman" w:hAnsi="Times New Roman"/>
            <w:sz w:val="24"/>
            <w:szCs w:val="24"/>
            <w:u w:val="single" w:color="auto"/>
            <w:color w:val="0000EE"/>
          </w:rPr>
          <w:t>PERCEPTIVE LIFE SCIENCES</w:t>
        </w:r>
      </w:hyperlink>
    </w:p>
    <w:p>
      <w:pPr>
        <w:spacing w:after="0" w:line="1" w:lineRule="exact"/>
        <w:rPr>
          <w:sz w:val="20"/>
          <w:szCs w:val="20"/>
          <w:color w:val="auto"/>
        </w:rPr>
      </w:pPr>
    </w:p>
    <w:p>
      <w:pPr>
        <w:ind w:left="100"/>
        <w:spacing w:after="0"/>
        <w:rPr>
          <w:rFonts w:ascii="Times New Roman" w:cs="Times New Roman" w:eastAsia="Times New Roman" w:hAnsi="Times New Roman"/>
          <w:sz w:val="24"/>
          <w:szCs w:val="24"/>
          <w:u w:val="single" w:color="auto"/>
          <w:color w:val="0000EE"/>
        </w:rPr>
      </w:pPr>
      <w:hyperlink r:id="rId14">
        <w:r>
          <w:rPr>
            <w:rFonts w:ascii="Times New Roman" w:cs="Times New Roman" w:eastAsia="Times New Roman" w:hAnsi="Times New Roman"/>
            <w:sz w:val="24"/>
            <w:szCs w:val="24"/>
            <w:u w:val="single" w:color="auto"/>
            <w:color w:val="0000EE"/>
          </w:rPr>
          <w:t>MASTER FUND LTD</w:t>
        </w:r>
      </w:hyperlink>
    </w:p>
    <w:p>
      <w:pPr>
        <w:spacing w:after="0" w:line="343"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100" w:type="dxa"/>
            <w:vAlign w:val="bottom"/>
          </w:tcPr>
          <w:p>
            <w:pPr>
              <w:ind w:left="18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51 ASTOR PLACE, 10TH FLOOR</w:t>
            </w:r>
          </w:p>
        </w:tc>
      </w:tr>
      <w:tr>
        <w:trPr>
          <w:trHeight w:val="237"/>
        </w:trPr>
        <w:tc>
          <w:tcPr>
            <w:tcW w:w="20" w:type="dxa"/>
            <w:vAlign w:val="bottom"/>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r>
      <w:tr>
        <w:trPr>
          <w:trHeight w:val="303"/>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1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10003</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firstLine="5"/>
        <w:spacing w:after="0" w:line="25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securities are directly held by Perceptive Life Sciences Master Fund, Ltd. (the "Master Fund"). Perceptive Advisors, LLC (the "Advisor") serves as the investment advisor to the Master Fund. Joseph Edelman is the managing member of the Advisor.</w:t>
      </w:r>
    </w:p>
    <w:p>
      <w:pPr>
        <w:spacing w:after="0" w:line="17"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option was granted on June 30, 2020 and is fully vested.</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option was granted on December 9, 2021 and is fully vested.</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option was granted on June 24, 2025 and will vest in full on the first anniversary of the grant date.</w:t>
      </w:r>
    </w:p>
    <w:p>
      <w:pPr>
        <w:spacing w:after="0" w:line="52" w:lineRule="exact"/>
        <w:rPr>
          <w:rFonts w:ascii="Times New Roman" w:cs="Times New Roman" w:eastAsia="Times New Roman" w:hAnsi="Times New Roman"/>
          <w:sz w:val="15"/>
          <w:szCs w:val="15"/>
          <w:color w:val="008000"/>
        </w:rPr>
      </w:pPr>
    </w:p>
    <w:p>
      <w:pPr>
        <w:ind w:right="120" w:firstLine="5"/>
        <w:spacing w:after="0" w:line="244"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Consists of options to purchase the Issuer's ordinary shares awarded to Adam Stone in connection with his role as a member of the Issuer's board of directors. Mr. Stone is the Chief Investment Officer of the Advisor. The Advisor may be deemed to have an indirect pecuniary interest in the options to purchase common stock of the Issuer reported herein because the Master Fund has the right to receive the director compensation provided in respect of Mr. Stone's board service through a partial management fee offset.</w:t>
      </w:r>
    </w:p>
    <w:p>
      <w:pPr>
        <w:spacing w:after="0" w:line="29" w:lineRule="exact"/>
        <w:rPr>
          <w:rFonts w:ascii="Times New Roman" w:cs="Times New Roman" w:eastAsia="Times New Roman" w:hAnsi="Times New Roman"/>
          <w:sz w:val="15"/>
          <w:szCs w:val="15"/>
          <w:color w:val="008000"/>
        </w:rPr>
      </w:pPr>
    </w:p>
    <w:p>
      <w:pPr>
        <w:ind w:right="40" w:firstLine="5"/>
        <w:spacing w:after="0" w:line="244"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Advisor and Mr. Edelman disclaim, for purposes of Section 16 of the Securities Exchange Act of 1934, beneficial ownership of such securities, except to the extent of his or its indirect pecuniary interest therein, and this report shall not be deemed an admission that they are the beneficial owner of such securities for purposes of Section 16 or for any other purposes.</w:t>
      </w:r>
    </w:p>
    <w:p>
      <w:pPr>
        <w:sectPr>
          <w:pgSz w:w="11900" w:h="16838" w:orient="portrait"/>
          <w:cols w:equalWidth="0" w:num="1">
            <w:col w:w="10820"/>
          </w:cols>
          <w:pgMar w:left="520" w:top="283" w:right="559" w:bottom="1440" w:gutter="0" w:footer="0" w:header="0"/>
        </w:sectPr>
      </w:pPr>
    </w:p>
    <w:p>
      <w:pPr>
        <w:spacing w:after="0" w:line="5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Joseph Edelman -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0396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120396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Perceptive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9730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12973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Joseph Edelman,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9761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119761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2519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92519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Joseph Edelman -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0396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20396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Perceptive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2428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2428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Master Fund, Ltd.,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538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13538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Perceptive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9730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973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its investment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7475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17475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By: Joseph Edelman,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9761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19761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2519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92519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95631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95631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03/18/2026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03/18/2026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03/18/2026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8580" w:space="140"/>
            <w:col w:w="2100"/>
          </w:cols>
          <w:pgMar w:left="520" w:top="283" w:right="5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283"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10" Type="http://schemas.openxmlformats.org/officeDocument/2006/relationships/hyperlink" Target="http://www.sec.gov/cgi-bin/browse-edgar?action=getcompany&amp;CIK=0001224962" TargetMode="External"/><Relationship Id="rId11" Type="http://schemas.openxmlformats.org/officeDocument/2006/relationships/hyperlink" Target="http://www.sec.gov/cgi-bin/browse-edgar?action=getcompany&amp;CIK=0001809196" TargetMode="External"/><Relationship Id="rId13" Type="http://schemas.openxmlformats.org/officeDocument/2006/relationships/hyperlink" Target="http://www.sec.gov/cgi-bin/browse-edgar?action=getcompany&amp;CIK=0001164426" TargetMode="External"/><Relationship Id="rId14" Type="http://schemas.openxmlformats.org/officeDocument/2006/relationships/hyperlink" Target="http://www.sec.gov/cgi-bin/browse-edgar?action=getcompany&amp;CIK=00012496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2026-03-18T15:03:00Z</dcterms:created>
  <dcterms:modified xsi:type="dcterms:W3CDTF">2026-03-18T15:03:00Z</dcterms:modified>
</cp:coreProperties>
</file>